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center"/>
        <w:rPr>
          <w:rFonts w:ascii="黑体" w:hAnsi="黑体" w:eastAsia="黑体" w:cs="黑体"/>
          <w:b/>
          <w:bCs/>
          <w:sz w:val="52"/>
          <w:szCs w:val="52"/>
        </w:rPr>
      </w:pPr>
      <w:r>
        <w:rPr>
          <w:rFonts w:hint="eastAsia" w:ascii="黑体" w:hAnsi="黑体" w:eastAsia="黑体" w:cs="黑体"/>
          <w:b/>
          <w:bCs/>
          <w:sz w:val="52"/>
          <w:szCs w:val="52"/>
        </w:rPr>
        <w:t>环江毛南族自治县住房和城乡建设局2022年度部门决算</w:t>
      </w:r>
    </w:p>
    <w:p>
      <w:pPr>
        <w:jc w:val="center"/>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center"/>
        <w:rPr>
          <w:rFonts w:ascii="黑体" w:hAnsi="黑体" w:eastAsia="黑体" w:cs="黑体"/>
          <w:b/>
          <w:bCs/>
          <w:sz w:val="36"/>
          <w:szCs w:val="36"/>
        </w:rPr>
      </w:pPr>
      <w:r>
        <w:rPr>
          <w:rFonts w:hint="eastAsia" w:ascii="黑体" w:hAnsi="黑体" w:eastAsia="黑体" w:cs="黑体"/>
          <w:b/>
          <w:bCs/>
          <w:sz w:val="36"/>
          <w:szCs w:val="36"/>
        </w:rPr>
        <w:t>2023年10月</w:t>
      </w:r>
    </w:p>
    <w:p>
      <w:pPr>
        <w:rPr>
          <w:rFonts w:ascii="仿宋" w:hAnsi="仿宋" w:eastAsia="仿宋" w:cs="仿宋"/>
          <w:sz w:val="32"/>
          <w:szCs w:val="32"/>
        </w:rPr>
      </w:pPr>
      <w:r>
        <w:rPr>
          <w:rFonts w:ascii="仿宋" w:hAnsi="仿宋" w:eastAsia="仿宋" w:cs="仿宋"/>
          <w:sz w:val="32"/>
          <w:szCs w:val="32"/>
        </w:rPr>
        <w:br w:type="page"/>
      </w:r>
    </w:p>
    <w:p>
      <w:pPr>
        <w:jc w:val="center"/>
        <w:rPr>
          <w:rFonts w:ascii="黑体" w:hAnsi="黑体" w:eastAsia="黑体" w:cs="黑体"/>
          <w:b/>
          <w:bCs/>
          <w:sz w:val="36"/>
          <w:szCs w:val="36"/>
        </w:rPr>
      </w:pPr>
      <w:r>
        <w:rPr>
          <w:rFonts w:hint="eastAsia" w:ascii="黑体" w:hAnsi="黑体" w:eastAsia="黑体" w:cs="黑体"/>
          <w:b/>
          <w:bCs/>
          <w:sz w:val="36"/>
          <w:szCs w:val="36"/>
        </w:rPr>
        <w:t>目   录</w:t>
      </w:r>
    </w:p>
    <w:p>
      <w:pPr>
        <w:jc w:val="left"/>
        <w:rPr>
          <w:rFonts w:ascii="黑体" w:hAnsi="黑体" w:eastAsia="黑体" w:cs="黑体"/>
          <w:b/>
          <w:bCs/>
          <w:sz w:val="36"/>
          <w:szCs w:val="36"/>
        </w:rPr>
      </w:pPr>
    </w:p>
    <w:p>
      <w:pPr>
        <w:jc w:val="left"/>
        <w:rPr>
          <w:rFonts w:ascii="仿宋" w:hAnsi="仿宋" w:eastAsia="仿宋" w:cs="仿宋"/>
          <w:sz w:val="32"/>
          <w:szCs w:val="32"/>
        </w:rPr>
      </w:pPr>
      <w:r>
        <w:rPr>
          <w:rFonts w:hint="eastAsia" w:ascii="黑体" w:hAnsi="黑体" w:eastAsia="黑体" w:cs="黑体"/>
          <w:sz w:val="32"/>
          <w:szCs w:val="32"/>
        </w:rPr>
        <w:t>第一部分：</w:t>
      </w:r>
      <w:r>
        <w:rPr>
          <w:rFonts w:hint="eastAsia" w:ascii="黑体" w:hAnsi="黑体" w:eastAsia="黑体" w:cs="黑体"/>
          <w:sz w:val="32"/>
        </w:rPr>
        <w:t>住房和城乡建设局</w:t>
      </w:r>
      <w:r>
        <w:rPr>
          <w:rFonts w:hint="eastAsia" w:ascii="黑体" w:hAnsi="黑体" w:eastAsia="黑体" w:cs="黑体"/>
          <w:sz w:val="32"/>
          <w:szCs w:val="32"/>
        </w:rPr>
        <w:t>概况</w:t>
      </w:r>
    </w:p>
    <w:p>
      <w:pPr>
        <w:jc w:val="left"/>
        <w:rPr>
          <w:rFonts w:ascii="仿宋" w:hAnsi="仿宋" w:eastAsia="仿宋" w:cs="仿宋"/>
          <w:sz w:val="32"/>
          <w:szCs w:val="32"/>
        </w:rPr>
      </w:pPr>
      <w:r>
        <w:rPr>
          <w:rFonts w:hint="eastAsia" w:ascii="仿宋" w:hAnsi="仿宋" w:eastAsia="仿宋" w:cs="仿宋"/>
          <w:sz w:val="32"/>
          <w:szCs w:val="32"/>
        </w:rPr>
        <w:t>一、主要职能</w:t>
      </w:r>
    </w:p>
    <w:p>
      <w:pPr>
        <w:jc w:val="left"/>
        <w:rPr>
          <w:rFonts w:ascii="仿宋" w:hAnsi="仿宋" w:eastAsia="仿宋" w:cs="仿宋"/>
          <w:sz w:val="32"/>
          <w:szCs w:val="32"/>
        </w:rPr>
      </w:pPr>
      <w:r>
        <w:rPr>
          <w:rFonts w:hint="eastAsia" w:ascii="仿宋" w:hAnsi="仿宋" w:eastAsia="仿宋" w:cs="仿宋"/>
          <w:sz w:val="32"/>
          <w:szCs w:val="32"/>
        </w:rPr>
        <w:t>二、部门决算单位构成</w:t>
      </w:r>
    </w:p>
    <w:p>
      <w:pPr>
        <w:jc w:val="left"/>
        <w:rPr>
          <w:rFonts w:ascii="黑体" w:hAnsi="黑体" w:eastAsia="黑体" w:cs="黑体"/>
          <w:sz w:val="32"/>
          <w:szCs w:val="32"/>
        </w:rPr>
      </w:pPr>
      <w:r>
        <w:rPr>
          <w:rFonts w:hint="eastAsia" w:ascii="黑体" w:hAnsi="黑体" w:eastAsia="黑体" w:cs="黑体"/>
          <w:sz w:val="32"/>
          <w:szCs w:val="32"/>
        </w:rPr>
        <w:t>第二部分：</w:t>
      </w:r>
      <w:r>
        <w:rPr>
          <w:rFonts w:hint="eastAsia" w:ascii="黑体" w:hAnsi="黑体" w:eastAsia="黑体" w:cs="黑体"/>
          <w:sz w:val="32"/>
        </w:rPr>
        <w:t>住房和城乡建设局</w:t>
      </w:r>
      <w:r>
        <w:rPr>
          <w:rFonts w:hint="eastAsia" w:ascii="黑体" w:hAnsi="黑体" w:eastAsia="黑体" w:cs="黑体"/>
          <w:sz w:val="32"/>
          <w:szCs w:val="32"/>
        </w:rPr>
        <w:t>2022年度部门决算报表</w:t>
      </w:r>
    </w:p>
    <w:p>
      <w:pPr>
        <w:rPr>
          <w:rFonts w:ascii="仿宋_GB2312" w:eastAsia="仿宋_GB2312"/>
          <w:sz w:val="32"/>
          <w:szCs w:val="32"/>
        </w:rPr>
      </w:pPr>
      <w:r>
        <w:rPr>
          <w:rFonts w:hint="eastAsia" w:ascii="仿宋_GB2312" w:eastAsia="仿宋_GB2312"/>
          <w:sz w:val="32"/>
          <w:szCs w:val="32"/>
        </w:rPr>
        <w:t>表一：收入支出决算总表</w:t>
      </w:r>
    </w:p>
    <w:p>
      <w:pPr>
        <w:rPr>
          <w:rFonts w:ascii="仿宋_GB2312" w:eastAsia="仿宋_GB2312"/>
          <w:sz w:val="32"/>
          <w:szCs w:val="32"/>
        </w:rPr>
      </w:pPr>
      <w:r>
        <w:rPr>
          <w:rFonts w:hint="eastAsia" w:ascii="仿宋_GB2312" w:eastAsia="仿宋_GB2312"/>
          <w:sz w:val="32"/>
          <w:szCs w:val="32"/>
        </w:rPr>
        <w:t>表二：收入决算表</w:t>
      </w:r>
    </w:p>
    <w:p>
      <w:pPr>
        <w:rPr>
          <w:rFonts w:ascii="仿宋_GB2312" w:eastAsia="仿宋_GB2312"/>
          <w:sz w:val="32"/>
          <w:szCs w:val="32"/>
        </w:rPr>
      </w:pPr>
      <w:r>
        <w:rPr>
          <w:rFonts w:hint="eastAsia" w:ascii="仿宋_GB2312" w:eastAsia="仿宋_GB2312"/>
          <w:sz w:val="32"/>
          <w:szCs w:val="32"/>
        </w:rPr>
        <w:t>表三：支出决算表</w:t>
      </w:r>
    </w:p>
    <w:p>
      <w:pPr>
        <w:rPr>
          <w:rFonts w:ascii="仿宋_GB2312" w:eastAsia="仿宋_GB2312"/>
          <w:sz w:val="32"/>
          <w:szCs w:val="32"/>
        </w:rPr>
      </w:pPr>
      <w:r>
        <w:rPr>
          <w:rFonts w:hint="eastAsia" w:ascii="仿宋_GB2312" w:eastAsia="仿宋_GB2312"/>
          <w:sz w:val="32"/>
          <w:szCs w:val="32"/>
        </w:rPr>
        <w:t>表四：财政拨款收入支出决算总表</w:t>
      </w:r>
    </w:p>
    <w:p>
      <w:pPr>
        <w:rPr>
          <w:rFonts w:ascii="仿宋_GB2312" w:eastAsia="仿宋_GB2312"/>
          <w:sz w:val="32"/>
          <w:szCs w:val="32"/>
        </w:rPr>
      </w:pPr>
      <w:r>
        <w:rPr>
          <w:rFonts w:hint="eastAsia" w:ascii="仿宋_GB2312" w:eastAsia="仿宋_GB2312"/>
          <w:sz w:val="32"/>
          <w:szCs w:val="32"/>
        </w:rPr>
        <w:t>表五：一般公共预算财政拨款支出决算表</w:t>
      </w:r>
    </w:p>
    <w:p>
      <w:pPr>
        <w:rPr>
          <w:rFonts w:ascii="仿宋_GB2312" w:eastAsia="仿宋_GB2312"/>
          <w:sz w:val="32"/>
          <w:szCs w:val="32"/>
        </w:rPr>
      </w:pPr>
      <w:r>
        <w:rPr>
          <w:rFonts w:hint="eastAsia" w:ascii="仿宋_GB2312" w:eastAsia="仿宋_GB2312"/>
          <w:sz w:val="32"/>
          <w:szCs w:val="32"/>
        </w:rPr>
        <w:t>表六：一般公共预算财政拨款基本支出决算明细表</w:t>
      </w:r>
    </w:p>
    <w:p>
      <w:pPr>
        <w:rPr>
          <w:rFonts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rPr>
          <w:rFonts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rPr>
          <w:rFonts w:ascii="仿宋_GB2312" w:eastAsia="仿宋_GB2312"/>
          <w:sz w:val="32"/>
          <w:szCs w:val="32"/>
        </w:rPr>
      </w:pPr>
      <w:r>
        <w:rPr>
          <w:rFonts w:hint="eastAsia" w:ascii="仿宋_GB2312" w:eastAsia="仿宋_GB2312"/>
          <w:sz w:val="32"/>
          <w:szCs w:val="32"/>
        </w:rPr>
        <w:t>表九：一般公共预算财政拨款安排的“三公”经费支出决算表</w:t>
      </w:r>
    </w:p>
    <w:p>
      <w:pPr>
        <w:jc w:val="left"/>
        <w:rPr>
          <w:rFonts w:ascii="仿宋" w:hAnsi="仿宋" w:eastAsia="仿宋" w:cs="仿宋"/>
          <w:sz w:val="32"/>
          <w:szCs w:val="32"/>
        </w:rPr>
      </w:pPr>
      <w:r>
        <w:rPr>
          <w:rFonts w:hint="eastAsia" w:ascii="黑体" w:hAnsi="黑体" w:eastAsia="黑体" w:cs="黑体"/>
          <w:sz w:val="32"/>
          <w:szCs w:val="32"/>
        </w:rPr>
        <w:t>第三部分：</w:t>
      </w:r>
      <w:r>
        <w:rPr>
          <w:rFonts w:hint="eastAsia" w:ascii="黑体" w:hAnsi="黑体" w:eastAsia="黑体" w:cs="黑体"/>
          <w:sz w:val="32"/>
        </w:rPr>
        <w:t>住房和城乡建设局</w:t>
      </w:r>
      <w:r>
        <w:rPr>
          <w:rFonts w:hint="eastAsia" w:ascii="黑体" w:hAnsi="黑体" w:eastAsia="黑体" w:cs="黑体"/>
          <w:sz w:val="32"/>
          <w:szCs w:val="32"/>
        </w:rPr>
        <w:t>2022年度部门决算情况说明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2022</w:t>
      </w:r>
      <w:r>
        <w:rPr>
          <w:rFonts w:hint="eastAsia" w:ascii="仿宋_GB2312" w:eastAsia="仿宋_GB2312" w:cs="仿宋_GB2312"/>
          <w:kern w:val="0"/>
          <w:sz w:val="32"/>
          <w:szCs w:val="32"/>
        </w:rPr>
        <w:t>年度收入支出决算总体情况。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2022</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三、2022年度一般公共预算财政拨款基本支出决算情况说明。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2022</w:t>
      </w:r>
      <w:r>
        <w:rPr>
          <w:rFonts w:hint="eastAsia" w:ascii="仿宋_GB2312" w:eastAsia="仿宋_GB2312" w:cs="仿宋_GB2312"/>
          <w:kern w:val="0"/>
          <w:sz w:val="32"/>
          <w:szCs w:val="32"/>
        </w:rPr>
        <w:t>年度政府性基金支出决算情况。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五、2022年度国有资本经营预算支出决算情况。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jc w:val="left"/>
        <w:rPr>
          <w:rFonts w:ascii="黑体" w:hAnsi="黑体" w:eastAsia="黑体" w:cs="黑体"/>
          <w:sz w:val="32"/>
          <w:szCs w:val="32"/>
        </w:rPr>
      </w:pPr>
      <w:r>
        <w:rPr>
          <w:rFonts w:hint="eastAsia" w:ascii="黑体" w:hAnsi="黑体" w:eastAsia="黑体" w:cs="黑体"/>
          <w:sz w:val="32"/>
          <w:szCs w:val="32"/>
        </w:rPr>
        <w:t>第四部分：名词解释</w:t>
      </w:r>
    </w:p>
    <w:p>
      <w:pPr>
        <w:jc w:val="left"/>
        <w:rPr>
          <w:rFonts w:ascii="黑体" w:hAnsi="黑体" w:eastAsia="黑体" w:cs="黑体"/>
          <w:sz w:val="32"/>
          <w:szCs w:val="32"/>
        </w:rPr>
      </w:pPr>
      <w:r>
        <w:rPr>
          <w:rFonts w:hint="eastAsia" w:ascii="黑体" w:hAnsi="黑体" w:eastAsia="黑体" w:cs="黑体"/>
          <w:sz w:val="32"/>
          <w:szCs w:val="32"/>
        </w:rPr>
        <w:br w:type="page"/>
      </w:r>
    </w:p>
    <w:p>
      <w:pPr>
        <w:jc w:val="center"/>
        <w:rPr>
          <w:rFonts w:ascii="仿宋" w:hAnsi="仿宋" w:eastAsia="仿宋" w:cs="仿宋"/>
          <w:sz w:val="32"/>
          <w:szCs w:val="32"/>
        </w:rPr>
      </w:pPr>
      <w:r>
        <w:rPr>
          <w:rFonts w:hint="eastAsia" w:ascii="黑体" w:hAnsi="黑体" w:eastAsia="黑体" w:cs="黑体"/>
          <w:b/>
          <w:bCs/>
          <w:sz w:val="32"/>
          <w:szCs w:val="32"/>
        </w:rPr>
        <w:t>第一部分：</w:t>
      </w:r>
      <w:r>
        <w:rPr>
          <w:rFonts w:hint="eastAsia" w:ascii="黑体" w:hAnsi="黑体" w:eastAsia="黑体" w:cs="黑体"/>
          <w:b/>
          <w:sz w:val="32"/>
        </w:rPr>
        <w:t>住房和城乡建设局</w:t>
      </w:r>
      <w:r>
        <w:rPr>
          <w:rFonts w:hint="eastAsia" w:ascii="黑体" w:hAnsi="黑体" w:eastAsia="黑体" w:cs="黑体"/>
          <w:b/>
          <w:bCs/>
          <w:sz w:val="32"/>
          <w:szCs w:val="32"/>
        </w:rPr>
        <w:t>概况</w:t>
      </w:r>
    </w:p>
    <w:p>
      <w:pPr>
        <w:jc w:val="left"/>
        <w:rPr>
          <w:rFonts w:ascii="仿宋" w:hAnsi="仿宋" w:eastAsia="仿宋" w:cs="仿宋"/>
          <w:sz w:val="32"/>
          <w:szCs w:val="32"/>
        </w:rPr>
      </w:pPr>
      <w:r>
        <w:rPr>
          <w:rFonts w:hint="eastAsia" w:ascii="黑体" w:hAnsi="黑体" w:eastAsia="黑体" w:cs="黑体"/>
          <w:sz w:val="32"/>
          <w:szCs w:val="32"/>
        </w:rPr>
        <w:t>一、主要职能</w:t>
      </w:r>
    </w:p>
    <w:p>
      <w:pPr>
        <w:spacing w:line="560" w:lineRule="exact"/>
        <w:ind w:firstLine="646"/>
        <w:rPr>
          <w:rFonts w:ascii="Times New Roman" w:hAnsi="Times New Roman" w:eastAsia="仿宋_GB2312" w:cs="Times New Roman"/>
          <w:sz w:val="32"/>
          <w:szCs w:val="32"/>
        </w:rPr>
      </w:pPr>
      <w:r>
        <w:rPr>
          <w:rFonts w:ascii="Times New Roman" w:hAnsi="Times New Roman" w:eastAsia="仿宋_GB2312" w:cs="Times New Roman"/>
          <w:sz w:val="32"/>
          <w:szCs w:val="32"/>
        </w:rPr>
        <w:t>（1）负责全县城镇低收入家庭住房保障责任。拟订全县住房保障相关政策、规划及指导实施。会同有关部门做好全县城镇住房保障资金安排并指导实施。</w:t>
      </w:r>
    </w:p>
    <w:p>
      <w:pPr>
        <w:spacing w:line="560" w:lineRule="exact"/>
        <w:ind w:firstLine="646"/>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（2）负责推进全县住房制度改革责任。拟订适合县情的住房政策，指导全县住房建设和住房制度改革，拟订全县住房建设规划并指导实施，研究提出全县住房和城乡建设重大问题的地方性政策建议。      </w:t>
      </w:r>
    </w:p>
    <w:p>
      <w:pPr>
        <w:spacing w:line="560" w:lineRule="exact"/>
        <w:ind w:firstLine="646"/>
        <w:rPr>
          <w:rFonts w:ascii="Times New Roman" w:hAnsi="Times New Roman" w:eastAsia="仿宋_GB2312" w:cs="Times New Roman"/>
          <w:sz w:val="32"/>
          <w:szCs w:val="32"/>
        </w:rPr>
      </w:pPr>
      <w:r>
        <w:rPr>
          <w:rFonts w:ascii="Times New Roman" w:hAnsi="Times New Roman" w:eastAsia="仿宋_GB2312" w:cs="Times New Roman"/>
          <w:sz w:val="32"/>
          <w:szCs w:val="32"/>
        </w:rPr>
        <w:t>（3）负责全县房地产市场及房地场交易监督管理责任。拟订房地产业的行业发展规划和产业政策，会同或配合有关部门组织拟订房地产市场监管政策并指导实施，配合指导城镇土地使用权有偿转让和开发利用工作。拟订房地产开发、房屋交易管理、房屋租赁、房地产估价与经纪管理、物业管理、危房鉴定、白蚁防治、房屋征收拆迁的规章制度并监督执行。</w:t>
      </w:r>
    </w:p>
    <w:p>
      <w:pPr>
        <w:spacing w:line="560" w:lineRule="exact"/>
        <w:ind w:firstLine="646"/>
        <w:rPr>
          <w:rFonts w:ascii="Times New Roman" w:hAnsi="Times New Roman" w:eastAsia="仿宋_GB2312" w:cs="Times New Roman"/>
          <w:sz w:val="32"/>
          <w:szCs w:val="32"/>
        </w:rPr>
      </w:pPr>
      <w:r>
        <w:rPr>
          <w:rFonts w:ascii="Times New Roman" w:hAnsi="Times New Roman" w:eastAsia="仿宋_GB2312" w:cs="Times New Roman"/>
          <w:sz w:val="32"/>
          <w:szCs w:val="32"/>
        </w:rPr>
        <w:t>（4）负责全县城市专项规划、城市设计、建筑设计、城市地下空间开发利用、建设工程档案的监督管理，以及会同文物主管部门负责历史文化名城（乡镇、村）和城市（乡镇、村）范围内的历史文化街区、历史建筑保护监督管理工作，拟订城市专项规划、城市设计、建筑设计、城市地下空间开发利用、建设工程档案等相关制度、规划、计划、方案、政策指导文件并指导实施。</w:t>
      </w:r>
    </w:p>
    <w:p>
      <w:pPr>
        <w:spacing w:line="560" w:lineRule="exact"/>
        <w:ind w:firstLine="646"/>
        <w:rPr>
          <w:rFonts w:ascii="Times New Roman" w:hAnsi="Times New Roman" w:eastAsia="仿宋_GB2312" w:cs="Times New Roman"/>
          <w:sz w:val="32"/>
          <w:szCs w:val="32"/>
        </w:rPr>
      </w:pPr>
      <w:r>
        <w:rPr>
          <w:rFonts w:ascii="Times New Roman" w:hAnsi="Times New Roman" w:eastAsia="仿宋_GB2312" w:cs="Times New Roman"/>
          <w:sz w:val="32"/>
          <w:szCs w:val="32"/>
        </w:rPr>
        <w:t>（5）负责指导乡镇、村生活垃圾处理和公厕建设、农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村危房改造工作。</w:t>
      </w:r>
    </w:p>
    <w:p>
      <w:pPr>
        <w:spacing w:line="560" w:lineRule="exact"/>
        <w:ind w:firstLine="646"/>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6）负责全县建筑市场及其各方主体监管职责。拟订全县建筑业发展战略、中长期规划、改革方案、产业政策制度并监督执行，拟订规范全县建筑市场各方主体行为以及市政和房屋建筑工程勘察设计、施工图审查、招标投标、造价咨询、施工监理、质量检测等活动的规范性文件、规章制度并监督执行，组织和指导相关检查活动开展。      </w:t>
      </w:r>
    </w:p>
    <w:p>
      <w:pPr>
        <w:spacing w:line="560" w:lineRule="exact"/>
        <w:ind w:firstLine="646"/>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7）负责推进城镇建筑减排和建筑科技推广责任。会同有关部门拟订建筑节能、绿色建筑及建筑科技的规范性文件、规划并指导实施。负责民用建筑节能的监督管理工作，管理和指导墙体材料改革工作，组织实施重大建筑节能项目，推进城镇建筑节能减排。研究拟订建设行业科技发展政策、规划。负责并指导自治县住房建设系统新技术、新产品开发、推广和技术改造工作。      </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负责全县依法取得施工许可手续市政和房屋建筑工程质量安全监管责任。拟订建筑工程质量、建筑安全生产的规范性文件、规章制度并监督执行。负责房屋建筑和市政工程质量安全监督管理工作，组织建筑施工和房屋安全事故、一般工程质量事故的调查处理，参与工程重大质量、安全事故的调查处理</w:t>
      </w:r>
    </w:p>
    <w:p>
      <w:pPr>
        <w:spacing w:line="560" w:lineRule="exact"/>
        <w:ind w:firstLine="646"/>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9）负责全县人民防空建设管理工作。负责制定人防建设中长期规划和年度计划，会同有关部门审核人防建设与城市相结合的规划，以及对重要经济目标防护的监督检查和指导。牵头拟订人防方案和演习计划，指导群众防空组织建设和训练工作。指导开展人口疏散地域（基地）建设。负责人防工程、人防承通信、警报设施的建设和维护管理工作。战时组织开展城市防空袭工作。承担应急支援、人防宣传教育培训、监督管理人防经费资产、科技运用推广等工作      </w:t>
      </w:r>
    </w:p>
    <w:p>
      <w:pPr>
        <w:spacing w:line="560" w:lineRule="exact"/>
        <w:ind w:firstLine="646"/>
        <w:rPr>
          <w:rFonts w:ascii="Times New Roman" w:hAnsi="Times New Roman" w:eastAsia="仿宋_GB2312" w:cs="Times New Roman"/>
          <w:sz w:val="32"/>
          <w:szCs w:val="32"/>
        </w:rPr>
      </w:pPr>
      <w:r>
        <w:rPr>
          <w:rFonts w:ascii="Times New Roman" w:hAnsi="Times New Roman" w:eastAsia="仿宋_GB2312" w:cs="Times New Roman"/>
          <w:sz w:val="32"/>
          <w:szCs w:val="32"/>
        </w:rPr>
        <w:t>（10）负责全县住房城乡系统优化营商环境监督管理责任。负责拟订全县住房城乡建设系统优化营商环境相关政策、规范性文件并监督执行。承办全县范围内市政和房屋建筑工程的规划设计条件、建筑设计方案审查、建设工程规划许可证核发、建筑施工许可、规划条件核实、竣工验收备案等相关审批事项，并监督建设五方验收工作。</w:t>
      </w:r>
    </w:p>
    <w:p>
      <w:pPr>
        <w:spacing w:line="560" w:lineRule="exact"/>
        <w:ind w:firstLine="646"/>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11）负责全县建设工程相关安防设施设计审核和验收监督管理责任。负责拟订全县建设工程抗震设防、消防设计、人防设计及市政和房屋建筑工程防雷装置设计审核及验收相关政策、规范性文件并监督执行。承办全县范围内建设工程抗震设防、消防设计、人防设计及市政和房屋工程防雷装置设计审核及验收工作。      </w:t>
      </w:r>
    </w:p>
    <w:p>
      <w:pPr>
        <w:spacing w:line="560" w:lineRule="exact"/>
        <w:ind w:firstLine="646"/>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12）按权限负责相关城市建设资金使用管理职责。会同财政部门统筹安排县城区用于新建城市基础设施的城市维护建设税、城市基础设施配套费使用，并对其使用情况进行监督管理。负责住房建设系统行政事业性收费和其他收费的申报、组织实施、管理工作。具体承担法定及自治县人民政府规定权限范围内市政和房屋建筑工程城市基础设施配套基金、人防易地建设费的征收工作，拟订使用计划并报批实施      </w:t>
      </w:r>
    </w:p>
    <w:p>
      <w:pPr>
        <w:spacing w:line="560" w:lineRule="exact"/>
        <w:ind w:firstLine="646"/>
        <w:rPr>
          <w:rFonts w:ascii="Times New Roman" w:hAnsi="Times New Roman" w:eastAsia="仿宋_GB2312" w:cs="Times New Roman"/>
          <w:sz w:val="32"/>
          <w:szCs w:val="32"/>
        </w:rPr>
      </w:pPr>
      <w:r>
        <w:rPr>
          <w:rFonts w:ascii="Times New Roman" w:hAnsi="Times New Roman" w:eastAsia="仿宋_GB2312" w:cs="Times New Roman"/>
          <w:sz w:val="32"/>
          <w:szCs w:val="32"/>
        </w:rPr>
        <w:t>（13）负责县城区的城市基础设施项目专项规划、项目计划编制及规划建设管理职责。      </w:t>
      </w:r>
    </w:p>
    <w:p>
      <w:pPr>
        <w:spacing w:line="560" w:lineRule="exact"/>
        <w:ind w:firstLine="646"/>
        <w:rPr>
          <w:rFonts w:ascii="Times New Roman" w:hAnsi="Times New Roman" w:eastAsia="仿宋_GB2312" w:cs="Times New Roman"/>
          <w:sz w:val="32"/>
          <w:szCs w:val="32"/>
        </w:rPr>
      </w:pPr>
      <w:r>
        <w:rPr>
          <w:rFonts w:ascii="Times New Roman" w:hAnsi="Times New Roman" w:eastAsia="仿宋_GB2312" w:cs="Times New Roman"/>
          <w:sz w:val="32"/>
          <w:szCs w:val="32"/>
        </w:rPr>
        <w:t>（14）承担管理全县市政建设、风景园林绿化、环境卫生、城市供水排水及燃气工作。</w:t>
      </w:r>
    </w:p>
    <w:p>
      <w:pPr>
        <w:spacing w:line="560" w:lineRule="exact"/>
        <w:ind w:firstLine="646"/>
        <w:rPr>
          <w:rFonts w:ascii="Times New Roman" w:hAnsi="Times New Roman" w:eastAsia="仿宋_GB2312" w:cs="Times New Roman"/>
          <w:sz w:val="32"/>
          <w:szCs w:val="32"/>
        </w:rPr>
      </w:pPr>
      <w:r>
        <w:rPr>
          <w:rFonts w:ascii="Times New Roman" w:hAnsi="Times New Roman" w:eastAsia="仿宋_GB2312" w:cs="Times New Roman"/>
          <w:sz w:val="32"/>
          <w:szCs w:val="32"/>
        </w:rPr>
        <w:t>（15）开展住房和城乡建设方面的对外交流合作。</w:t>
      </w:r>
    </w:p>
    <w:p>
      <w:pPr>
        <w:jc w:val="left"/>
        <w:rPr>
          <w:rFonts w:ascii="仿宋" w:hAnsi="仿宋" w:eastAsia="仿宋" w:cs="仿宋"/>
          <w:sz w:val="32"/>
          <w:szCs w:val="32"/>
        </w:rPr>
      </w:pPr>
      <w:r>
        <w:rPr>
          <w:rFonts w:ascii="Times New Roman" w:hAnsi="Times New Roman" w:eastAsia="仿宋_GB2312" w:cs="Times New Roman"/>
          <w:sz w:val="32"/>
          <w:szCs w:val="32"/>
        </w:rPr>
        <w:t>（16）完成自治县党委、自治县人民政府交办的其他任务。</w:t>
      </w:r>
      <w:r>
        <w:rPr>
          <w:rFonts w:hint="eastAsia" w:ascii="黑体" w:hAnsi="黑体" w:eastAsia="黑体" w:cs="黑体"/>
          <w:sz w:val="32"/>
          <w:szCs w:val="32"/>
        </w:rPr>
        <w:t>二、部门决算单位构成</w:t>
      </w:r>
    </w:p>
    <w:p>
      <w:pPr>
        <w:spacing w:line="560" w:lineRule="exact"/>
        <w:ind w:firstLine="645"/>
        <w:rPr>
          <w:rFonts w:ascii="黑体" w:hAnsi="黑体" w:eastAsia="黑体" w:cs="黑体"/>
          <w:sz w:val="32"/>
          <w:szCs w:val="32"/>
        </w:rPr>
      </w:pPr>
      <w:r>
        <w:rPr>
          <w:rFonts w:ascii="Times New Roman" w:hAnsi="Times New Roman" w:eastAsia="仿宋_GB2312" w:cs="Times New Roman"/>
          <w:sz w:val="32"/>
          <w:szCs w:val="32"/>
        </w:rPr>
        <w:t>部门决算由以下单位构成：局机关、直属二层机构建设工程质量安全监督站、市政建设站、建筑节能和墙体材料改革站、城乡规划建筑设计室5个单位</w:t>
      </w:r>
      <w:r>
        <w:rPr>
          <w:rFonts w:hint="eastAsia" w:ascii="Times New Roman" w:hAnsi="Times New Roman" w:eastAsia="仿宋_GB2312" w:cs="Times New Roman"/>
          <w:sz w:val="32"/>
          <w:szCs w:val="32"/>
        </w:rPr>
        <w:t>。</w:t>
      </w:r>
    </w:p>
    <w:p>
      <w:pPr>
        <w:rPr>
          <w:rFonts w:ascii="黑体" w:hAnsi="黑体" w:eastAsia="黑体" w:cs="黑体"/>
          <w:sz w:val="32"/>
          <w:szCs w:val="32"/>
        </w:rPr>
      </w:pPr>
    </w:p>
    <w:p>
      <w:pPr>
        <w:jc w:val="center"/>
        <w:rPr>
          <w:rFonts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pPr>
        <w:rPr>
          <w:rFonts w:ascii="黑体" w:hAnsi="黑体" w:eastAsia="黑体" w:cs="黑体"/>
          <w:sz w:val="32"/>
          <w:szCs w:val="32"/>
        </w:rPr>
      </w:pPr>
    </w:p>
    <w:p>
      <w:pPr>
        <w:rPr>
          <w:rFonts w:ascii="黑体" w:hAnsi="黑体" w:eastAsia="黑体" w:cs="黑体"/>
          <w:sz w:val="32"/>
          <w:szCs w:val="32"/>
        </w:rPr>
      </w:pPr>
    </w:p>
    <w:p>
      <w:pPr>
        <w:jc w:val="center"/>
        <w:rPr>
          <w:rFonts w:ascii="黑体" w:hAnsi="黑体" w:eastAsia="黑体" w:cs="黑体"/>
          <w:sz w:val="32"/>
          <w:szCs w:val="32"/>
        </w:rPr>
      </w:pPr>
      <w:r>
        <w:rPr>
          <w:rFonts w:hint="eastAsia" w:ascii="黑体" w:hAnsi="黑体" w:eastAsia="黑体" w:cs="黑体"/>
          <w:sz w:val="32"/>
          <w:szCs w:val="32"/>
        </w:rPr>
        <w:t>第二部分：</w:t>
      </w:r>
      <w:r>
        <w:rPr>
          <w:rFonts w:hint="eastAsia" w:ascii="黑体" w:hAnsi="黑体" w:eastAsia="黑体" w:cs="黑体"/>
          <w:sz w:val="32"/>
        </w:rPr>
        <w:t>住房和城乡建设局</w:t>
      </w:r>
      <w:r>
        <w:rPr>
          <w:rFonts w:hint="eastAsia" w:ascii="黑体" w:hAnsi="黑体" w:eastAsia="黑体" w:cs="黑体"/>
          <w:sz w:val="32"/>
          <w:szCs w:val="32"/>
        </w:rPr>
        <w:t xml:space="preserve"> 2022年度部门决算报表</w:t>
      </w:r>
    </w:p>
    <w:tbl>
      <w:tblPr>
        <w:tblStyle w:val="7"/>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表一：收入支出决算总表</w:t>
            </w:r>
          </w:p>
          <w:p>
            <w:pPr>
              <w:jc w:val="left"/>
              <w:rPr>
                <w:rFonts w:ascii="仿宋" w:hAnsi="仿宋" w:eastAsia="仿宋" w:cs="仿宋"/>
                <w:sz w:val="24"/>
              </w:rPr>
            </w:pPr>
          </w:p>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9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3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66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0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02"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rPr>
                <w:rFonts w:ascii="Arial" w:hAnsi="Arial" w:eastAsia="宋体" w:cs="Arial"/>
                <w:color w:val="00000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sz w:val="20"/>
              </w:rPr>
              <w:t>住房和城乡建设局</w:t>
            </w:r>
          </w:p>
        </w:tc>
        <w:tc>
          <w:tcPr>
            <w:tcW w:w="2669"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2202"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902" w:type="dxa"/>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1,563.83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4.81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ascii="宋体" w:hAnsi="宋体" w:eastAsia="宋体" w:cs="宋体"/>
                <w:color w:val="000000"/>
                <w:kern w:val="0"/>
                <w:sz w:val="22"/>
                <w:szCs w:val="22"/>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187.53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ascii="宋体" w:hAnsi="宋体" w:eastAsia="宋体" w:cs="宋体"/>
                <w:color w:val="000000"/>
                <w:kern w:val="0"/>
                <w:sz w:val="22"/>
                <w:szCs w:val="22"/>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27.61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ascii="宋体" w:hAnsi="宋体" w:eastAsia="宋体" w:cs="宋体"/>
                <w:color w:val="000000"/>
                <w:kern w:val="0"/>
                <w:sz w:val="22"/>
                <w:szCs w:val="22"/>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ascii="宋体" w:hAnsi="宋体" w:eastAsia="宋体" w:cs="宋体"/>
                <w:color w:val="000000"/>
                <w:kern w:val="0"/>
                <w:sz w:val="22"/>
                <w:szCs w:val="22"/>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ascii="宋体" w:hAnsi="宋体" w:eastAsia="宋体" w:cs="宋体"/>
                <w:color w:val="000000"/>
                <w:kern w:val="0"/>
                <w:sz w:val="22"/>
                <w:szCs w:val="22"/>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ascii="宋体" w:hAnsi="宋体" w:eastAsia="宋体" w:cs="宋体"/>
                <w:color w:val="000000"/>
                <w:kern w:val="0"/>
                <w:sz w:val="22"/>
                <w:szCs w:val="22"/>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ascii="宋体" w:hAnsi="宋体" w:eastAsia="宋体" w:cs="宋体"/>
                <w:color w:val="000000"/>
                <w:kern w:val="0"/>
                <w:sz w:val="22"/>
                <w:szCs w:val="22"/>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41.99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1,419.14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120.84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136.97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0"/>
                <w:szCs w:val="20"/>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0"/>
                <w:szCs w:val="20"/>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0"/>
                <w:szCs w:val="20"/>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pPr>
            <w:r>
              <w:rPr>
                <w:rFonts w:hint="eastAsia" w:ascii="宋体" w:hAnsi="宋体" w:eastAsia="宋体" w:cs="宋体"/>
                <w:b/>
                <w:bCs/>
                <w:color w:val="000000"/>
                <w:kern w:val="0"/>
                <w:sz w:val="22"/>
                <w:szCs w:val="22"/>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1,751.36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b/>
                <w:bCs/>
                <w:color w:val="000000"/>
                <w:kern w:val="0"/>
                <w:sz w:val="22"/>
                <w:szCs w:val="22"/>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1,751.36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ascii="宋体" w:hAnsi="宋体" w:eastAsia="宋体" w:cs="宋体"/>
                <w:color w:val="000000"/>
                <w:kern w:val="0"/>
                <w:sz w:val="22"/>
                <w:szCs w:val="22"/>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ascii="宋体" w:hAnsi="宋体" w:eastAsia="宋体" w:cs="宋体"/>
                <w:color w:val="000000"/>
                <w:kern w:val="0"/>
                <w:sz w:val="22"/>
                <w:szCs w:val="22"/>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 w:val="22"/>
                <w:szCs w:val="22"/>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 w:val="22"/>
                <w:szCs w:val="22"/>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pPr>
            <w:r>
              <w:rPr>
                <w:rFonts w:hint="eastAsia" w:ascii="宋体" w:hAnsi="宋体" w:eastAsia="宋体" w:cs="宋体"/>
                <w:b/>
                <w:bCs/>
                <w:color w:val="000000"/>
                <w:kern w:val="0"/>
                <w:sz w:val="22"/>
                <w:szCs w:val="22"/>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1,751.36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b/>
                <w:bCs/>
                <w:color w:val="000000"/>
                <w:kern w:val="0"/>
                <w:sz w:val="22"/>
                <w:szCs w:val="22"/>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1,751.36</w:t>
            </w:r>
          </w:p>
        </w:tc>
      </w:tr>
    </w:tbl>
    <w:p>
      <w:pPr>
        <w:rPr>
          <w:rFonts w:ascii="宋体" w:hAnsi="宋体" w:eastAsia="宋体" w:cs="宋体"/>
          <w:color w:val="000000"/>
          <w:kern w:val="0"/>
          <w:sz w:val="30"/>
          <w:szCs w:val="30"/>
        </w:rPr>
      </w:pPr>
      <w:r>
        <w:rPr>
          <w:rFonts w:hint="eastAsia" w:ascii="宋体" w:hAnsi="宋体" w:eastAsia="宋体" w:cs="宋体"/>
          <w:color w:val="000000"/>
          <w:kern w:val="0"/>
          <w:sz w:val="30"/>
          <w:szCs w:val="30"/>
        </w:rPr>
        <w:br w:type="page"/>
      </w:r>
    </w:p>
    <w:tbl>
      <w:tblPr>
        <w:tblStyle w:val="7"/>
        <w:tblW w:w="0" w:type="auto"/>
        <w:tblInd w:w="0" w:type="dxa"/>
        <w:tblLayout w:type="autofit"/>
        <w:tblCellMar>
          <w:top w:w="0" w:type="dxa"/>
          <w:left w:w="108" w:type="dxa"/>
          <w:bottom w:w="0" w:type="dxa"/>
          <w:right w:w="108" w:type="dxa"/>
        </w:tblCellMar>
      </w:tblPr>
      <w:tblGrid>
        <w:gridCol w:w="14174"/>
      </w:tblGrid>
      <w:tr>
        <w:tblPrEx>
          <w:tblCellMar>
            <w:top w:w="0" w:type="dxa"/>
            <w:left w:w="108" w:type="dxa"/>
            <w:bottom w:w="0" w:type="dxa"/>
            <w:right w:w="108" w:type="dxa"/>
          </w:tblCellMar>
        </w:tblPrEx>
        <w:trPr>
          <w:trHeight w:val="951" w:hRule="atLeast"/>
        </w:trPr>
        <w:tc>
          <w:tcPr>
            <w:tcW w:w="0" w:type="auto"/>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表二：收入决算表</w:t>
            </w:r>
          </w:p>
          <w:p>
            <w:pPr>
              <w:jc w:val="left"/>
              <w:rPr>
                <w:rFonts w:ascii="仿宋" w:hAnsi="仿宋" w:eastAsia="仿宋" w:cs="仿宋"/>
                <w:sz w:val="24"/>
              </w:rPr>
            </w:pPr>
          </w:p>
          <w:p>
            <w:pPr>
              <w:widowControl/>
              <w:jc w:val="center"/>
              <w:textAlignment w:val="bottom"/>
              <w:rPr>
                <w:rFonts w:ascii="宋体" w:hAnsi="宋体" w:eastAsia="宋体" w:cs="宋体"/>
                <w:color w:val="000000"/>
                <w:kern w:val="0"/>
                <w:sz w:val="32"/>
                <w:szCs w:val="32"/>
              </w:rPr>
            </w:pPr>
            <w:r>
              <w:rPr>
                <w:rFonts w:hint="eastAsia" w:ascii="宋体" w:hAnsi="宋体" w:eastAsia="宋体" w:cs="宋体"/>
                <w:color w:val="000000"/>
                <w:kern w:val="0"/>
                <w:sz w:val="32"/>
                <w:szCs w:val="32"/>
              </w:rPr>
              <w:t>收入决算表</w:t>
            </w:r>
          </w:p>
          <w:tbl>
            <w:tblPr>
              <w:tblStyle w:val="7"/>
              <w:tblW w:w="4998" w:type="pct"/>
              <w:tblInd w:w="0" w:type="dxa"/>
              <w:tblLayout w:type="autofit"/>
              <w:tblCellMar>
                <w:top w:w="0" w:type="dxa"/>
                <w:left w:w="108" w:type="dxa"/>
                <w:bottom w:w="0" w:type="dxa"/>
                <w:right w:w="108" w:type="dxa"/>
              </w:tblCellMar>
            </w:tblPr>
            <w:tblGrid>
              <w:gridCol w:w="4504"/>
              <w:gridCol w:w="221"/>
              <w:gridCol w:w="221"/>
              <w:gridCol w:w="2873"/>
              <w:gridCol w:w="696"/>
              <w:gridCol w:w="503"/>
              <w:gridCol w:w="506"/>
              <w:gridCol w:w="503"/>
              <w:gridCol w:w="506"/>
              <w:gridCol w:w="305"/>
              <w:gridCol w:w="307"/>
              <w:gridCol w:w="305"/>
              <w:gridCol w:w="307"/>
              <w:gridCol w:w="305"/>
              <w:gridCol w:w="307"/>
              <w:gridCol w:w="111"/>
              <w:gridCol w:w="706"/>
              <w:gridCol w:w="772"/>
            </w:tblGrid>
            <w:tr>
              <w:tblPrEx>
                <w:tblCellMar>
                  <w:top w:w="0" w:type="dxa"/>
                  <w:left w:w="108" w:type="dxa"/>
                  <w:bottom w:w="0" w:type="dxa"/>
                  <w:right w:w="108" w:type="dxa"/>
                </w:tblCellMar>
              </w:tblPrEx>
              <w:trPr>
                <w:trHeight w:val="255" w:hRule="atLeast"/>
              </w:trPr>
              <w:tc>
                <w:tcPr>
                  <w:tcW w:w="107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1"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1"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50"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07" w:type="pct"/>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07" w:type="pct"/>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07" w:type="pct"/>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07" w:type="pct"/>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07" w:type="pct"/>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07" w:type="pct"/>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23" w:type="pct"/>
                  <w:gridSpan w:val="2"/>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公开02表</w:t>
                  </w:r>
                </w:p>
              </w:tc>
            </w:tr>
            <w:tr>
              <w:tblPrEx>
                <w:tblCellMar>
                  <w:top w:w="0" w:type="dxa"/>
                  <w:left w:w="108" w:type="dxa"/>
                  <w:bottom w:w="0" w:type="dxa"/>
                  <w:right w:w="108" w:type="dxa"/>
                </w:tblCellMar>
              </w:tblPrEx>
              <w:trPr>
                <w:trHeight w:val="255" w:hRule="atLeast"/>
              </w:trPr>
              <w:tc>
                <w:tcPr>
                  <w:tcW w:w="1076" w:type="pct"/>
                  <w:tcBorders>
                    <w:top w:val="nil"/>
                    <w:left w:val="nil"/>
                    <w:bottom w:val="nil"/>
                    <w:right w:val="nil"/>
                  </w:tcBorders>
                  <w:shd w:val="clear" w:color="auto" w:fill="auto"/>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部门：广西河池市环江毛南族自治县住房和城乡建设局</w:t>
                  </w:r>
                </w:p>
              </w:tc>
              <w:tc>
                <w:tcPr>
                  <w:tcW w:w="101"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1"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50"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07" w:type="pct"/>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07" w:type="pct"/>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07" w:type="pct"/>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07" w:type="pct"/>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07" w:type="pct"/>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07" w:type="pct"/>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23" w:type="pct"/>
                  <w:gridSpan w:val="2"/>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2334" w:type="pct"/>
                  <w:gridSpan w:val="5"/>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407" w:type="pct"/>
                  <w:gridSpan w:val="2"/>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本年收入合计</w:t>
                  </w:r>
                </w:p>
              </w:tc>
              <w:tc>
                <w:tcPr>
                  <w:tcW w:w="407" w:type="pct"/>
                  <w:gridSpan w:val="2"/>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财政拨款收入</w:t>
                  </w:r>
                </w:p>
              </w:tc>
              <w:tc>
                <w:tcPr>
                  <w:tcW w:w="407" w:type="pct"/>
                  <w:gridSpan w:val="2"/>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上级补助收入</w:t>
                  </w:r>
                </w:p>
              </w:tc>
              <w:tc>
                <w:tcPr>
                  <w:tcW w:w="407" w:type="pct"/>
                  <w:gridSpan w:val="2"/>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事业收入</w:t>
                  </w:r>
                </w:p>
              </w:tc>
              <w:tc>
                <w:tcPr>
                  <w:tcW w:w="407" w:type="pct"/>
                  <w:gridSpan w:val="2"/>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经营收入</w:t>
                  </w:r>
                </w:p>
              </w:tc>
              <w:tc>
                <w:tcPr>
                  <w:tcW w:w="407" w:type="pct"/>
                  <w:gridSpan w:val="2"/>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附属单位上缴收入</w:t>
                  </w:r>
                </w:p>
              </w:tc>
              <w:tc>
                <w:tcPr>
                  <w:tcW w:w="220" w:type="pct"/>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其他收入</w:t>
                  </w:r>
                </w:p>
              </w:tc>
            </w:tr>
            <w:tr>
              <w:tblPrEx>
                <w:tblCellMar>
                  <w:top w:w="0" w:type="dxa"/>
                  <w:left w:w="108" w:type="dxa"/>
                  <w:bottom w:w="0" w:type="dxa"/>
                  <w:right w:w="108" w:type="dxa"/>
                </w:tblCellMar>
              </w:tblPrEx>
              <w:trPr>
                <w:trHeight w:val="312" w:hRule="atLeast"/>
              </w:trPr>
              <w:tc>
                <w:tcPr>
                  <w:tcW w:w="1280"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科目代码</w:t>
                  </w:r>
                </w:p>
              </w:tc>
              <w:tc>
                <w:tcPr>
                  <w:tcW w:w="1054" w:type="pct"/>
                  <w:gridSpan w:val="2"/>
                  <w:vMerge w:val="restar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407"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407"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407"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407"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407"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407"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22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280"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1054" w:type="pct"/>
                  <w:gridSpan w:val="2"/>
                  <w:vMerge w:val="continue"/>
                  <w:tcBorders>
                    <w:top w:val="nil"/>
                    <w:left w:val="nil"/>
                    <w:bottom w:val="single" w:color="000000" w:sz="4" w:space="0"/>
                    <w:right w:val="single" w:color="000000" w:sz="4" w:space="0"/>
                  </w:tcBorders>
                  <w:shd w:val="clear" w:color="FFFFFF" w:fill="C0C0C0"/>
                  <w:noWrap/>
                  <w:vAlign w:val="center"/>
                </w:tcPr>
                <w:p>
                  <w:pPr>
                    <w:jc w:val="center"/>
                    <w:rPr>
                      <w:rFonts w:ascii="宋体" w:hAnsi="宋体" w:eastAsia="宋体" w:cs="宋体"/>
                      <w:color w:val="000000"/>
                      <w:sz w:val="22"/>
                      <w:szCs w:val="22"/>
                    </w:rPr>
                  </w:pPr>
                </w:p>
              </w:tc>
              <w:tc>
                <w:tcPr>
                  <w:tcW w:w="407"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407"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407"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407"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407"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407"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22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280"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1054" w:type="pct"/>
                  <w:gridSpan w:val="2"/>
                  <w:vMerge w:val="continue"/>
                  <w:tcBorders>
                    <w:top w:val="nil"/>
                    <w:left w:val="nil"/>
                    <w:bottom w:val="single" w:color="000000" w:sz="4" w:space="0"/>
                    <w:right w:val="single" w:color="000000" w:sz="4" w:space="0"/>
                  </w:tcBorders>
                  <w:shd w:val="clear" w:color="FFFFFF" w:fill="C0C0C0"/>
                  <w:noWrap/>
                  <w:vAlign w:val="center"/>
                </w:tcPr>
                <w:p>
                  <w:pPr>
                    <w:jc w:val="center"/>
                    <w:rPr>
                      <w:rFonts w:ascii="宋体" w:hAnsi="宋体" w:eastAsia="宋体" w:cs="宋体"/>
                      <w:color w:val="000000"/>
                      <w:sz w:val="22"/>
                      <w:szCs w:val="22"/>
                    </w:rPr>
                  </w:pPr>
                </w:p>
              </w:tc>
              <w:tc>
                <w:tcPr>
                  <w:tcW w:w="407"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407"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407"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407"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407"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407"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22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08" w:hRule="atLeast"/>
              </w:trPr>
              <w:tc>
                <w:tcPr>
                  <w:tcW w:w="2334" w:type="pct"/>
                  <w:gridSpan w:val="5"/>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407" w:type="pct"/>
                  <w:gridSpan w:val="2"/>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407" w:type="pct"/>
                  <w:gridSpan w:val="2"/>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407" w:type="pct"/>
                  <w:gridSpan w:val="2"/>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407" w:type="pct"/>
                  <w:gridSpan w:val="2"/>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407" w:type="pct"/>
                  <w:gridSpan w:val="2"/>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407" w:type="pct"/>
                  <w:gridSpan w:val="2"/>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220"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r>
            <w:tr>
              <w:tblPrEx>
                <w:tblCellMar>
                  <w:top w:w="0" w:type="dxa"/>
                  <w:left w:w="108" w:type="dxa"/>
                  <w:bottom w:w="0" w:type="dxa"/>
                  <w:right w:w="108" w:type="dxa"/>
                </w:tblCellMar>
              </w:tblPrEx>
              <w:trPr>
                <w:trHeight w:val="308" w:hRule="atLeast"/>
              </w:trPr>
              <w:tc>
                <w:tcPr>
                  <w:tcW w:w="2334" w:type="pct"/>
                  <w:gridSpan w:val="5"/>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1,751.36</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1,751.36</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0.00</w:t>
                  </w:r>
                </w:p>
              </w:tc>
            </w:tr>
            <w:tr>
              <w:tblPrEx>
                <w:tblCellMar>
                  <w:top w:w="0" w:type="dxa"/>
                  <w:left w:w="108" w:type="dxa"/>
                  <w:bottom w:w="0" w:type="dxa"/>
                  <w:right w:w="108" w:type="dxa"/>
                </w:tblCellMar>
              </w:tblPrEx>
              <w:trPr>
                <w:trHeight w:val="308" w:hRule="atLeast"/>
              </w:trPr>
              <w:tc>
                <w:tcPr>
                  <w:tcW w:w="128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w:t>
                  </w:r>
                </w:p>
              </w:tc>
              <w:tc>
                <w:tcPr>
                  <w:tcW w:w="1054" w:type="pct"/>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一般公共服务支出</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4.81</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4.81</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8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20129</w:t>
                  </w:r>
                </w:p>
              </w:tc>
              <w:tc>
                <w:tcPr>
                  <w:tcW w:w="1054" w:type="pct"/>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群众团体事务</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4.81</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4.81</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8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2012999</w:t>
                  </w:r>
                </w:p>
              </w:tc>
              <w:tc>
                <w:tcPr>
                  <w:tcW w:w="1054" w:type="pct"/>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其他群众团体事务支出</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4.81</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4.81</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8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203</w:t>
                  </w:r>
                </w:p>
              </w:tc>
              <w:tc>
                <w:tcPr>
                  <w:tcW w:w="1054" w:type="pct"/>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国防支出</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27.61</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27.61</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8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20306</w:t>
                  </w:r>
                </w:p>
              </w:tc>
              <w:tc>
                <w:tcPr>
                  <w:tcW w:w="1054" w:type="pct"/>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国防动员</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27.61</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27.61</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8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2030603</w:t>
                  </w:r>
                </w:p>
              </w:tc>
              <w:tc>
                <w:tcPr>
                  <w:tcW w:w="1054" w:type="pct"/>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人民防空</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27.61</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27.61</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8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w:t>
                  </w:r>
                </w:p>
              </w:tc>
              <w:tc>
                <w:tcPr>
                  <w:tcW w:w="1054" w:type="pct"/>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社会保障和就业支出</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41.99</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41.99</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8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20805</w:t>
                  </w:r>
                </w:p>
              </w:tc>
              <w:tc>
                <w:tcPr>
                  <w:tcW w:w="1054" w:type="pct"/>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行政事业单位养老支出</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41.99</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41.99</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8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2080505</w:t>
                  </w:r>
                </w:p>
              </w:tc>
              <w:tc>
                <w:tcPr>
                  <w:tcW w:w="1054" w:type="pct"/>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机关事业单位基本养老保险缴费支出</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41.99</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41.99</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8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w:t>
                  </w:r>
                </w:p>
              </w:tc>
              <w:tc>
                <w:tcPr>
                  <w:tcW w:w="1054" w:type="pct"/>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城乡社区支出</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1,419.14</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1,419.14</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8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21201</w:t>
                  </w:r>
                </w:p>
              </w:tc>
              <w:tc>
                <w:tcPr>
                  <w:tcW w:w="1054" w:type="pct"/>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城乡社区管理事务</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292.70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292.70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8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2120101</w:t>
                  </w:r>
                </w:p>
              </w:tc>
              <w:tc>
                <w:tcPr>
                  <w:tcW w:w="1054" w:type="pct"/>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行政运行</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211.95</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211.95</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8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2120199</w:t>
                  </w:r>
                </w:p>
              </w:tc>
              <w:tc>
                <w:tcPr>
                  <w:tcW w:w="1054" w:type="pct"/>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其他城乡社区管理事务支出</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80.75</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80.75</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8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21203</w:t>
                  </w:r>
                </w:p>
              </w:tc>
              <w:tc>
                <w:tcPr>
                  <w:tcW w:w="1054" w:type="pct"/>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城乡社区公共设施</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504.69</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504.69</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8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2120303</w:t>
                  </w:r>
                </w:p>
              </w:tc>
              <w:tc>
                <w:tcPr>
                  <w:tcW w:w="1054" w:type="pct"/>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小城镇基础设施建设</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0.15</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0.15</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8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2120399</w:t>
                  </w:r>
                </w:p>
              </w:tc>
              <w:tc>
                <w:tcPr>
                  <w:tcW w:w="1054" w:type="pct"/>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其他城乡社区公共设施支出</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504.54</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504.54</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8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21205</w:t>
                  </w:r>
                </w:p>
              </w:tc>
              <w:tc>
                <w:tcPr>
                  <w:tcW w:w="1054" w:type="pct"/>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城乡社区环境卫生</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43.00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43.00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8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2120501</w:t>
                  </w:r>
                </w:p>
              </w:tc>
              <w:tc>
                <w:tcPr>
                  <w:tcW w:w="1054" w:type="pct"/>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城乡社区环境卫生</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43.00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43.00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8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21206</w:t>
                  </w:r>
                </w:p>
              </w:tc>
              <w:tc>
                <w:tcPr>
                  <w:tcW w:w="1054" w:type="pct"/>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建设市场管理与监督</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1.65</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1.65</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8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2120601</w:t>
                  </w:r>
                </w:p>
              </w:tc>
              <w:tc>
                <w:tcPr>
                  <w:tcW w:w="1054" w:type="pct"/>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建设市场管理与监督</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1.65</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1.65</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8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21208</w:t>
                  </w:r>
                </w:p>
              </w:tc>
              <w:tc>
                <w:tcPr>
                  <w:tcW w:w="1054" w:type="pct"/>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国有土地使用权出让收入安排的支出</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187.53</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187.53</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8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2120804</w:t>
                  </w:r>
                </w:p>
              </w:tc>
              <w:tc>
                <w:tcPr>
                  <w:tcW w:w="1054" w:type="pct"/>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农村基础设施建设支出</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187.53</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187.53</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8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21299</w:t>
                  </w:r>
                </w:p>
              </w:tc>
              <w:tc>
                <w:tcPr>
                  <w:tcW w:w="1054" w:type="pct"/>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其他城乡社区支出</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389.57</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389.57</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8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2129999</w:t>
                  </w:r>
                </w:p>
              </w:tc>
              <w:tc>
                <w:tcPr>
                  <w:tcW w:w="1054" w:type="pct"/>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其他城乡社区支出</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389.57</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389.57</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8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w:t>
                  </w:r>
                </w:p>
              </w:tc>
              <w:tc>
                <w:tcPr>
                  <w:tcW w:w="1054" w:type="pct"/>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住房保障支出</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120.84</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120.84</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8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22101</w:t>
                  </w:r>
                </w:p>
              </w:tc>
              <w:tc>
                <w:tcPr>
                  <w:tcW w:w="1054" w:type="pct"/>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保障性安居工程支出</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92.00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92.00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8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2210101</w:t>
                  </w:r>
                </w:p>
              </w:tc>
              <w:tc>
                <w:tcPr>
                  <w:tcW w:w="1054" w:type="pct"/>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廉租住房</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5.46</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5.46</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8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2210103</w:t>
                  </w:r>
                </w:p>
              </w:tc>
              <w:tc>
                <w:tcPr>
                  <w:tcW w:w="1054" w:type="pct"/>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棚户区改造</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32.76</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32.76</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8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2210105</w:t>
                  </w:r>
                </w:p>
              </w:tc>
              <w:tc>
                <w:tcPr>
                  <w:tcW w:w="1054" w:type="pct"/>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农村危房改造</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14.62</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14.62</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8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2210106</w:t>
                  </w:r>
                </w:p>
              </w:tc>
              <w:tc>
                <w:tcPr>
                  <w:tcW w:w="1054" w:type="pct"/>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公共租赁住房</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8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2210107</w:t>
                  </w:r>
                </w:p>
              </w:tc>
              <w:tc>
                <w:tcPr>
                  <w:tcW w:w="1054" w:type="pct"/>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保障性住房租金补贴</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8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2210108</w:t>
                  </w:r>
                </w:p>
              </w:tc>
              <w:tc>
                <w:tcPr>
                  <w:tcW w:w="1054" w:type="pct"/>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老旧小区改造</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10.08</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10.08</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8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2210199</w:t>
                  </w:r>
                </w:p>
              </w:tc>
              <w:tc>
                <w:tcPr>
                  <w:tcW w:w="1054" w:type="pct"/>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其他保障性安居工程支出</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7.08</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7.08</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8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22102</w:t>
                  </w:r>
                </w:p>
              </w:tc>
              <w:tc>
                <w:tcPr>
                  <w:tcW w:w="1054" w:type="pct"/>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住房改革支出</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28.84</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28.84</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8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2210201</w:t>
                  </w:r>
                </w:p>
              </w:tc>
              <w:tc>
                <w:tcPr>
                  <w:tcW w:w="1054" w:type="pct"/>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住房公积金</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28.84</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28.84</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8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229</w:t>
                  </w:r>
                </w:p>
              </w:tc>
              <w:tc>
                <w:tcPr>
                  <w:tcW w:w="1054" w:type="pct"/>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其他支出</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136.97</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136.97</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8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22999</w:t>
                  </w:r>
                </w:p>
              </w:tc>
              <w:tc>
                <w:tcPr>
                  <w:tcW w:w="1054" w:type="pct"/>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其他支出</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136.97</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136.97</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8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2299999</w:t>
                  </w:r>
                </w:p>
              </w:tc>
              <w:tc>
                <w:tcPr>
                  <w:tcW w:w="1054" w:type="pct"/>
                  <w:gridSpan w:val="2"/>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其他支出</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136.97</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136.97</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0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2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bl>
          <w:p>
            <w:pPr>
              <w:widowControl/>
              <w:jc w:val="center"/>
              <w:textAlignment w:val="bottom"/>
              <w:rPr>
                <w:rFonts w:ascii="宋体" w:hAnsi="宋体" w:eastAsia="宋体" w:cs="宋体"/>
                <w:color w:val="000000"/>
                <w:sz w:val="30"/>
                <w:szCs w:val="30"/>
              </w:rPr>
            </w:pPr>
          </w:p>
        </w:tc>
      </w:tr>
      <w:tr>
        <w:tblPrEx>
          <w:tblCellMar>
            <w:top w:w="0" w:type="dxa"/>
            <w:left w:w="108" w:type="dxa"/>
            <w:bottom w:w="0" w:type="dxa"/>
            <w:right w:w="108" w:type="dxa"/>
          </w:tblCellMar>
        </w:tblPrEx>
        <w:trPr>
          <w:trHeight w:val="327" w:hRule="atLeast"/>
        </w:trPr>
        <w:tc>
          <w:tcPr>
            <w:tcW w:w="0" w:type="auto"/>
            <w:tcBorders>
              <w:top w:val="single" w:color="auto" w:sz="4" w:space="0"/>
              <w:left w:val="nil"/>
              <w:bottom w:val="single" w:color="auto" w:sz="4" w:space="0"/>
              <w:right w:val="nil"/>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注：本表反映部门本年度取得的各项收入情况。</w:t>
            </w:r>
          </w:p>
        </w:tc>
      </w:tr>
      <w:tr>
        <w:tblPrEx>
          <w:tblCellMar>
            <w:top w:w="0" w:type="dxa"/>
            <w:left w:w="108" w:type="dxa"/>
            <w:bottom w:w="0" w:type="dxa"/>
            <w:right w:w="108" w:type="dxa"/>
          </w:tblCellMar>
        </w:tblPrEx>
        <w:trPr>
          <w:trHeight w:val="327" w:hRule="atLeast"/>
        </w:trPr>
        <w:tc>
          <w:tcPr>
            <w:tcW w:w="0" w:type="auto"/>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r>
    </w:tbl>
    <w:p>
      <w:pPr>
        <w:jc w:val="center"/>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p>
    <w:p>
      <w:pPr>
        <w:jc w:val="center"/>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表三：支出决算表</w:t>
      </w:r>
    </w:p>
    <w:p>
      <w:pPr>
        <w:jc w:val="left"/>
        <w:rPr>
          <w:rFonts w:ascii="仿宋" w:hAnsi="仿宋" w:eastAsia="仿宋" w:cs="仿宋"/>
          <w:sz w:val="24"/>
        </w:rPr>
      </w:pPr>
    </w:p>
    <w:tbl>
      <w:tblPr>
        <w:tblStyle w:val="7"/>
        <w:tblW w:w="5000" w:type="pct"/>
        <w:tblInd w:w="0" w:type="dxa"/>
        <w:tblLayout w:type="autofit"/>
        <w:tblCellMar>
          <w:top w:w="0" w:type="dxa"/>
          <w:left w:w="108" w:type="dxa"/>
          <w:bottom w:w="0" w:type="dxa"/>
          <w:right w:w="108" w:type="dxa"/>
        </w:tblCellMar>
      </w:tblPr>
      <w:tblGrid>
        <w:gridCol w:w="14174"/>
      </w:tblGrid>
      <w:tr>
        <w:trPr>
          <w:trHeight w:val="623" w:hRule="atLeast"/>
        </w:trPr>
        <w:tc>
          <w:tcPr>
            <w:tcW w:w="5000" w:type="pct"/>
            <w:tcBorders>
              <w:top w:val="nil"/>
              <w:left w:val="nil"/>
              <w:bottom w:val="nil"/>
              <w:right w:val="nil"/>
            </w:tcBorders>
            <w:shd w:val="clear" w:color="auto" w:fill="auto"/>
            <w:noWrap/>
            <w:vAlign w:val="center"/>
          </w:tcPr>
          <w:p>
            <w:pPr>
              <w:widowControl/>
              <w:jc w:val="center"/>
              <w:textAlignment w:val="center"/>
              <w:rPr>
                <w:rFonts w:ascii="宋体" w:hAnsi="宋体" w:eastAsia="宋体" w:cs="宋体"/>
                <w:color w:val="000000"/>
                <w:kern w:val="0"/>
                <w:sz w:val="32"/>
                <w:szCs w:val="32"/>
              </w:rPr>
            </w:pPr>
            <w:r>
              <w:rPr>
                <w:rFonts w:hint="eastAsia" w:ascii="宋体" w:hAnsi="宋体" w:eastAsia="宋体" w:cs="宋体"/>
                <w:color w:val="000000"/>
                <w:kern w:val="0"/>
                <w:sz w:val="32"/>
                <w:szCs w:val="32"/>
              </w:rPr>
              <w:t>支出决算表</w:t>
            </w:r>
          </w:p>
          <w:tbl>
            <w:tblPr>
              <w:tblStyle w:val="7"/>
              <w:tblW w:w="4997" w:type="pct"/>
              <w:tblInd w:w="1" w:type="dxa"/>
              <w:tblLayout w:type="autofit"/>
              <w:tblCellMar>
                <w:top w:w="0" w:type="dxa"/>
                <w:left w:w="108" w:type="dxa"/>
                <w:bottom w:w="0" w:type="dxa"/>
                <w:right w:w="108" w:type="dxa"/>
              </w:tblCellMar>
            </w:tblPr>
            <w:tblGrid>
              <w:gridCol w:w="4480"/>
              <w:gridCol w:w="221"/>
              <w:gridCol w:w="221"/>
              <w:gridCol w:w="3538"/>
              <w:gridCol w:w="1004"/>
              <w:gridCol w:w="808"/>
              <w:gridCol w:w="1004"/>
              <w:gridCol w:w="610"/>
              <w:gridCol w:w="610"/>
              <w:gridCol w:w="1461"/>
            </w:tblGrid>
            <w:tr>
              <w:tblPrEx>
                <w:tblCellMar>
                  <w:top w:w="0" w:type="dxa"/>
                  <w:left w:w="108" w:type="dxa"/>
                  <w:bottom w:w="0" w:type="dxa"/>
                  <w:right w:w="108" w:type="dxa"/>
                </w:tblCellMar>
              </w:tblPrEx>
              <w:trPr>
                <w:trHeight w:val="255" w:hRule="atLeast"/>
              </w:trPr>
              <w:tc>
                <w:tcPr>
                  <w:tcW w:w="199"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2"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2"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10"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60"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60"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60"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60"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60"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60" w:type="pct"/>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255" w:hRule="atLeast"/>
              </w:trPr>
              <w:tc>
                <w:tcPr>
                  <w:tcW w:w="199" w:type="pct"/>
                  <w:tcBorders>
                    <w:top w:val="nil"/>
                    <w:left w:val="nil"/>
                    <w:bottom w:val="nil"/>
                    <w:right w:val="nil"/>
                  </w:tcBorders>
                  <w:shd w:val="clear" w:color="auto" w:fill="auto"/>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部门：广西河池市环江毛南族自治县住房和城乡建设局</w:t>
                  </w:r>
                </w:p>
              </w:tc>
              <w:tc>
                <w:tcPr>
                  <w:tcW w:w="112"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2"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10"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60"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60"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60"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60"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60"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60" w:type="pct"/>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1635" w:type="pct"/>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560" w:type="pct"/>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本年支出合计</w:t>
                  </w:r>
                </w:p>
              </w:tc>
              <w:tc>
                <w:tcPr>
                  <w:tcW w:w="560" w:type="pct"/>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560" w:type="pct"/>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c>
                <w:tcPr>
                  <w:tcW w:w="560" w:type="pct"/>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上缴上级支出</w:t>
                  </w:r>
                </w:p>
              </w:tc>
              <w:tc>
                <w:tcPr>
                  <w:tcW w:w="560" w:type="pct"/>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经营支出</w:t>
                  </w:r>
                </w:p>
              </w:tc>
              <w:tc>
                <w:tcPr>
                  <w:tcW w:w="560" w:type="pct"/>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对附属单位补助支出</w:t>
                  </w:r>
                </w:p>
              </w:tc>
            </w:tr>
            <w:tr>
              <w:tblPrEx>
                <w:tblCellMar>
                  <w:top w:w="0" w:type="dxa"/>
                  <w:left w:w="108" w:type="dxa"/>
                  <w:bottom w:w="0" w:type="dxa"/>
                  <w:right w:w="108" w:type="dxa"/>
                </w:tblCellMar>
              </w:tblPrEx>
              <w:trPr>
                <w:trHeight w:val="312" w:hRule="atLeast"/>
              </w:trPr>
              <w:tc>
                <w:tcPr>
                  <w:tcW w:w="424"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科目代码</w:t>
                  </w:r>
                </w:p>
              </w:tc>
              <w:tc>
                <w:tcPr>
                  <w:tcW w:w="1210" w:type="pct"/>
                  <w:vMerge w:val="restar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56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56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56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56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56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56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424"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1210" w:type="pct"/>
                  <w:vMerge w:val="continue"/>
                  <w:tcBorders>
                    <w:top w:val="nil"/>
                    <w:left w:val="nil"/>
                    <w:bottom w:val="single" w:color="000000" w:sz="4" w:space="0"/>
                    <w:right w:val="single" w:color="000000" w:sz="4" w:space="0"/>
                  </w:tcBorders>
                  <w:shd w:val="clear" w:color="FFFFFF" w:fill="C0C0C0"/>
                  <w:noWrap/>
                  <w:vAlign w:val="center"/>
                </w:tcPr>
                <w:p>
                  <w:pPr>
                    <w:jc w:val="center"/>
                    <w:rPr>
                      <w:rFonts w:ascii="宋体" w:hAnsi="宋体" w:eastAsia="宋体" w:cs="宋体"/>
                      <w:color w:val="000000"/>
                      <w:sz w:val="22"/>
                      <w:szCs w:val="22"/>
                    </w:rPr>
                  </w:pPr>
                </w:p>
              </w:tc>
              <w:tc>
                <w:tcPr>
                  <w:tcW w:w="56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56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56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56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56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56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424"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1210" w:type="pct"/>
                  <w:vMerge w:val="continue"/>
                  <w:tcBorders>
                    <w:top w:val="nil"/>
                    <w:left w:val="nil"/>
                    <w:bottom w:val="single" w:color="000000" w:sz="4" w:space="0"/>
                    <w:right w:val="single" w:color="000000" w:sz="4" w:space="0"/>
                  </w:tcBorders>
                  <w:shd w:val="clear" w:color="FFFFFF" w:fill="C0C0C0"/>
                  <w:noWrap/>
                  <w:vAlign w:val="center"/>
                </w:tcPr>
                <w:p>
                  <w:pPr>
                    <w:jc w:val="center"/>
                    <w:rPr>
                      <w:rFonts w:ascii="宋体" w:hAnsi="宋体" w:eastAsia="宋体" w:cs="宋体"/>
                      <w:color w:val="000000"/>
                      <w:sz w:val="22"/>
                      <w:szCs w:val="22"/>
                    </w:rPr>
                  </w:pPr>
                </w:p>
              </w:tc>
              <w:tc>
                <w:tcPr>
                  <w:tcW w:w="56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56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56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56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56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56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08" w:hRule="atLeast"/>
              </w:trPr>
              <w:tc>
                <w:tcPr>
                  <w:tcW w:w="1635" w:type="pct"/>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560"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60"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560"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560"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560"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560"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r>
            <w:tr>
              <w:tblPrEx>
                <w:tblCellMar>
                  <w:top w:w="0" w:type="dxa"/>
                  <w:left w:w="108" w:type="dxa"/>
                  <w:bottom w:w="0" w:type="dxa"/>
                  <w:right w:w="108" w:type="dxa"/>
                </w:tblCellMar>
              </w:tblPrEx>
              <w:trPr>
                <w:trHeight w:val="308" w:hRule="atLeast"/>
              </w:trPr>
              <w:tc>
                <w:tcPr>
                  <w:tcW w:w="1635" w:type="pct"/>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1,751.36</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425.63</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1,325.73</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w:t>
                  </w:r>
                </w:p>
              </w:tc>
              <w:tc>
                <w:tcPr>
                  <w:tcW w:w="1210"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一般公共服务支出</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4.81</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4.81</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20129</w:t>
                  </w:r>
                </w:p>
              </w:tc>
              <w:tc>
                <w:tcPr>
                  <w:tcW w:w="1210"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群众团体事务</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4.81</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4.81</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2012999</w:t>
                  </w:r>
                </w:p>
              </w:tc>
              <w:tc>
                <w:tcPr>
                  <w:tcW w:w="1210"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其他群众团体事务支出</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4.81</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4.81</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203</w:t>
                  </w:r>
                </w:p>
              </w:tc>
              <w:tc>
                <w:tcPr>
                  <w:tcW w:w="1210"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国防支出</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27.61</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27.61</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20306</w:t>
                  </w:r>
                </w:p>
              </w:tc>
              <w:tc>
                <w:tcPr>
                  <w:tcW w:w="1210"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国防动员</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27.61</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27.61</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2030603</w:t>
                  </w:r>
                </w:p>
              </w:tc>
              <w:tc>
                <w:tcPr>
                  <w:tcW w:w="1210"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人民防空</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27.61</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27.61</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w:t>
                  </w:r>
                </w:p>
              </w:tc>
              <w:tc>
                <w:tcPr>
                  <w:tcW w:w="1210"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社会保障和就业支出</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41.99</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41.99</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20805</w:t>
                  </w:r>
                </w:p>
              </w:tc>
              <w:tc>
                <w:tcPr>
                  <w:tcW w:w="1210"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行政事业单位养老支出</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41.99</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41.99</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2080505</w:t>
                  </w:r>
                </w:p>
              </w:tc>
              <w:tc>
                <w:tcPr>
                  <w:tcW w:w="1210"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机关事业单位基本养老保险缴费支出</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41.99</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41.99</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w:t>
                  </w:r>
                </w:p>
              </w:tc>
              <w:tc>
                <w:tcPr>
                  <w:tcW w:w="1210"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城乡社区支出</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1,419.14</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264.96</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1,154.17</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21201</w:t>
                  </w:r>
                </w:p>
              </w:tc>
              <w:tc>
                <w:tcPr>
                  <w:tcW w:w="1210"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城乡社区管理事务</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292.70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264.96</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27.74</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2120101</w:t>
                  </w:r>
                </w:p>
              </w:tc>
              <w:tc>
                <w:tcPr>
                  <w:tcW w:w="1210"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行政运行</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211.95</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192.41</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19.55</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2120199</w:t>
                  </w:r>
                </w:p>
              </w:tc>
              <w:tc>
                <w:tcPr>
                  <w:tcW w:w="1210"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其他城乡社区管理事务支出</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80.75</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72.56</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8.19</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21203</w:t>
                  </w:r>
                </w:p>
              </w:tc>
              <w:tc>
                <w:tcPr>
                  <w:tcW w:w="1210"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城乡社区公共设施</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504.69</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504.69</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2120303</w:t>
                  </w:r>
                </w:p>
              </w:tc>
              <w:tc>
                <w:tcPr>
                  <w:tcW w:w="1210"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小城镇基础设施建设</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0.15</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0.15</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2120399</w:t>
                  </w:r>
                </w:p>
              </w:tc>
              <w:tc>
                <w:tcPr>
                  <w:tcW w:w="1210"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其他城乡社区公共设施支出</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504.54</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504.54</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21205</w:t>
                  </w:r>
                </w:p>
              </w:tc>
              <w:tc>
                <w:tcPr>
                  <w:tcW w:w="1210"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城乡社区环境卫生</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43.00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43.00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2120501</w:t>
                  </w:r>
                </w:p>
              </w:tc>
              <w:tc>
                <w:tcPr>
                  <w:tcW w:w="1210"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城乡社区环境卫生</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43.00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43.00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21206</w:t>
                  </w:r>
                </w:p>
              </w:tc>
              <w:tc>
                <w:tcPr>
                  <w:tcW w:w="1210"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建设市场管理与监督</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1.65</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1.65</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2120601</w:t>
                  </w:r>
                </w:p>
              </w:tc>
              <w:tc>
                <w:tcPr>
                  <w:tcW w:w="1210"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建设市场管理与监督</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1.65</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1.65</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21208</w:t>
                  </w:r>
                </w:p>
              </w:tc>
              <w:tc>
                <w:tcPr>
                  <w:tcW w:w="1210"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国有土地使用权出让收入安排的支出</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187.53</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187.53</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2120804</w:t>
                  </w:r>
                </w:p>
              </w:tc>
              <w:tc>
                <w:tcPr>
                  <w:tcW w:w="1210"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农村基础设施建设支出</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187.53</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187.53</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21299</w:t>
                  </w:r>
                </w:p>
              </w:tc>
              <w:tc>
                <w:tcPr>
                  <w:tcW w:w="1210"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其他城乡社区支出</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389.57</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389.57</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2129999</w:t>
                  </w:r>
                </w:p>
              </w:tc>
              <w:tc>
                <w:tcPr>
                  <w:tcW w:w="1210"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其他城乡社区支出</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389.57</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389.57</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w:t>
                  </w:r>
                </w:p>
              </w:tc>
              <w:tc>
                <w:tcPr>
                  <w:tcW w:w="1210"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住房保障支出</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120.84</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28.84</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92.00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22101</w:t>
                  </w:r>
                </w:p>
              </w:tc>
              <w:tc>
                <w:tcPr>
                  <w:tcW w:w="1210"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保障性安居工程支出</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92.00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92.00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2210101</w:t>
                  </w:r>
                </w:p>
              </w:tc>
              <w:tc>
                <w:tcPr>
                  <w:tcW w:w="1210"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廉租住房</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5.46</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5.46</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2210103</w:t>
                  </w:r>
                </w:p>
              </w:tc>
              <w:tc>
                <w:tcPr>
                  <w:tcW w:w="1210"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棚户区改造</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32.76</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32.76</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2210105</w:t>
                  </w:r>
                </w:p>
              </w:tc>
              <w:tc>
                <w:tcPr>
                  <w:tcW w:w="1210"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农村危房改造</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14.62</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14.62</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2210106</w:t>
                  </w:r>
                </w:p>
              </w:tc>
              <w:tc>
                <w:tcPr>
                  <w:tcW w:w="1210"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公共租赁住房</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2210107</w:t>
                  </w:r>
                </w:p>
              </w:tc>
              <w:tc>
                <w:tcPr>
                  <w:tcW w:w="1210"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保障性住房租金补贴</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2210108</w:t>
                  </w:r>
                </w:p>
              </w:tc>
              <w:tc>
                <w:tcPr>
                  <w:tcW w:w="1210"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老旧小区改造</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10.08</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10.08</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2210199</w:t>
                  </w:r>
                </w:p>
              </w:tc>
              <w:tc>
                <w:tcPr>
                  <w:tcW w:w="1210"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其他保障性安居工程支出</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7.08</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7.08</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22102</w:t>
                  </w:r>
                </w:p>
              </w:tc>
              <w:tc>
                <w:tcPr>
                  <w:tcW w:w="1210"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住房改革支出</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28.84</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28.84</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2210201</w:t>
                  </w:r>
                </w:p>
              </w:tc>
              <w:tc>
                <w:tcPr>
                  <w:tcW w:w="1210"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住房公积金</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28.84</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28.84</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229</w:t>
                  </w:r>
                </w:p>
              </w:tc>
              <w:tc>
                <w:tcPr>
                  <w:tcW w:w="1210"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其他支出</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136.97</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85.02</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51.95</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22999</w:t>
                  </w:r>
                </w:p>
              </w:tc>
              <w:tc>
                <w:tcPr>
                  <w:tcW w:w="1210"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其他支出</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136.97</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85.02</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51.95</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2299999</w:t>
                  </w:r>
                </w:p>
              </w:tc>
              <w:tc>
                <w:tcPr>
                  <w:tcW w:w="1210"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其他支出</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136.97</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85.02</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51.95</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6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bl>
          <w:p>
            <w:pPr>
              <w:widowControl/>
              <w:jc w:val="center"/>
              <w:textAlignment w:val="center"/>
              <w:rPr>
                <w:rFonts w:ascii="宋体" w:hAnsi="宋体" w:eastAsia="宋体" w:cs="宋体"/>
                <w:color w:val="000000"/>
                <w:sz w:val="30"/>
                <w:szCs w:val="30"/>
              </w:rPr>
            </w:pPr>
          </w:p>
        </w:tc>
      </w:tr>
      <w:tr>
        <w:tblPrEx>
          <w:tblCellMar>
            <w:top w:w="0" w:type="dxa"/>
            <w:left w:w="108" w:type="dxa"/>
            <w:bottom w:w="0" w:type="dxa"/>
            <w:right w:w="108" w:type="dxa"/>
          </w:tblCellMar>
        </w:tblPrEx>
        <w:trPr>
          <w:trHeight w:val="322" w:hRule="atLeast"/>
        </w:trPr>
        <w:tc>
          <w:tcPr>
            <w:tcW w:w="5000" w:type="pct"/>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注：本表反映部门本年度各项支出情况。</w:t>
            </w:r>
          </w:p>
        </w:tc>
      </w:tr>
    </w:tbl>
    <w:p>
      <w:pPr>
        <w:rPr>
          <w:rFonts w:ascii="仿宋" w:hAnsi="仿宋" w:eastAsia="仿宋" w:cs="仿宋"/>
          <w:sz w:val="24"/>
        </w:rPr>
      </w:pPr>
      <w:r>
        <w:rPr>
          <w:rFonts w:ascii="仿宋" w:hAnsi="仿宋" w:eastAsia="仿宋" w:cs="仿宋"/>
          <w:sz w:val="24"/>
        </w:rPr>
        <w:br w:type="page"/>
      </w:r>
    </w:p>
    <w:p>
      <w:pPr>
        <w:jc w:val="center"/>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表四：财政拨款收入支出决算总表</w:t>
      </w:r>
    </w:p>
    <w:p>
      <w:pPr>
        <w:jc w:val="left"/>
        <w:rPr>
          <w:rFonts w:ascii="仿宋" w:hAnsi="仿宋" w:eastAsia="仿宋" w:cs="仿宋"/>
          <w:sz w:val="24"/>
        </w:rPr>
      </w:pPr>
    </w:p>
    <w:tbl>
      <w:tblPr>
        <w:tblStyle w:val="7"/>
        <w:tblW w:w="4965" w:type="pct"/>
        <w:tblInd w:w="0" w:type="dxa"/>
        <w:tblLayout w:type="autofit"/>
        <w:tblCellMar>
          <w:top w:w="0" w:type="dxa"/>
          <w:left w:w="108" w:type="dxa"/>
          <w:bottom w:w="0" w:type="dxa"/>
          <w:right w:w="108" w:type="dxa"/>
        </w:tblCellMar>
      </w:tblPr>
      <w:tblGrid>
        <w:gridCol w:w="12192"/>
        <w:gridCol w:w="1982"/>
      </w:tblGrid>
      <w:tr>
        <w:trPr>
          <w:trHeight w:val="520" w:hRule="atLeast"/>
        </w:trPr>
        <w:tc>
          <w:tcPr>
            <w:tcW w:w="5000" w:type="pct"/>
            <w:gridSpan w:val="2"/>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kern w:val="0"/>
                <w:sz w:val="32"/>
                <w:szCs w:val="32"/>
              </w:rPr>
            </w:pPr>
            <w:r>
              <w:rPr>
                <w:rFonts w:hint="eastAsia" w:ascii="宋体" w:hAnsi="宋体" w:eastAsia="宋体" w:cs="宋体"/>
                <w:color w:val="000000"/>
                <w:kern w:val="0"/>
                <w:sz w:val="32"/>
                <w:szCs w:val="32"/>
              </w:rPr>
              <w:t>财政拨款收入支出决算总表</w:t>
            </w:r>
          </w:p>
          <w:tbl>
            <w:tblPr>
              <w:tblStyle w:val="7"/>
              <w:tblW w:w="4998" w:type="pct"/>
              <w:tblInd w:w="0" w:type="dxa"/>
              <w:tblLayout w:type="autofit"/>
              <w:tblCellMar>
                <w:top w:w="0" w:type="dxa"/>
                <w:left w:w="108" w:type="dxa"/>
                <w:bottom w:w="0" w:type="dxa"/>
                <w:right w:w="108" w:type="dxa"/>
              </w:tblCellMar>
            </w:tblPr>
            <w:tblGrid>
              <w:gridCol w:w="4571"/>
              <w:gridCol w:w="415"/>
              <w:gridCol w:w="1015"/>
              <w:gridCol w:w="3210"/>
              <w:gridCol w:w="416"/>
              <w:gridCol w:w="1015"/>
              <w:gridCol w:w="1015"/>
              <w:gridCol w:w="815"/>
              <w:gridCol w:w="1486"/>
            </w:tblGrid>
            <w:tr>
              <w:tblPrEx>
                <w:tblCellMar>
                  <w:top w:w="0" w:type="dxa"/>
                  <w:left w:w="108" w:type="dxa"/>
                  <w:bottom w:w="0" w:type="dxa"/>
                  <w:right w:w="108" w:type="dxa"/>
                </w:tblCellMar>
              </w:tblPrEx>
              <w:trPr>
                <w:trHeight w:val="255" w:hRule="atLeast"/>
              </w:trPr>
              <w:tc>
                <w:tcPr>
                  <w:tcW w:w="973"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81"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07"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88"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82"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07"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07"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07"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42" w:type="pct"/>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255" w:hRule="atLeast"/>
              </w:trPr>
              <w:tc>
                <w:tcPr>
                  <w:tcW w:w="973" w:type="pct"/>
                  <w:tcBorders>
                    <w:top w:val="nil"/>
                    <w:left w:val="nil"/>
                    <w:bottom w:val="nil"/>
                    <w:right w:val="nil"/>
                  </w:tcBorders>
                  <w:shd w:val="clear" w:color="auto" w:fill="auto"/>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部门：广西河池市环江毛南族自治县住房和城乡建设局</w:t>
                  </w:r>
                </w:p>
              </w:tc>
              <w:tc>
                <w:tcPr>
                  <w:tcW w:w="181"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07"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88"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82"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07"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07"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07"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42" w:type="pct"/>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1663"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收     入</w:t>
                  </w:r>
                </w:p>
              </w:tc>
              <w:tc>
                <w:tcPr>
                  <w:tcW w:w="3336" w:type="pct"/>
                  <w:gridSpan w:val="6"/>
                  <w:tcBorders>
                    <w:top w:val="single" w:color="000000" w:sz="4" w:space="0"/>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支     出</w:t>
                  </w:r>
                </w:p>
              </w:tc>
            </w:tr>
            <w:tr>
              <w:tblPrEx>
                <w:tblCellMar>
                  <w:top w:w="0" w:type="dxa"/>
                  <w:left w:w="108" w:type="dxa"/>
                  <w:bottom w:w="0" w:type="dxa"/>
                  <w:right w:w="108" w:type="dxa"/>
                </w:tblCellMar>
              </w:tblPrEx>
              <w:trPr>
                <w:trHeight w:val="312" w:hRule="atLeast"/>
              </w:trPr>
              <w:tc>
                <w:tcPr>
                  <w:tcW w:w="973" w:type="pct"/>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181"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行次</w:t>
                  </w:r>
                </w:p>
              </w:tc>
              <w:tc>
                <w:tcPr>
                  <w:tcW w:w="507"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w:t>
                  </w:r>
                </w:p>
              </w:tc>
              <w:tc>
                <w:tcPr>
                  <w:tcW w:w="1088"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182"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行次</w:t>
                  </w:r>
                </w:p>
              </w:tc>
              <w:tc>
                <w:tcPr>
                  <w:tcW w:w="507" w:type="pct"/>
                  <w:vMerge w:val="restar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507"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一般公共预算财政拨款</w:t>
                  </w:r>
                </w:p>
              </w:tc>
              <w:tc>
                <w:tcPr>
                  <w:tcW w:w="507"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政府性基金预算财政拨款</w:t>
                  </w:r>
                </w:p>
              </w:tc>
              <w:tc>
                <w:tcPr>
                  <w:tcW w:w="543"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国有资本经营预算财政拨款</w:t>
                  </w:r>
                </w:p>
              </w:tc>
            </w:tr>
            <w:tr>
              <w:tblPrEx>
                <w:tblCellMar>
                  <w:top w:w="0" w:type="dxa"/>
                  <w:left w:w="108" w:type="dxa"/>
                  <w:bottom w:w="0" w:type="dxa"/>
                  <w:right w:w="108" w:type="dxa"/>
                </w:tblCellMar>
              </w:tblPrEx>
              <w:trPr>
                <w:trHeight w:val="615" w:hRule="atLeast"/>
              </w:trPr>
              <w:tc>
                <w:tcPr>
                  <w:tcW w:w="973" w:type="pct"/>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181"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507"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1088"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182"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507" w:type="pct"/>
                  <w:vMerge w:val="continue"/>
                  <w:tcBorders>
                    <w:top w:val="nil"/>
                    <w:left w:val="nil"/>
                    <w:bottom w:val="single" w:color="000000" w:sz="4" w:space="0"/>
                    <w:right w:val="single" w:color="000000" w:sz="4" w:space="0"/>
                  </w:tcBorders>
                  <w:shd w:val="clear" w:color="FFFFFF" w:fill="C0C0C0"/>
                  <w:noWrap/>
                  <w:vAlign w:val="center"/>
                </w:tcPr>
                <w:p>
                  <w:pPr>
                    <w:jc w:val="center"/>
                    <w:rPr>
                      <w:rFonts w:ascii="宋体" w:hAnsi="宋体" w:eastAsia="宋体" w:cs="宋体"/>
                      <w:color w:val="000000"/>
                      <w:sz w:val="22"/>
                      <w:szCs w:val="22"/>
                    </w:rPr>
                  </w:pPr>
                </w:p>
              </w:tc>
              <w:tc>
                <w:tcPr>
                  <w:tcW w:w="507"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507"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543"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181" w:type="pct"/>
                  <w:tcBorders>
                    <w:top w:val="nil"/>
                    <w:left w:val="nil"/>
                    <w:bottom w:val="single" w:color="000000" w:sz="4" w:space="0"/>
                    <w:right w:val="single" w:color="000000" w:sz="4" w:space="0"/>
                  </w:tcBorders>
                  <w:shd w:val="clear" w:color="FFFFFF" w:fill="C0C0C0"/>
                  <w:noWrap/>
                  <w:vAlign w:val="center"/>
                </w:tcPr>
                <w:p>
                  <w:pPr>
                    <w:jc w:val="center"/>
                    <w:rPr>
                      <w:rFonts w:ascii="宋体" w:hAnsi="宋体" w:eastAsia="宋体" w:cs="宋体"/>
                      <w:color w:val="000000"/>
                      <w:sz w:val="22"/>
                      <w:szCs w:val="22"/>
                    </w:rPr>
                  </w:pPr>
                </w:p>
              </w:tc>
              <w:tc>
                <w:tcPr>
                  <w:tcW w:w="507"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088"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182" w:type="pct"/>
                  <w:tcBorders>
                    <w:top w:val="nil"/>
                    <w:left w:val="nil"/>
                    <w:bottom w:val="single" w:color="000000" w:sz="4" w:space="0"/>
                    <w:right w:val="single" w:color="000000" w:sz="4" w:space="0"/>
                  </w:tcBorders>
                  <w:shd w:val="clear" w:color="FFFFFF" w:fill="C0C0C0"/>
                  <w:noWrap/>
                  <w:vAlign w:val="center"/>
                </w:tcPr>
                <w:p>
                  <w:pPr>
                    <w:jc w:val="center"/>
                    <w:rPr>
                      <w:rFonts w:ascii="宋体" w:hAnsi="宋体" w:eastAsia="宋体" w:cs="宋体"/>
                      <w:color w:val="000000"/>
                      <w:sz w:val="22"/>
                      <w:szCs w:val="22"/>
                    </w:rPr>
                  </w:pPr>
                </w:p>
              </w:tc>
              <w:tc>
                <w:tcPr>
                  <w:tcW w:w="507"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507"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507"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543"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r>
            <w:tr>
              <w:tblPrEx>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一、一般公共预算财政拨款</w:t>
                  </w:r>
                </w:p>
              </w:tc>
              <w:tc>
                <w:tcPr>
                  <w:tcW w:w="18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1,563.83</w:t>
                  </w:r>
                </w:p>
              </w:tc>
              <w:tc>
                <w:tcPr>
                  <w:tcW w:w="108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一、一般公共服务支出</w:t>
                  </w:r>
                </w:p>
              </w:tc>
              <w:tc>
                <w:tcPr>
                  <w:tcW w:w="18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33</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4.81</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4.81</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二、政府性基金预算财政拨款</w:t>
                  </w:r>
                </w:p>
              </w:tc>
              <w:tc>
                <w:tcPr>
                  <w:tcW w:w="18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187.53</w:t>
                  </w:r>
                </w:p>
              </w:tc>
              <w:tc>
                <w:tcPr>
                  <w:tcW w:w="108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二、外交支出</w:t>
                  </w:r>
                </w:p>
              </w:tc>
              <w:tc>
                <w:tcPr>
                  <w:tcW w:w="18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34</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三、国有资本经营预算财政拨款</w:t>
                  </w:r>
                </w:p>
              </w:tc>
              <w:tc>
                <w:tcPr>
                  <w:tcW w:w="18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08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三、国防支出</w:t>
                  </w:r>
                </w:p>
              </w:tc>
              <w:tc>
                <w:tcPr>
                  <w:tcW w:w="18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35</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27.61</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27.61</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szCs w:val="22"/>
                    </w:rPr>
                  </w:pPr>
                </w:p>
              </w:tc>
              <w:tc>
                <w:tcPr>
                  <w:tcW w:w="18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08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四、公共安全支出</w:t>
                  </w:r>
                </w:p>
              </w:tc>
              <w:tc>
                <w:tcPr>
                  <w:tcW w:w="18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36</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szCs w:val="22"/>
                    </w:rPr>
                  </w:pPr>
                </w:p>
              </w:tc>
              <w:tc>
                <w:tcPr>
                  <w:tcW w:w="18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08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五、教育支出</w:t>
                  </w:r>
                </w:p>
              </w:tc>
              <w:tc>
                <w:tcPr>
                  <w:tcW w:w="18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37</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szCs w:val="22"/>
                    </w:rPr>
                  </w:pPr>
                </w:p>
              </w:tc>
              <w:tc>
                <w:tcPr>
                  <w:tcW w:w="18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08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六、科学技术支出</w:t>
                  </w:r>
                </w:p>
              </w:tc>
              <w:tc>
                <w:tcPr>
                  <w:tcW w:w="18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38</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szCs w:val="22"/>
                    </w:rPr>
                  </w:pPr>
                </w:p>
              </w:tc>
              <w:tc>
                <w:tcPr>
                  <w:tcW w:w="18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08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七、文化旅游体育与传媒支出</w:t>
                  </w:r>
                </w:p>
              </w:tc>
              <w:tc>
                <w:tcPr>
                  <w:tcW w:w="18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39</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szCs w:val="22"/>
                    </w:rPr>
                  </w:pPr>
                </w:p>
              </w:tc>
              <w:tc>
                <w:tcPr>
                  <w:tcW w:w="18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08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八、社会保障和就业支出</w:t>
                  </w:r>
                </w:p>
              </w:tc>
              <w:tc>
                <w:tcPr>
                  <w:tcW w:w="18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41.99</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41.99</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szCs w:val="22"/>
                    </w:rPr>
                  </w:pPr>
                </w:p>
              </w:tc>
              <w:tc>
                <w:tcPr>
                  <w:tcW w:w="18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08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九、卫生健康支出</w:t>
                  </w:r>
                </w:p>
              </w:tc>
              <w:tc>
                <w:tcPr>
                  <w:tcW w:w="18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41</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szCs w:val="22"/>
                    </w:rPr>
                  </w:pPr>
                </w:p>
              </w:tc>
              <w:tc>
                <w:tcPr>
                  <w:tcW w:w="18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08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十、节能环保支出</w:t>
                  </w:r>
                </w:p>
              </w:tc>
              <w:tc>
                <w:tcPr>
                  <w:tcW w:w="18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42</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szCs w:val="22"/>
                    </w:rPr>
                  </w:pPr>
                </w:p>
              </w:tc>
              <w:tc>
                <w:tcPr>
                  <w:tcW w:w="18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08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十一、城乡社区支出</w:t>
                  </w:r>
                </w:p>
              </w:tc>
              <w:tc>
                <w:tcPr>
                  <w:tcW w:w="18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43</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1,419.14</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1,231.61</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187.53</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szCs w:val="22"/>
                    </w:rPr>
                  </w:pPr>
                </w:p>
              </w:tc>
              <w:tc>
                <w:tcPr>
                  <w:tcW w:w="18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08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十二、农林水支出</w:t>
                  </w:r>
                </w:p>
              </w:tc>
              <w:tc>
                <w:tcPr>
                  <w:tcW w:w="18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44</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szCs w:val="22"/>
                    </w:rPr>
                  </w:pPr>
                </w:p>
              </w:tc>
              <w:tc>
                <w:tcPr>
                  <w:tcW w:w="18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08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十三、交通运输支出</w:t>
                  </w:r>
                </w:p>
              </w:tc>
              <w:tc>
                <w:tcPr>
                  <w:tcW w:w="18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45</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szCs w:val="22"/>
                    </w:rPr>
                  </w:pPr>
                </w:p>
              </w:tc>
              <w:tc>
                <w:tcPr>
                  <w:tcW w:w="18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08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十四、资源勘探工业信息等支出</w:t>
                  </w:r>
                </w:p>
              </w:tc>
              <w:tc>
                <w:tcPr>
                  <w:tcW w:w="18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46</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szCs w:val="22"/>
                    </w:rPr>
                  </w:pPr>
                </w:p>
              </w:tc>
              <w:tc>
                <w:tcPr>
                  <w:tcW w:w="18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08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十五、商业服务业等支出</w:t>
                  </w:r>
                </w:p>
              </w:tc>
              <w:tc>
                <w:tcPr>
                  <w:tcW w:w="18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47</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szCs w:val="22"/>
                    </w:rPr>
                  </w:pPr>
                </w:p>
              </w:tc>
              <w:tc>
                <w:tcPr>
                  <w:tcW w:w="18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08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十六、金融支出</w:t>
                  </w:r>
                </w:p>
              </w:tc>
              <w:tc>
                <w:tcPr>
                  <w:tcW w:w="18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48</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szCs w:val="22"/>
                    </w:rPr>
                  </w:pPr>
                </w:p>
              </w:tc>
              <w:tc>
                <w:tcPr>
                  <w:tcW w:w="18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08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十七、援助其他地区支出</w:t>
                  </w:r>
                </w:p>
              </w:tc>
              <w:tc>
                <w:tcPr>
                  <w:tcW w:w="18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49</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szCs w:val="22"/>
                    </w:rPr>
                  </w:pPr>
                </w:p>
              </w:tc>
              <w:tc>
                <w:tcPr>
                  <w:tcW w:w="18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08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十八、自然资源海洋气象等支出</w:t>
                  </w:r>
                </w:p>
              </w:tc>
              <w:tc>
                <w:tcPr>
                  <w:tcW w:w="18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szCs w:val="22"/>
                    </w:rPr>
                  </w:pPr>
                </w:p>
              </w:tc>
              <w:tc>
                <w:tcPr>
                  <w:tcW w:w="18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08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十九、住房保障支出</w:t>
                  </w:r>
                </w:p>
              </w:tc>
              <w:tc>
                <w:tcPr>
                  <w:tcW w:w="18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51</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120.84</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120.84</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szCs w:val="22"/>
                    </w:rPr>
                  </w:pPr>
                </w:p>
              </w:tc>
              <w:tc>
                <w:tcPr>
                  <w:tcW w:w="18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08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二十、粮油物资储备支出</w:t>
                  </w:r>
                </w:p>
              </w:tc>
              <w:tc>
                <w:tcPr>
                  <w:tcW w:w="18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52</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szCs w:val="22"/>
                    </w:rPr>
                  </w:pPr>
                </w:p>
              </w:tc>
              <w:tc>
                <w:tcPr>
                  <w:tcW w:w="18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08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二十一、国有资本经营预算支出</w:t>
                  </w:r>
                </w:p>
              </w:tc>
              <w:tc>
                <w:tcPr>
                  <w:tcW w:w="18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53</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szCs w:val="22"/>
                    </w:rPr>
                  </w:pPr>
                </w:p>
              </w:tc>
              <w:tc>
                <w:tcPr>
                  <w:tcW w:w="18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08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二十二、灾害防治及应急管理支出</w:t>
                  </w:r>
                </w:p>
              </w:tc>
              <w:tc>
                <w:tcPr>
                  <w:tcW w:w="18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54</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szCs w:val="22"/>
                    </w:rPr>
                  </w:pPr>
                </w:p>
              </w:tc>
              <w:tc>
                <w:tcPr>
                  <w:tcW w:w="18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23</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08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二十三、其他支出</w:t>
                  </w:r>
                </w:p>
              </w:tc>
              <w:tc>
                <w:tcPr>
                  <w:tcW w:w="18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55</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136.97</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136.97</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FFFFFF" w:fill="C0C0C0"/>
                  <w:noWrap/>
                  <w:vAlign w:val="center"/>
                </w:tcPr>
                <w:p>
                  <w:pPr>
                    <w:jc w:val="center"/>
                    <w:rPr>
                      <w:rFonts w:ascii="宋体" w:hAnsi="宋体" w:eastAsia="宋体" w:cs="宋体"/>
                      <w:b/>
                      <w:bCs/>
                      <w:color w:val="000000"/>
                      <w:sz w:val="20"/>
                      <w:szCs w:val="20"/>
                    </w:rPr>
                  </w:pPr>
                </w:p>
              </w:tc>
              <w:tc>
                <w:tcPr>
                  <w:tcW w:w="18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08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二十四、债务还本支出</w:t>
                  </w:r>
                </w:p>
              </w:tc>
              <w:tc>
                <w:tcPr>
                  <w:tcW w:w="18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56</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0"/>
                      <w:szCs w:val="20"/>
                    </w:rPr>
                  </w:pPr>
                </w:p>
              </w:tc>
              <w:tc>
                <w:tcPr>
                  <w:tcW w:w="18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08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二十五、债务付息支出</w:t>
                  </w:r>
                </w:p>
              </w:tc>
              <w:tc>
                <w:tcPr>
                  <w:tcW w:w="18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57</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0"/>
                      <w:szCs w:val="20"/>
                    </w:rPr>
                  </w:pPr>
                </w:p>
              </w:tc>
              <w:tc>
                <w:tcPr>
                  <w:tcW w:w="18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26</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108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二十六、抗疫特别国债安排的支出</w:t>
                  </w:r>
                </w:p>
              </w:tc>
              <w:tc>
                <w:tcPr>
                  <w:tcW w:w="18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58</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本年收入合计</w:t>
                  </w:r>
                </w:p>
              </w:tc>
              <w:tc>
                <w:tcPr>
                  <w:tcW w:w="18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1,751.36</w:t>
                  </w:r>
                </w:p>
              </w:tc>
              <w:tc>
                <w:tcPr>
                  <w:tcW w:w="1088"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本年支出合计</w:t>
                  </w:r>
                </w:p>
              </w:tc>
              <w:tc>
                <w:tcPr>
                  <w:tcW w:w="18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59</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1,751.36</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1,563.83</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187.53</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年初财政拨款结转和结余</w:t>
                  </w:r>
                </w:p>
              </w:tc>
              <w:tc>
                <w:tcPr>
                  <w:tcW w:w="18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28</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08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年末财政拨款结转和结余</w:t>
                  </w:r>
                </w:p>
              </w:tc>
              <w:tc>
                <w:tcPr>
                  <w:tcW w:w="18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一般公共预算财政拨款</w:t>
                  </w:r>
                </w:p>
              </w:tc>
              <w:tc>
                <w:tcPr>
                  <w:tcW w:w="18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29</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088" w:type="pct"/>
                  <w:tcBorders>
                    <w:top w:val="nil"/>
                    <w:left w:val="nil"/>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szCs w:val="22"/>
                    </w:rPr>
                  </w:pPr>
                </w:p>
              </w:tc>
              <w:tc>
                <w:tcPr>
                  <w:tcW w:w="18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61</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54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政府性基金预算财政拨款</w:t>
                  </w:r>
                </w:p>
              </w:tc>
              <w:tc>
                <w:tcPr>
                  <w:tcW w:w="18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088" w:type="pct"/>
                  <w:tcBorders>
                    <w:top w:val="nil"/>
                    <w:left w:val="nil"/>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szCs w:val="22"/>
                    </w:rPr>
                  </w:pPr>
                </w:p>
              </w:tc>
              <w:tc>
                <w:tcPr>
                  <w:tcW w:w="18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62</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54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国有资本经营预算财政拨款</w:t>
                  </w:r>
                </w:p>
              </w:tc>
              <w:tc>
                <w:tcPr>
                  <w:tcW w:w="18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1088" w:type="pct"/>
                  <w:tcBorders>
                    <w:top w:val="nil"/>
                    <w:left w:val="nil"/>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szCs w:val="22"/>
                    </w:rPr>
                  </w:pPr>
                </w:p>
              </w:tc>
              <w:tc>
                <w:tcPr>
                  <w:tcW w:w="18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63</w:t>
                  </w: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50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543"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308" w:hRule="atLeast"/>
              </w:trPr>
              <w:tc>
                <w:tcPr>
                  <w:tcW w:w="973"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总计</w:t>
                  </w:r>
                </w:p>
              </w:tc>
              <w:tc>
                <w:tcPr>
                  <w:tcW w:w="181"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1,751.36</w:t>
                  </w:r>
                </w:p>
              </w:tc>
              <w:tc>
                <w:tcPr>
                  <w:tcW w:w="1088"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总计</w:t>
                  </w:r>
                </w:p>
              </w:tc>
              <w:tc>
                <w:tcPr>
                  <w:tcW w:w="18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64</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1,751.36</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1,563.83</w:t>
                  </w:r>
                </w:p>
              </w:tc>
              <w:tc>
                <w:tcPr>
                  <w:tcW w:w="50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187.53</w:t>
                  </w:r>
                </w:p>
              </w:tc>
              <w:tc>
                <w:tcPr>
                  <w:tcW w:w="54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bl>
          <w:p>
            <w:pPr>
              <w:widowControl/>
              <w:jc w:val="center"/>
              <w:textAlignment w:val="bottom"/>
              <w:rPr>
                <w:rFonts w:ascii="宋体" w:hAnsi="宋体" w:eastAsia="宋体" w:cs="宋体"/>
                <w:color w:val="000000"/>
                <w:sz w:val="30"/>
                <w:szCs w:val="30"/>
              </w:rPr>
            </w:pPr>
          </w:p>
        </w:tc>
      </w:tr>
      <w:tr>
        <w:trPr>
          <w:trHeight w:val="268" w:hRule="atLeast"/>
        </w:trPr>
        <w:tc>
          <w:tcPr>
            <w:tcW w:w="4327" w:type="pct"/>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注：本表反映部门本年度一般公共预算财政拨款、政府性基金预算财政拨款和国有资本经营预算财政拨款的总收支和年末结转结余情况。</w:t>
            </w:r>
          </w:p>
          <w:p>
            <w:pPr>
              <w:widowControl/>
              <w:jc w:val="left"/>
              <w:textAlignment w:val="center"/>
              <w:rPr>
                <w:rFonts w:ascii="宋体" w:hAnsi="宋体" w:eastAsia="宋体" w:cs="宋体"/>
                <w:color w:val="000000"/>
                <w:kern w:val="0"/>
                <w:sz w:val="22"/>
                <w:szCs w:val="22"/>
              </w:rPr>
            </w:pPr>
          </w:p>
          <w:p>
            <w:pPr>
              <w:widowControl/>
              <w:jc w:val="left"/>
              <w:textAlignment w:val="center"/>
              <w:rPr>
                <w:rFonts w:ascii="宋体" w:hAnsi="宋体" w:eastAsia="宋体" w:cs="宋体"/>
                <w:color w:val="000000"/>
                <w:kern w:val="0"/>
                <w:sz w:val="22"/>
                <w:szCs w:val="22"/>
              </w:rPr>
            </w:pPr>
          </w:p>
        </w:tc>
        <w:tc>
          <w:tcPr>
            <w:tcW w:w="672" w:type="pct"/>
            <w:tcBorders>
              <w:top w:val="single" w:color="auto" w:sz="4" w:space="0"/>
              <w:left w:val="nil"/>
              <w:bottom w:val="nil"/>
              <w:right w:val="nil"/>
            </w:tcBorders>
            <w:shd w:val="clear" w:color="auto" w:fill="auto"/>
            <w:noWrap/>
            <w:vAlign w:val="center"/>
          </w:tcPr>
          <w:p>
            <w:pPr>
              <w:jc w:val="left"/>
              <w:rPr>
                <w:rFonts w:ascii="宋体" w:hAnsi="宋体" w:eastAsia="宋体" w:cs="宋体"/>
                <w:color w:val="000000"/>
                <w:sz w:val="20"/>
                <w:szCs w:val="20"/>
              </w:rPr>
            </w:pPr>
          </w:p>
        </w:tc>
      </w:tr>
    </w:tbl>
    <w:p>
      <w:pPr>
        <w:jc w:val="left"/>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表五：一般公共预算财政拨款支出决算表</w:t>
      </w:r>
    </w:p>
    <w:p>
      <w:pPr>
        <w:jc w:val="left"/>
        <w:rPr>
          <w:rFonts w:ascii="仿宋" w:hAnsi="仿宋" w:eastAsia="仿宋" w:cs="仿宋"/>
          <w:sz w:val="24"/>
        </w:rPr>
      </w:pPr>
    </w:p>
    <w:tbl>
      <w:tblPr>
        <w:tblStyle w:val="7"/>
        <w:tblW w:w="13980" w:type="dxa"/>
        <w:tblInd w:w="96" w:type="dxa"/>
        <w:tblLayout w:type="autofit"/>
        <w:tblCellMar>
          <w:top w:w="0" w:type="dxa"/>
          <w:left w:w="108" w:type="dxa"/>
          <w:bottom w:w="0" w:type="dxa"/>
          <w:right w:w="108" w:type="dxa"/>
        </w:tblCellMar>
      </w:tblPr>
      <w:tblGrid>
        <w:gridCol w:w="13980"/>
      </w:tblGrid>
      <w:tr>
        <w:trPr>
          <w:trHeight w:val="693" w:hRule="atLeast"/>
        </w:trPr>
        <w:tc>
          <w:tcPr>
            <w:tcW w:w="13980" w:type="dxa"/>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kern w:val="0"/>
                <w:sz w:val="32"/>
                <w:szCs w:val="32"/>
              </w:rPr>
            </w:pPr>
            <w:r>
              <w:rPr>
                <w:rFonts w:hint="eastAsia" w:ascii="宋体" w:hAnsi="宋体" w:eastAsia="宋体" w:cs="宋体"/>
                <w:color w:val="000000"/>
                <w:kern w:val="0"/>
                <w:sz w:val="32"/>
                <w:szCs w:val="32"/>
              </w:rPr>
              <w:t>一般公共预算财政拨款支出决算表</w:t>
            </w:r>
          </w:p>
          <w:tbl>
            <w:tblPr>
              <w:tblStyle w:val="7"/>
              <w:tblW w:w="4998" w:type="pct"/>
              <w:tblInd w:w="1" w:type="dxa"/>
              <w:tblLayout w:type="autofit"/>
              <w:tblCellMar>
                <w:top w:w="0" w:type="dxa"/>
                <w:left w:w="108" w:type="dxa"/>
                <w:bottom w:w="0" w:type="dxa"/>
                <w:right w:w="108" w:type="dxa"/>
              </w:tblCellMar>
            </w:tblPr>
            <w:tblGrid>
              <w:gridCol w:w="5016"/>
              <w:gridCol w:w="222"/>
              <w:gridCol w:w="222"/>
              <w:gridCol w:w="3956"/>
              <w:gridCol w:w="1103"/>
              <w:gridCol w:w="1355"/>
              <w:gridCol w:w="1884"/>
            </w:tblGrid>
            <w:tr>
              <w:tblPrEx>
                <w:tblCellMar>
                  <w:top w:w="0" w:type="dxa"/>
                  <w:left w:w="108" w:type="dxa"/>
                  <w:bottom w:w="0" w:type="dxa"/>
                  <w:right w:w="108" w:type="dxa"/>
                </w:tblCellMar>
              </w:tblPrEx>
              <w:trPr>
                <w:trHeight w:val="255" w:hRule="atLeast"/>
              </w:trPr>
              <w:tc>
                <w:tcPr>
                  <w:tcW w:w="141"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1"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1"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83"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963"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963"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963" w:type="pct"/>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公开05表</w:t>
                  </w:r>
                </w:p>
              </w:tc>
            </w:tr>
            <w:tr>
              <w:tblPrEx>
                <w:tblCellMar>
                  <w:top w:w="0" w:type="dxa"/>
                  <w:left w:w="108" w:type="dxa"/>
                  <w:bottom w:w="0" w:type="dxa"/>
                  <w:right w:w="108" w:type="dxa"/>
                </w:tblCellMar>
              </w:tblPrEx>
              <w:trPr>
                <w:trHeight w:val="255" w:hRule="atLeast"/>
              </w:trPr>
              <w:tc>
                <w:tcPr>
                  <w:tcW w:w="141" w:type="pct"/>
                  <w:tcBorders>
                    <w:top w:val="nil"/>
                    <w:left w:val="nil"/>
                    <w:bottom w:val="nil"/>
                    <w:right w:val="nil"/>
                  </w:tcBorders>
                  <w:shd w:val="clear" w:color="auto" w:fill="auto"/>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部门：广西河池市环江毛南族自治县住房和城乡建设局</w:t>
                  </w:r>
                </w:p>
              </w:tc>
              <w:tc>
                <w:tcPr>
                  <w:tcW w:w="141"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1"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83"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963"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963"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963" w:type="pct"/>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2107" w:type="pct"/>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2891" w:type="pct"/>
                  <w:gridSpan w:val="3"/>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w:t>
                  </w:r>
                </w:p>
              </w:tc>
            </w:tr>
            <w:tr>
              <w:tblPrEx>
                <w:tblCellMar>
                  <w:top w:w="0" w:type="dxa"/>
                  <w:left w:w="108" w:type="dxa"/>
                  <w:bottom w:w="0" w:type="dxa"/>
                  <w:right w:w="108" w:type="dxa"/>
                </w:tblCellMar>
              </w:tblPrEx>
              <w:trPr>
                <w:trHeight w:val="312" w:hRule="atLeast"/>
              </w:trPr>
              <w:tc>
                <w:tcPr>
                  <w:tcW w:w="424"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科目代码</w:t>
                  </w:r>
                </w:p>
              </w:tc>
              <w:tc>
                <w:tcPr>
                  <w:tcW w:w="1683" w:type="pct"/>
                  <w:vMerge w:val="restar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963"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963"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963"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r>
            <w:tr>
              <w:tblPrEx>
                <w:tblCellMar>
                  <w:top w:w="0" w:type="dxa"/>
                  <w:left w:w="108" w:type="dxa"/>
                  <w:bottom w:w="0" w:type="dxa"/>
                  <w:right w:w="108" w:type="dxa"/>
                </w:tblCellMar>
              </w:tblPrEx>
              <w:trPr>
                <w:trHeight w:val="312" w:hRule="atLeast"/>
              </w:trPr>
              <w:tc>
                <w:tcPr>
                  <w:tcW w:w="424"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1683" w:type="pct"/>
                  <w:vMerge w:val="continue"/>
                  <w:tcBorders>
                    <w:top w:val="nil"/>
                    <w:left w:val="nil"/>
                    <w:bottom w:val="single" w:color="000000" w:sz="4" w:space="0"/>
                    <w:right w:val="single" w:color="000000" w:sz="4" w:space="0"/>
                  </w:tcBorders>
                  <w:shd w:val="clear" w:color="FFFFFF" w:fill="C0C0C0"/>
                  <w:noWrap/>
                  <w:vAlign w:val="center"/>
                </w:tcPr>
                <w:p>
                  <w:pPr>
                    <w:jc w:val="center"/>
                    <w:rPr>
                      <w:rFonts w:ascii="宋体" w:hAnsi="宋体" w:eastAsia="宋体" w:cs="宋体"/>
                      <w:color w:val="000000"/>
                      <w:sz w:val="22"/>
                      <w:szCs w:val="22"/>
                    </w:rPr>
                  </w:pPr>
                </w:p>
              </w:tc>
              <w:tc>
                <w:tcPr>
                  <w:tcW w:w="963"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963"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963"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424"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1683" w:type="pct"/>
                  <w:vMerge w:val="continue"/>
                  <w:tcBorders>
                    <w:top w:val="nil"/>
                    <w:left w:val="nil"/>
                    <w:bottom w:val="single" w:color="000000" w:sz="4" w:space="0"/>
                    <w:right w:val="single" w:color="000000" w:sz="4" w:space="0"/>
                  </w:tcBorders>
                  <w:shd w:val="clear" w:color="FFFFFF" w:fill="C0C0C0"/>
                  <w:noWrap/>
                  <w:vAlign w:val="center"/>
                </w:tcPr>
                <w:p>
                  <w:pPr>
                    <w:jc w:val="center"/>
                    <w:rPr>
                      <w:rFonts w:ascii="宋体" w:hAnsi="宋体" w:eastAsia="宋体" w:cs="宋体"/>
                      <w:color w:val="000000"/>
                      <w:sz w:val="22"/>
                      <w:szCs w:val="22"/>
                    </w:rPr>
                  </w:pPr>
                </w:p>
              </w:tc>
              <w:tc>
                <w:tcPr>
                  <w:tcW w:w="963"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963"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963"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08" w:hRule="atLeast"/>
              </w:trPr>
              <w:tc>
                <w:tcPr>
                  <w:tcW w:w="2107" w:type="pct"/>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963"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963"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963"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r>
            <w:tr>
              <w:tblPrEx>
                <w:tblCellMar>
                  <w:top w:w="0" w:type="dxa"/>
                  <w:left w:w="108" w:type="dxa"/>
                  <w:bottom w:w="0" w:type="dxa"/>
                  <w:right w:w="108" w:type="dxa"/>
                </w:tblCellMar>
              </w:tblPrEx>
              <w:trPr>
                <w:trHeight w:val="308" w:hRule="atLeast"/>
              </w:trPr>
              <w:tc>
                <w:tcPr>
                  <w:tcW w:w="2107" w:type="pct"/>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1,563.83</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425.63</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1,138.20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w:t>
                  </w:r>
                </w:p>
              </w:tc>
              <w:tc>
                <w:tcPr>
                  <w:tcW w:w="168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一般公共服务支出</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4.81</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4.81</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20129</w:t>
                  </w:r>
                </w:p>
              </w:tc>
              <w:tc>
                <w:tcPr>
                  <w:tcW w:w="168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群众团体事务</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4.81</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4.81</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2012999</w:t>
                  </w:r>
                </w:p>
              </w:tc>
              <w:tc>
                <w:tcPr>
                  <w:tcW w:w="168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其他群众团体事务支出</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4.81</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4.81</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203</w:t>
                  </w:r>
                </w:p>
              </w:tc>
              <w:tc>
                <w:tcPr>
                  <w:tcW w:w="168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国防支出</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27.61</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27.61</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20306</w:t>
                  </w:r>
                </w:p>
              </w:tc>
              <w:tc>
                <w:tcPr>
                  <w:tcW w:w="168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国防动员</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27.61</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27.61</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2030603</w:t>
                  </w:r>
                </w:p>
              </w:tc>
              <w:tc>
                <w:tcPr>
                  <w:tcW w:w="168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人民防空</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27.61</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27.61</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w:t>
                  </w:r>
                </w:p>
              </w:tc>
              <w:tc>
                <w:tcPr>
                  <w:tcW w:w="168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社会保障和就业支出</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41.99</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41.99</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20805</w:t>
                  </w:r>
                </w:p>
              </w:tc>
              <w:tc>
                <w:tcPr>
                  <w:tcW w:w="168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行政事业单位养老支出</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41.99</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41.99</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2080505</w:t>
                  </w:r>
                </w:p>
              </w:tc>
              <w:tc>
                <w:tcPr>
                  <w:tcW w:w="168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机关事业单位基本养老保险缴费支出</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41.99</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41.99</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w:t>
                  </w:r>
                </w:p>
              </w:tc>
              <w:tc>
                <w:tcPr>
                  <w:tcW w:w="168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城乡社区支出</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1,231.61</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264.96</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966.64</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21201</w:t>
                  </w:r>
                </w:p>
              </w:tc>
              <w:tc>
                <w:tcPr>
                  <w:tcW w:w="168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城乡社区管理事务</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292.70</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264.96</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27.74</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2120101</w:t>
                  </w:r>
                </w:p>
              </w:tc>
              <w:tc>
                <w:tcPr>
                  <w:tcW w:w="168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行政运行</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211.95</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192.41</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19.55</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2120199</w:t>
                  </w:r>
                </w:p>
              </w:tc>
              <w:tc>
                <w:tcPr>
                  <w:tcW w:w="168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其他城乡社区管理事务支出</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80.75</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72.56</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8.19</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21203</w:t>
                  </w:r>
                </w:p>
              </w:tc>
              <w:tc>
                <w:tcPr>
                  <w:tcW w:w="168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城乡社区公共设施</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504.69</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504.69</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2120303</w:t>
                  </w:r>
                </w:p>
              </w:tc>
              <w:tc>
                <w:tcPr>
                  <w:tcW w:w="168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小城镇基础设施建设</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0.15</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0.15</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2120399</w:t>
                  </w:r>
                </w:p>
              </w:tc>
              <w:tc>
                <w:tcPr>
                  <w:tcW w:w="168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其他城乡社区公共设施支出</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504.54</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504.54</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21205</w:t>
                  </w:r>
                </w:p>
              </w:tc>
              <w:tc>
                <w:tcPr>
                  <w:tcW w:w="168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城乡社区环境卫生</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43.00</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43.00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2120501</w:t>
                  </w:r>
                </w:p>
              </w:tc>
              <w:tc>
                <w:tcPr>
                  <w:tcW w:w="168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城乡社区环境卫生</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43.00</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43.00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21206</w:t>
                  </w:r>
                </w:p>
              </w:tc>
              <w:tc>
                <w:tcPr>
                  <w:tcW w:w="168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建设市场管理与监督</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1.65</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1.65</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2120601</w:t>
                  </w:r>
                </w:p>
              </w:tc>
              <w:tc>
                <w:tcPr>
                  <w:tcW w:w="168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建设市场管理与监督</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1.65</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1.65</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21299</w:t>
                  </w:r>
                </w:p>
              </w:tc>
              <w:tc>
                <w:tcPr>
                  <w:tcW w:w="168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其他城乡社区支出</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389.57</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389.57</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2129999</w:t>
                  </w:r>
                </w:p>
              </w:tc>
              <w:tc>
                <w:tcPr>
                  <w:tcW w:w="168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其他城乡社区支出</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389.57</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389.57</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w:t>
                  </w:r>
                </w:p>
              </w:tc>
              <w:tc>
                <w:tcPr>
                  <w:tcW w:w="168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住房保障支出</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120.84</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28.84</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92.00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22101</w:t>
                  </w:r>
                </w:p>
              </w:tc>
              <w:tc>
                <w:tcPr>
                  <w:tcW w:w="168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保障性安居工程支出</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92.00</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92.00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2210101</w:t>
                  </w:r>
                </w:p>
              </w:tc>
              <w:tc>
                <w:tcPr>
                  <w:tcW w:w="168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廉租住房</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5.46</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5.46</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2210103</w:t>
                  </w:r>
                </w:p>
              </w:tc>
              <w:tc>
                <w:tcPr>
                  <w:tcW w:w="168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棚户区改造</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32.76</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32.76</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2210105</w:t>
                  </w:r>
                </w:p>
              </w:tc>
              <w:tc>
                <w:tcPr>
                  <w:tcW w:w="168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农村危房改造</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14.62</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14.62</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2210106</w:t>
                  </w:r>
                </w:p>
              </w:tc>
              <w:tc>
                <w:tcPr>
                  <w:tcW w:w="168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公共租赁住房</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9.00</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2210107</w:t>
                  </w:r>
                </w:p>
              </w:tc>
              <w:tc>
                <w:tcPr>
                  <w:tcW w:w="168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保障性住房租金补贴</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13.00</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2210108</w:t>
                  </w:r>
                </w:p>
              </w:tc>
              <w:tc>
                <w:tcPr>
                  <w:tcW w:w="168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老旧小区改造</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10.08</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10.08</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2210199</w:t>
                  </w:r>
                </w:p>
              </w:tc>
              <w:tc>
                <w:tcPr>
                  <w:tcW w:w="168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其他保障性安居工程支出</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7.08</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7.08</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22102</w:t>
                  </w:r>
                </w:p>
              </w:tc>
              <w:tc>
                <w:tcPr>
                  <w:tcW w:w="168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住房改革支出</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28.84</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28.84</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2210201</w:t>
                  </w:r>
                </w:p>
              </w:tc>
              <w:tc>
                <w:tcPr>
                  <w:tcW w:w="168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住房公积金</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28.84</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28.84</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229</w:t>
                  </w:r>
                </w:p>
              </w:tc>
              <w:tc>
                <w:tcPr>
                  <w:tcW w:w="168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其他支出</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136.97</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85.02</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51.95</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22999</w:t>
                  </w:r>
                </w:p>
              </w:tc>
              <w:tc>
                <w:tcPr>
                  <w:tcW w:w="168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其他支出</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136.97</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85.02</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51.95</w:t>
                  </w:r>
                </w:p>
              </w:tc>
            </w:tr>
            <w:tr>
              <w:tblPrEx>
                <w:tblCellMar>
                  <w:top w:w="0" w:type="dxa"/>
                  <w:left w:w="108" w:type="dxa"/>
                  <w:bottom w:w="0" w:type="dxa"/>
                  <w:right w:w="108" w:type="dxa"/>
                </w:tblCellMar>
              </w:tblPrEx>
              <w:trPr>
                <w:trHeight w:val="308" w:hRule="atLeast"/>
              </w:trPr>
              <w:tc>
                <w:tcPr>
                  <w:tcW w:w="424"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2299999</w:t>
                  </w:r>
                </w:p>
              </w:tc>
              <w:tc>
                <w:tcPr>
                  <w:tcW w:w="1683"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其他支出</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136.97</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85.02</w:t>
                  </w:r>
                </w:p>
              </w:tc>
              <w:tc>
                <w:tcPr>
                  <w:tcW w:w="963"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51.95</w:t>
                  </w:r>
                </w:p>
              </w:tc>
            </w:tr>
          </w:tbl>
          <w:p>
            <w:pPr>
              <w:widowControl/>
              <w:jc w:val="center"/>
              <w:textAlignment w:val="bottom"/>
              <w:rPr>
                <w:rFonts w:ascii="宋体" w:hAnsi="宋体" w:eastAsia="宋体" w:cs="宋体"/>
                <w:color w:val="000000"/>
                <w:sz w:val="30"/>
                <w:szCs w:val="30"/>
              </w:rPr>
            </w:pPr>
          </w:p>
        </w:tc>
      </w:tr>
      <w:tr>
        <w:tblPrEx>
          <w:tblCellMar>
            <w:top w:w="0" w:type="dxa"/>
            <w:left w:w="108" w:type="dxa"/>
            <w:bottom w:w="0" w:type="dxa"/>
            <w:right w:w="108" w:type="dxa"/>
          </w:tblCellMar>
        </w:tblPrEx>
        <w:trPr>
          <w:trHeight w:val="358" w:hRule="atLeast"/>
        </w:trPr>
        <w:tc>
          <w:tcPr>
            <w:tcW w:w="13980" w:type="dxa"/>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注：本表反映部门本年度一般公共预算财政拨款支出情况。</w:t>
            </w:r>
          </w:p>
        </w:tc>
      </w:tr>
    </w:tbl>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r>
        <w:rPr>
          <w:rFonts w:hint="eastAsia" w:ascii="仿宋" w:hAnsi="仿宋" w:eastAsia="仿宋" w:cs="仿宋"/>
          <w:sz w:val="24"/>
        </w:rPr>
        <w:t>表六：一般公共预算财政拨款基本支出决算表</w:t>
      </w:r>
    </w:p>
    <w:p>
      <w:pPr>
        <w:jc w:val="left"/>
        <w:rPr>
          <w:rFonts w:ascii="仿宋" w:hAnsi="仿宋" w:eastAsia="仿宋" w:cs="仿宋"/>
          <w:sz w:val="24"/>
        </w:rPr>
      </w:pPr>
    </w:p>
    <w:tbl>
      <w:tblPr>
        <w:tblStyle w:val="7"/>
        <w:tblW w:w="14000" w:type="dxa"/>
        <w:tblInd w:w="96" w:type="dxa"/>
        <w:tblLayout w:type="autofit"/>
        <w:tblCellMar>
          <w:top w:w="0" w:type="dxa"/>
          <w:left w:w="108" w:type="dxa"/>
          <w:bottom w:w="0" w:type="dxa"/>
          <w:right w:w="108" w:type="dxa"/>
        </w:tblCellMar>
      </w:tblPr>
      <w:tblGrid>
        <w:gridCol w:w="14078"/>
      </w:tblGrid>
      <w:tr>
        <w:tblPrEx>
          <w:tblCellMar>
            <w:top w:w="0" w:type="dxa"/>
            <w:left w:w="108" w:type="dxa"/>
            <w:bottom w:w="0" w:type="dxa"/>
            <w:right w:w="108" w:type="dxa"/>
          </w:tblCellMar>
        </w:tblPrEx>
        <w:trPr>
          <w:trHeight w:val="614" w:hRule="atLeast"/>
        </w:trPr>
        <w:tc>
          <w:tcPr>
            <w:tcW w:w="14000" w:type="dxa"/>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kern w:val="0"/>
                <w:sz w:val="32"/>
                <w:szCs w:val="32"/>
              </w:rPr>
            </w:pPr>
            <w:r>
              <w:rPr>
                <w:rFonts w:hint="eastAsia" w:ascii="宋体" w:hAnsi="宋体" w:eastAsia="宋体" w:cs="宋体"/>
                <w:color w:val="000000"/>
                <w:kern w:val="0"/>
                <w:sz w:val="32"/>
                <w:szCs w:val="32"/>
              </w:rPr>
              <w:t>一般公共预算财政拨款基本支出决算明细表</w:t>
            </w:r>
          </w:p>
          <w:tbl>
            <w:tblPr>
              <w:tblStyle w:val="7"/>
              <w:tblW w:w="4998" w:type="pct"/>
              <w:tblInd w:w="0" w:type="dxa"/>
              <w:tblLayout w:type="autofit"/>
              <w:tblCellMar>
                <w:top w:w="0" w:type="dxa"/>
                <w:left w:w="108" w:type="dxa"/>
                <w:bottom w:w="0" w:type="dxa"/>
                <w:right w:w="108" w:type="dxa"/>
              </w:tblCellMar>
            </w:tblPr>
            <w:tblGrid>
              <w:gridCol w:w="3387"/>
              <w:gridCol w:w="2396"/>
              <w:gridCol w:w="652"/>
              <w:gridCol w:w="579"/>
              <w:gridCol w:w="1669"/>
              <w:gridCol w:w="579"/>
              <w:gridCol w:w="579"/>
              <w:gridCol w:w="2970"/>
              <w:gridCol w:w="9"/>
              <w:gridCol w:w="1042"/>
            </w:tblGrid>
            <w:tr>
              <w:tblPrEx>
                <w:tblCellMar>
                  <w:top w:w="0" w:type="dxa"/>
                  <w:left w:w="108" w:type="dxa"/>
                  <w:bottom w:w="0" w:type="dxa"/>
                  <w:right w:w="108" w:type="dxa"/>
                </w:tblCellMar>
              </w:tblPrEx>
              <w:trPr>
                <w:trHeight w:val="255" w:hRule="atLeast"/>
              </w:trPr>
              <w:tc>
                <w:tcPr>
                  <w:tcW w:w="1220"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63"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4"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08"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02"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09"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08"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71"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79" w:type="pct"/>
                  <w:gridSpan w:val="2"/>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公开06表</w:t>
                  </w:r>
                </w:p>
              </w:tc>
            </w:tr>
            <w:tr>
              <w:tblPrEx>
                <w:tblCellMar>
                  <w:top w:w="0" w:type="dxa"/>
                  <w:left w:w="108" w:type="dxa"/>
                  <w:bottom w:w="0" w:type="dxa"/>
                  <w:right w:w="108" w:type="dxa"/>
                </w:tblCellMar>
              </w:tblPrEx>
              <w:trPr>
                <w:trHeight w:val="255" w:hRule="atLeast"/>
              </w:trPr>
              <w:tc>
                <w:tcPr>
                  <w:tcW w:w="1220" w:type="pct"/>
                  <w:tcBorders>
                    <w:top w:val="nil"/>
                    <w:left w:val="nil"/>
                    <w:bottom w:val="nil"/>
                    <w:right w:val="nil"/>
                  </w:tcBorders>
                  <w:shd w:val="clear" w:color="auto" w:fill="auto"/>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部门：广西河池市环江毛南族自治县住房和城乡建设局</w:t>
                  </w:r>
                </w:p>
              </w:tc>
              <w:tc>
                <w:tcPr>
                  <w:tcW w:w="863"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4"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08"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02"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09"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08"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71"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79" w:type="pct"/>
                  <w:gridSpan w:val="2"/>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2319"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人员经费</w:t>
                  </w:r>
                </w:p>
              </w:tc>
              <w:tc>
                <w:tcPr>
                  <w:tcW w:w="2680" w:type="pct"/>
                  <w:gridSpan w:val="7"/>
                  <w:tcBorders>
                    <w:top w:val="single" w:color="000000" w:sz="4" w:space="0"/>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公用经费</w:t>
                  </w:r>
                </w:p>
              </w:tc>
            </w:tr>
            <w:tr>
              <w:tblPrEx>
                <w:tblCellMar>
                  <w:top w:w="0" w:type="dxa"/>
                  <w:left w:w="108" w:type="dxa"/>
                  <w:bottom w:w="0" w:type="dxa"/>
                  <w:right w:w="108" w:type="dxa"/>
                </w:tblCellMar>
              </w:tblPrEx>
              <w:trPr>
                <w:trHeight w:val="312" w:hRule="atLeast"/>
              </w:trPr>
              <w:tc>
                <w:tcPr>
                  <w:tcW w:w="1220" w:type="pct"/>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科目代码</w:t>
                  </w:r>
                </w:p>
              </w:tc>
              <w:tc>
                <w:tcPr>
                  <w:tcW w:w="863"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236"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决算数</w:t>
                  </w:r>
                </w:p>
              </w:tc>
              <w:tc>
                <w:tcPr>
                  <w:tcW w:w="208"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科目代码</w:t>
                  </w:r>
                </w:p>
              </w:tc>
              <w:tc>
                <w:tcPr>
                  <w:tcW w:w="601"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209"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决算数</w:t>
                  </w:r>
                </w:p>
              </w:tc>
              <w:tc>
                <w:tcPr>
                  <w:tcW w:w="209"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科目代码</w:t>
                  </w:r>
                </w:p>
              </w:tc>
              <w:tc>
                <w:tcPr>
                  <w:tcW w:w="1073" w:type="pct"/>
                  <w:gridSpan w:val="2"/>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377"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决算数</w:t>
                  </w:r>
                </w:p>
              </w:tc>
            </w:tr>
            <w:tr>
              <w:tblPrEx>
                <w:tblCellMar>
                  <w:top w:w="0" w:type="dxa"/>
                  <w:left w:w="108" w:type="dxa"/>
                  <w:bottom w:w="0" w:type="dxa"/>
                  <w:right w:w="108" w:type="dxa"/>
                </w:tblCellMar>
              </w:tblPrEx>
              <w:trPr>
                <w:trHeight w:val="312" w:hRule="atLeast"/>
              </w:trPr>
              <w:tc>
                <w:tcPr>
                  <w:tcW w:w="1220" w:type="pct"/>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863"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236"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208"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601"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209"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209"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1073" w:type="pct"/>
                  <w:gridSpan w:val="2"/>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377"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08" w:hRule="atLeast"/>
              </w:trPr>
              <w:tc>
                <w:tcPr>
                  <w:tcW w:w="1220"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w:t>
                  </w:r>
                </w:p>
              </w:tc>
              <w:tc>
                <w:tcPr>
                  <w:tcW w:w="863"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工资福利支出</w:t>
                  </w:r>
                </w:p>
              </w:tc>
              <w:tc>
                <w:tcPr>
                  <w:tcW w:w="23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388.16</w:t>
                  </w:r>
                </w:p>
              </w:tc>
              <w:tc>
                <w:tcPr>
                  <w:tcW w:w="20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w:t>
                  </w:r>
                </w:p>
              </w:tc>
              <w:tc>
                <w:tcPr>
                  <w:tcW w:w="6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商品和服务支出</w:t>
                  </w:r>
                </w:p>
              </w:tc>
              <w:tc>
                <w:tcPr>
                  <w:tcW w:w="20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25.21</w:t>
                  </w:r>
                </w:p>
              </w:tc>
              <w:tc>
                <w:tcPr>
                  <w:tcW w:w="209"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307</w:t>
                  </w:r>
                </w:p>
              </w:tc>
              <w:tc>
                <w:tcPr>
                  <w:tcW w:w="1073" w:type="pct"/>
                  <w:gridSpan w:val="2"/>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债务利息及费用支出</w:t>
                  </w:r>
                </w:p>
              </w:tc>
              <w:tc>
                <w:tcPr>
                  <w:tcW w:w="37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20"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30101</w:t>
                  </w:r>
                </w:p>
              </w:tc>
              <w:tc>
                <w:tcPr>
                  <w:tcW w:w="863"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基本工资</w:t>
                  </w:r>
                </w:p>
              </w:tc>
              <w:tc>
                <w:tcPr>
                  <w:tcW w:w="23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89.17</w:t>
                  </w:r>
                </w:p>
              </w:tc>
              <w:tc>
                <w:tcPr>
                  <w:tcW w:w="20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30201</w:t>
                  </w:r>
                </w:p>
              </w:tc>
              <w:tc>
                <w:tcPr>
                  <w:tcW w:w="6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办公费</w:t>
                  </w:r>
                </w:p>
              </w:tc>
              <w:tc>
                <w:tcPr>
                  <w:tcW w:w="20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1.81</w:t>
                  </w:r>
                </w:p>
              </w:tc>
              <w:tc>
                <w:tcPr>
                  <w:tcW w:w="209"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30701</w:t>
                  </w:r>
                </w:p>
              </w:tc>
              <w:tc>
                <w:tcPr>
                  <w:tcW w:w="1073" w:type="pct"/>
                  <w:gridSpan w:val="2"/>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国内债务付息</w:t>
                  </w:r>
                </w:p>
              </w:tc>
              <w:tc>
                <w:tcPr>
                  <w:tcW w:w="37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20"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30102</w:t>
                  </w:r>
                </w:p>
              </w:tc>
              <w:tc>
                <w:tcPr>
                  <w:tcW w:w="863"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津贴补贴</w:t>
                  </w:r>
                </w:p>
              </w:tc>
              <w:tc>
                <w:tcPr>
                  <w:tcW w:w="23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29.00</w:t>
                  </w:r>
                </w:p>
              </w:tc>
              <w:tc>
                <w:tcPr>
                  <w:tcW w:w="20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30202</w:t>
                  </w:r>
                </w:p>
              </w:tc>
              <w:tc>
                <w:tcPr>
                  <w:tcW w:w="6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印刷费</w:t>
                  </w:r>
                </w:p>
              </w:tc>
              <w:tc>
                <w:tcPr>
                  <w:tcW w:w="20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9"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30702</w:t>
                  </w:r>
                </w:p>
              </w:tc>
              <w:tc>
                <w:tcPr>
                  <w:tcW w:w="1073" w:type="pct"/>
                  <w:gridSpan w:val="2"/>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国外债务付息</w:t>
                  </w:r>
                </w:p>
              </w:tc>
              <w:tc>
                <w:tcPr>
                  <w:tcW w:w="37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20"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30103</w:t>
                  </w:r>
                </w:p>
              </w:tc>
              <w:tc>
                <w:tcPr>
                  <w:tcW w:w="863"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奖金</w:t>
                  </w:r>
                </w:p>
              </w:tc>
              <w:tc>
                <w:tcPr>
                  <w:tcW w:w="23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119.70</w:t>
                  </w:r>
                </w:p>
              </w:tc>
              <w:tc>
                <w:tcPr>
                  <w:tcW w:w="20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30203</w:t>
                  </w:r>
                </w:p>
              </w:tc>
              <w:tc>
                <w:tcPr>
                  <w:tcW w:w="6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咨询费</w:t>
                  </w:r>
                </w:p>
              </w:tc>
              <w:tc>
                <w:tcPr>
                  <w:tcW w:w="20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9"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w:t>
                  </w:r>
                </w:p>
              </w:tc>
              <w:tc>
                <w:tcPr>
                  <w:tcW w:w="1073" w:type="pct"/>
                  <w:gridSpan w:val="2"/>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资本性支出</w:t>
                  </w:r>
                </w:p>
              </w:tc>
              <w:tc>
                <w:tcPr>
                  <w:tcW w:w="37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20"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30106</w:t>
                  </w:r>
                </w:p>
              </w:tc>
              <w:tc>
                <w:tcPr>
                  <w:tcW w:w="863"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伙食补助费</w:t>
                  </w:r>
                </w:p>
              </w:tc>
              <w:tc>
                <w:tcPr>
                  <w:tcW w:w="23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5.83</w:t>
                  </w:r>
                </w:p>
              </w:tc>
              <w:tc>
                <w:tcPr>
                  <w:tcW w:w="20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30204</w:t>
                  </w:r>
                </w:p>
              </w:tc>
              <w:tc>
                <w:tcPr>
                  <w:tcW w:w="6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手续费</w:t>
                  </w:r>
                </w:p>
              </w:tc>
              <w:tc>
                <w:tcPr>
                  <w:tcW w:w="20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9"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31001</w:t>
                  </w:r>
                </w:p>
              </w:tc>
              <w:tc>
                <w:tcPr>
                  <w:tcW w:w="1073" w:type="pct"/>
                  <w:gridSpan w:val="2"/>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房屋建筑物购建</w:t>
                  </w:r>
                </w:p>
              </w:tc>
              <w:tc>
                <w:tcPr>
                  <w:tcW w:w="37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20"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30107</w:t>
                  </w:r>
                </w:p>
              </w:tc>
              <w:tc>
                <w:tcPr>
                  <w:tcW w:w="863"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绩效工资</w:t>
                  </w:r>
                </w:p>
              </w:tc>
              <w:tc>
                <w:tcPr>
                  <w:tcW w:w="23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35.53</w:t>
                  </w:r>
                </w:p>
              </w:tc>
              <w:tc>
                <w:tcPr>
                  <w:tcW w:w="20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30205</w:t>
                  </w:r>
                </w:p>
              </w:tc>
              <w:tc>
                <w:tcPr>
                  <w:tcW w:w="6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水费</w:t>
                  </w:r>
                </w:p>
              </w:tc>
              <w:tc>
                <w:tcPr>
                  <w:tcW w:w="20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0.06</w:t>
                  </w:r>
                </w:p>
              </w:tc>
              <w:tc>
                <w:tcPr>
                  <w:tcW w:w="209"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31002</w:t>
                  </w:r>
                </w:p>
              </w:tc>
              <w:tc>
                <w:tcPr>
                  <w:tcW w:w="1073" w:type="pct"/>
                  <w:gridSpan w:val="2"/>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办公设备购置</w:t>
                  </w:r>
                </w:p>
              </w:tc>
              <w:tc>
                <w:tcPr>
                  <w:tcW w:w="37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20"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30108</w:t>
                  </w:r>
                </w:p>
              </w:tc>
              <w:tc>
                <w:tcPr>
                  <w:tcW w:w="863"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机关事业单位基本养老保险缴费</w:t>
                  </w:r>
                </w:p>
              </w:tc>
              <w:tc>
                <w:tcPr>
                  <w:tcW w:w="23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41.41</w:t>
                  </w:r>
                </w:p>
              </w:tc>
              <w:tc>
                <w:tcPr>
                  <w:tcW w:w="20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30206</w:t>
                  </w:r>
                </w:p>
              </w:tc>
              <w:tc>
                <w:tcPr>
                  <w:tcW w:w="6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电费</w:t>
                  </w:r>
                </w:p>
              </w:tc>
              <w:tc>
                <w:tcPr>
                  <w:tcW w:w="20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0.28</w:t>
                  </w:r>
                </w:p>
              </w:tc>
              <w:tc>
                <w:tcPr>
                  <w:tcW w:w="209"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31003</w:t>
                  </w:r>
                </w:p>
              </w:tc>
              <w:tc>
                <w:tcPr>
                  <w:tcW w:w="1073" w:type="pct"/>
                  <w:gridSpan w:val="2"/>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专用设备购置</w:t>
                  </w:r>
                </w:p>
              </w:tc>
              <w:tc>
                <w:tcPr>
                  <w:tcW w:w="37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20"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30109</w:t>
                  </w:r>
                </w:p>
              </w:tc>
              <w:tc>
                <w:tcPr>
                  <w:tcW w:w="863"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职业年金缴费</w:t>
                  </w:r>
                </w:p>
              </w:tc>
              <w:tc>
                <w:tcPr>
                  <w:tcW w:w="23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1.27</w:t>
                  </w:r>
                </w:p>
              </w:tc>
              <w:tc>
                <w:tcPr>
                  <w:tcW w:w="20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30207</w:t>
                  </w:r>
                </w:p>
              </w:tc>
              <w:tc>
                <w:tcPr>
                  <w:tcW w:w="6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邮电费</w:t>
                  </w:r>
                </w:p>
              </w:tc>
              <w:tc>
                <w:tcPr>
                  <w:tcW w:w="20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1.77</w:t>
                  </w:r>
                </w:p>
              </w:tc>
              <w:tc>
                <w:tcPr>
                  <w:tcW w:w="209"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31005</w:t>
                  </w:r>
                </w:p>
              </w:tc>
              <w:tc>
                <w:tcPr>
                  <w:tcW w:w="1073" w:type="pct"/>
                  <w:gridSpan w:val="2"/>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基础设施建设</w:t>
                  </w:r>
                </w:p>
              </w:tc>
              <w:tc>
                <w:tcPr>
                  <w:tcW w:w="37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20"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30110</w:t>
                  </w:r>
                </w:p>
              </w:tc>
              <w:tc>
                <w:tcPr>
                  <w:tcW w:w="863"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职工基本医疗保险缴费</w:t>
                  </w:r>
                </w:p>
              </w:tc>
              <w:tc>
                <w:tcPr>
                  <w:tcW w:w="23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18.63</w:t>
                  </w:r>
                </w:p>
              </w:tc>
              <w:tc>
                <w:tcPr>
                  <w:tcW w:w="20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30208</w:t>
                  </w:r>
                </w:p>
              </w:tc>
              <w:tc>
                <w:tcPr>
                  <w:tcW w:w="6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取暖费</w:t>
                  </w:r>
                </w:p>
              </w:tc>
              <w:tc>
                <w:tcPr>
                  <w:tcW w:w="20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9"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31006</w:t>
                  </w:r>
                </w:p>
              </w:tc>
              <w:tc>
                <w:tcPr>
                  <w:tcW w:w="1073" w:type="pct"/>
                  <w:gridSpan w:val="2"/>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大型修缮</w:t>
                  </w:r>
                </w:p>
              </w:tc>
              <w:tc>
                <w:tcPr>
                  <w:tcW w:w="37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20"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30111</w:t>
                  </w:r>
                </w:p>
              </w:tc>
              <w:tc>
                <w:tcPr>
                  <w:tcW w:w="863"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公务员医疗补助缴费</w:t>
                  </w:r>
                </w:p>
              </w:tc>
              <w:tc>
                <w:tcPr>
                  <w:tcW w:w="23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30209</w:t>
                  </w:r>
                </w:p>
              </w:tc>
              <w:tc>
                <w:tcPr>
                  <w:tcW w:w="6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物业管理费</w:t>
                  </w:r>
                </w:p>
              </w:tc>
              <w:tc>
                <w:tcPr>
                  <w:tcW w:w="20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9"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31007</w:t>
                  </w:r>
                </w:p>
              </w:tc>
              <w:tc>
                <w:tcPr>
                  <w:tcW w:w="1073" w:type="pct"/>
                  <w:gridSpan w:val="2"/>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信息网络及软件购置更新</w:t>
                  </w:r>
                </w:p>
              </w:tc>
              <w:tc>
                <w:tcPr>
                  <w:tcW w:w="37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20"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30112</w:t>
                  </w:r>
                </w:p>
              </w:tc>
              <w:tc>
                <w:tcPr>
                  <w:tcW w:w="863"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其他社会保障缴费</w:t>
                  </w:r>
                </w:p>
              </w:tc>
              <w:tc>
                <w:tcPr>
                  <w:tcW w:w="23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1.10</w:t>
                  </w:r>
                </w:p>
              </w:tc>
              <w:tc>
                <w:tcPr>
                  <w:tcW w:w="20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30211</w:t>
                  </w:r>
                </w:p>
              </w:tc>
              <w:tc>
                <w:tcPr>
                  <w:tcW w:w="6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差旅费</w:t>
                  </w:r>
                </w:p>
              </w:tc>
              <w:tc>
                <w:tcPr>
                  <w:tcW w:w="20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9"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31008</w:t>
                  </w:r>
                </w:p>
              </w:tc>
              <w:tc>
                <w:tcPr>
                  <w:tcW w:w="1073" w:type="pct"/>
                  <w:gridSpan w:val="2"/>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物资储备</w:t>
                  </w:r>
                </w:p>
              </w:tc>
              <w:tc>
                <w:tcPr>
                  <w:tcW w:w="37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20"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30113</w:t>
                  </w:r>
                </w:p>
              </w:tc>
              <w:tc>
                <w:tcPr>
                  <w:tcW w:w="863"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住房公积金</w:t>
                  </w:r>
                </w:p>
              </w:tc>
              <w:tc>
                <w:tcPr>
                  <w:tcW w:w="23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29.02</w:t>
                  </w:r>
                </w:p>
              </w:tc>
              <w:tc>
                <w:tcPr>
                  <w:tcW w:w="20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30212</w:t>
                  </w:r>
                </w:p>
              </w:tc>
              <w:tc>
                <w:tcPr>
                  <w:tcW w:w="6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因公出国（境）费用</w:t>
                  </w:r>
                </w:p>
              </w:tc>
              <w:tc>
                <w:tcPr>
                  <w:tcW w:w="20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9"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31009</w:t>
                  </w:r>
                </w:p>
              </w:tc>
              <w:tc>
                <w:tcPr>
                  <w:tcW w:w="1073" w:type="pct"/>
                  <w:gridSpan w:val="2"/>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土地补偿</w:t>
                  </w:r>
                </w:p>
              </w:tc>
              <w:tc>
                <w:tcPr>
                  <w:tcW w:w="37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20"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30114</w:t>
                  </w:r>
                </w:p>
              </w:tc>
              <w:tc>
                <w:tcPr>
                  <w:tcW w:w="863"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医疗费</w:t>
                  </w:r>
                </w:p>
              </w:tc>
              <w:tc>
                <w:tcPr>
                  <w:tcW w:w="23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30213</w:t>
                  </w:r>
                </w:p>
              </w:tc>
              <w:tc>
                <w:tcPr>
                  <w:tcW w:w="6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维修（护）费</w:t>
                  </w:r>
                </w:p>
              </w:tc>
              <w:tc>
                <w:tcPr>
                  <w:tcW w:w="20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9"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31010</w:t>
                  </w:r>
                </w:p>
              </w:tc>
              <w:tc>
                <w:tcPr>
                  <w:tcW w:w="1073" w:type="pct"/>
                  <w:gridSpan w:val="2"/>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安置补助</w:t>
                  </w:r>
                </w:p>
              </w:tc>
              <w:tc>
                <w:tcPr>
                  <w:tcW w:w="37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20"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30199</w:t>
                  </w:r>
                </w:p>
              </w:tc>
              <w:tc>
                <w:tcPr>
                  <w:tcW w:w="863"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其他工资福利支出</w:t>
                  </w:r>
                </w:p>
              </w:tc>
              <w:tc>
                <w:tcPr>
                  <w:tcW w:w="23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17.51</w:t>
                  </w:r>
                </w:p>
              </w:tc>
              <w:tc>
                <w:tcPr>
                  <w:tcW w:w="20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30214</w:t>
                  </w:r>
                </w:p>
              </w:tc>
              <w:tc>
                <w:tcPr>
                  <w:tcW w:w="6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租赁费</w:t>
                  </w:r>
                </w:p>
              </w:tc>
              <w:tc>
                <w:tcPr>
                  <w:tcW w:w="20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9"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31011</w:t>
                  </w:r>
                </w:p>
              </w:tc>
              <w:tc>
                <w:tcPr>
                  <w:tcW w:w="1073" w:type="pct"/>
                  <w:gridSpan w:val="2"/>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地上附着物和青苗补偿</w:t>
                  </w:r>
                </w:p>
              </w:tc>
              <w:tc>
                <w:tcPr>
                  <w:tcW w:w="37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20"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303</w:t>
                  </w:r>
                </w:p>
              </w:tc>
              <w:tc>
                <w:tcPr>
                  <w:tcW w:w="863"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对个人和家庭的补助</w:t>
                  </w:r>
                </w:p>
              </w:tc>
              <w:tc>
                <w:tcPr>
                  <w:tcW w:w="23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12.26</w:t>
                  </w:r>
                </w:p>
              </w:tc>
              <w:tc>
                <w:tcPr>
                  <w:tcW w:w="20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30215</w:t>
                  </w:r>
                </w:p>
              </w:tc>
              <w:tc>
                <w:tcPr>
                  <w:tcW w:w="6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会议费</w:t>
                  </w:r>
                </w:p>
              </w:tc>
              <w:tc>
                <w:tcPr>
                  <w:tcW w:w="20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0.39</w:t>
                  </w:r>
                </w:p>
              </w:tc>
              <w:tc>
                <w:tcPr>
                  <w:tcW w:w="209"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31012</w:t>
                  </w:r>
                </w:p>
              </w:tc>
              <w:tc>
                <w:tcPr>
                  <w:tcW w:w="1073" w:type="pct"/>
                  <w:gridSpan w:val="2"/>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拆迁补偿</w:t>
                  </w:r>
                </w:p>
              </w:tc>
              <w:tc>
                <w:tcPr>
                  <w:tcW w:w="37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20"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30301</w:t>
                  </w:r>
                </w:p>
              </w:tc>
              <w:tc>
                <w:tcPr>
                  <w:tcW w:w="863"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离休费</w:t>
                  </w:r>
                </w:p>
              </w:tc>
              <w:tc>
                <w:tcPr>
                  <w:tcW w:w="23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30216</w:t>
                  </w:r>
                </w:p>
              </w:tc>
              <w:tc>
                <w:tcPr>
                  <w:tcW w:w="6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培训费</w:t>
                  </w:r>
                </w:p>
              </w:tc>
              <w:tc>
                <w:tcPr>
                  <w:tcW w:w="20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9"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31013</w:t>
                  </w:r>
                </w:p>
              </w:tc>
              <w:tc>
                <w:tcPr>
                  <w:tcW w:w="1073" w:type="pct"/>
                  <w:gridSpan w:val="2"/>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公务用车购置</w:t>
                  </w:r>
                </w:p>
              </w:tc>
              <w:tc>
                <w:tcPr>
                  <w:tcW w:w="37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20"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30302</w:t>
                  </w:r>
                </w:p>
              </w:tc>
              <w:tc>
                <w:tcPr>
                  <w:tcW w:w="863"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退休费</w:t>
                  </w:r>
                </w:p>
              </w:tc>
              <w:tc>
                <w:tcPr>
                  <w:tcW w:w="23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30217</w:t>
                  </w:r>
                </w:p>
              </w:tc>
              <w:tc>
                <w:tcPr>
                  <w:tcW w:w="6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公务接待费</w:t>
                  </w:r>
                </w:p>
              </w:tc>
              <w:tc>
                <w:tcPr>
                  <w:tcW w:w="20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9"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31019</w:t>
                  </w:r>
                </w:p>
              </w:tc>
              <w:tc>
                <w:tcPr>
                  <w:tcW w:w="1073" w:type="pct"/>
                  <w:gridSpan w:val="2"/>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其他交通工具购置</w:t>
                  </w:r>
                </w:p>
              </w:tc>
              <w:tc>
                <w:tcPr>
                  <w:tcW w:w="37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20"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30303</w:t>
                  </w:r>
                </w:p>
              </w:tc>
              <w:tc>
                <w:tcPr>
                  <w:tcW w:w="863"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退职（役）费</w:t>
                  </w:r>
                </w:p>
              </w:tc>
              <w:tc>
                <w:tcPr>
                  <w:tcW w:w="23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30218</w:t>
                  </w:r>
                </w:p>
              </w:tc>
              <w:tc>
                <w:tcPr>
                  <w:tcW w:w="6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专用材料费</w:t>
                  </w:r>
                </w:p>
              </w:tc>
              <w:tc>
                <w:tcPr>
                  <w:tcW w:w="20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9"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31021</w:t>
                  </w:r>
                </w:p>
              </w:tc>
              <w:tc>
                <w:tcPr>
                  <w:tcW w:w="1073" w:type="pct"/>
                  <w:gridSpan w:val="2"/>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文物和陈列品购置</w:t>
                  </w:r>
                </w:p>
              </w:tc>
              <w:tc>
                <w:tcPr>
                  <w:tcW w:w="37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20"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30304</w:t>
                  </w:r>
                </w:p>
              </w:tc>
              <w:tc>
                <w:tcPr>
                  <w:tcW w:w="863"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抚恤金</w:t>
                  </w:r>
                </w:p>
              </w:tc>
              <w:tc>
                <w:tcPr>
                  <w:tcW w:w="23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0.76</w:t>
                  </w:r>
                </w:p>
              </w:tc>
              <w:tc>
                <w:tcPr>
                  <w:tcW w:w="20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30224</w:t>
                  </w:r>
                </w:p>
              </w:tc>
              <w:tc>
                <w:tcPr>
                  <w:tcW w:w="6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被装购置费</w:t>
                  </w:r>
                </w:p>
              </w:tc>
              <w:tc>
                <w:tcPr>
                  <w:tcW w:w="20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9"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31022</w:t>
                  </w:r>
                </w:p>
              </w:tc>
              <w:tc>
                <w:tcPr>
                  <w:tcW w:w="1073" w:type="pct"/>
                  <w:gridSpan w:val="2"/>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无形资产购置</w:t>
                  </w:r>
                </w:p>
              </w:tc>
              <w:tc>
                <w:tcPr>
                  <w:tcW w:w="37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20"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30305</w:t>
                  </w:r>
                </w:p>
              </w:tc>
              <w:tc>
                <w:tcPr>
                  <w:tcW w:w="863"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生活补助</w:t>
                  </w:r>
                </w:p>
              </w:tc>
              <w:tc>
                <w:tcPr>
                  <w:tcW w:w="23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11.49</w:t>
                  </w:r>
                </w:p>
              </w:tc>
              <w:tc>
                <w:tcPr>
                  <w:tcW w:w="20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30225</w:t>
                  </w:r>
                </w:p>
              </w:tc>
              <w:tc>
                <w:tcPr>
                  <w:tcW w:w="6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专用燃料费</w:t>
                  </w:r>
                </w:p>
              </w:tc>
              <w:tc>
                <w:tcPr>
                  <w:tcW w:w="20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9"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31099</w:t>
                  </w:r>
                </w:p>
              </w:tc>
              <w:tc>
                <w:tcPr>
                  <w:tcW w:w="1073" w:type="pct"/>
                  <w:gridSpan w:val="2"/>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其他资本性支出</w:t>
                  </w:r>
                </w:p>
              </w:tc>
              <w:tc>
                <w:tcPr>
                  <w:tcW w:w="37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20"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30306</w:t>
                  </w:r>
                </w:p>
              </w:tc>
              <w:tc>
                <w:tcPr>
                  <w:tcW w:w="863"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救济费</w:t>
                  </w:r>
                </w:p>
              </w:tc>
              <w:tc>
                <w:tcPr>
                  <w:tcW w:w="23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30226</w:t>
                  </w:r>
                </w:p>
              </w:tc>
              <w:tc>
                <w:tcPr>
                  <w:tcW w:w="6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劳务费</w:t>
                  </w:r>
                </w:p>
              </w:tc>
              <w:tc>
                <w:tcPr>
                  <w:tcW w:w="20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9"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399</w:t>
                  </w:r>
                </w:p>
              </w:tc>
              <w:tc>
                <w:tcPr>
                  <w:tcW w:w="1073" w:type="pct"/>
                  <w:gridSpan w:val="2"/>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其他支出</w:t>
                  </w:r>
                </w:p>
              </w:tc>
              <w:tc>
                <w:tcPr>
                  <w:tcW w:w="37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20"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30307</w:t>
                  </w:r>
                </w:p>
              </w:tc>
              <w:tc>
                <w:tcPr>
                  <w:tcW w:w="863"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医疗费补助</w:t>
                  </w:r>
                </w:p>
              </w:tc>
              <w:tc>
                <w:tcPr>
                  <w:tcW w:w="23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30227</w:t>
                  </w:r>
                </w:p>
              </w:tc>
              <w:tc>
                <w:tcPr>
                  <w:tcW w:w="6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委托业务费</w:t>
                  </w:r>
                </w:p>
              </w:tc>
              <w:tc>
                <w:tcPr>
                  <w:tcW w:w="20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9"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39907</w:t>
                  </w:r>
                </w:p>
              </w:tc>
              <w:tc>
                <w:tcPr>
                  <w:tcW w:w="1073" w:type="pct"/>
                  <w:gridSpan w:val="2"/>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国家赔偿费用支出</w:t>
                  </w:r>
                </w:p>
              </w:tc>
              <w:tc>
                <w:tcPr>
                  <w:tcW w:w="37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20"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30308</w:t>
                  </w:r>
                </w:p>
              </w:tc>
              <w:tc>
                <w:tcPr>
                  <w:tcW w:w="863"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助学金</w:t>
                  </w:r>
                </w:p>
              </w:tc>
              <w:tc>
                <w:tcPr>
                  <w:tcW w:w="23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30228</w:t>
                  </w:r>
                </w:p>
              </w:tc>
              <w:tc>
                <w:tcPr>
                  <w:tcW w:w="6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工会经费</w:t>
                  </w:r>
                </w:p>
              </w:tc>
              <w:tc>
                <w:tcPr>
                  <w:tcW w:w="20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4.81</w:t>
                  </w:r>
                </w:p>
              </w:tc>
              <w:tc>
                <w:tcPr>
                  <w:tcW w:w="209"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39908</w:t>
                  </w:r>
                </w:p>
              </w:tc>
              <w:tc>
                <w:tcPr>
                  <w:tcW w:w="1073" w:type="pct"/>
                  <w:gridSpan w:val="2"/>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对民间非营利组织和群众性自治组织补贴</w:t>
                  </w:r>
                </w:p>
              </w:tc>
              <w:tc>
                <w:tcPr>
                  <w:tcW w:w="37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20"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30309</w:t>
                  </w:r>
                </w:p>
              </w:tc>
              <w:tc>
                <w:tcPr>
                  <w:tcW w:w="863"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奖励金</w:t>
                  </w:r>
                </w:p>
              </w:tc>
              <w:tc>
                <w:tcPr>
                  <w:tcW w:w="23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0.01</w:t>
                  </w:r>
                </w:p>
              </w:tc>
              <w:tc>
                <w:tcPr>
                  <w:tcW w:w="20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30229</w:t>
                  </w:r>
                </w:p>
              </w:tc>
              <w:tc>
                <w:tcPr>
                  <w:tcW w:w="6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福利费</w:t>
                  </w:r>
                </w:p>
              </w:tc>
              <w:tc>
                <w:tcPr>
                  <w:tcW w:w="20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9"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39909</w:t>
                  </w:r>
                </w:p>
              </w:tc>
              <w:tc>
                <w:tcPr>
                  <w:tcW w:w="1073" w:type="pct"/>
                  <w:gridSpan w:val="2"/>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经常性赠与</w:t>
                  </w:r>
                </w:p>
              </w:tc>
              <w:tc>
                <w:tcPr>
                  <w:tcW w:w="37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20"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30310</w:t>
                  </w:r>
                </w:p>
              </w:tc>
              <w:tc>
                <w:tcPr>
                  <w:tcW w:w="863"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个人农业生产补贴</w:t>
                  </w:r>
                </w:p>
              </w:tc>
              <w:tc>
                <w:tcPr>
                  <w:tcW w:w="23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30231</w:t>
                  </w:r>
                </w:p>
              </w:tc>
              <w:tc>
                <w:tcPr>
                  <w:tcW w:w="6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公务用车运行维护费</w:t>
                  </w:r>
                </w:p>
              </w:tc>
              <w:tc>
                <w:tcPr>
                  <w:tcW w:w="20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9"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39910</w:t>
                  </w:r>
                </w:p>
              </w:tc>
              <w:tc>
                <w:tcPr>
                  <w:tcW w:w="1073" w:type="pct"/>
                  <w:gridSpan w:val="2"/>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资本性赠与</w:t>
                  </w:r>
                </w:p>
              </w:tc>
              <w:tc>
                <w:tcPr>
                  <w:tcW w:w="37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20"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30311</w:t>
                  </w:r>
                </w:p>
              </w:tc>
              <w:tc>
                <w:tcPr>
                  <w:tcW w:w="863"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代缴社会保险费</w:t>
                  </w:r>
                </w:p>
              </w:tc>
              <w:tc>
                <w:tcPr>
                  <w:tcW w:w="23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30239</w:t>
                  </w:r>
                </w:p>
              </w:tc>
              <w:tc>
                <w:tcPr>
                  <w:tcW w:w="6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其他交通费用</w:t>
                  </w:r>
                </w:p>
              </w:tc>
              <w:tc>
                <w:tcPr>
                  <w:tcW w:w="20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16.08</w:t>
                  </w:r>
                </w:p>
              </w:tc>
              <w:tc>
                <w:tcPr>
                  <w:tcW w:w="209"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39999</w:t>
                  </w:r>
                </w:p>
              </w:tc>
              <w:tc>
                <w:tcPr>
                  <w:tcW w:w="1073" w:type="pct"/>
                  <w:gridSpan w:val="2"/>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其他支出</w:t>
                  </w:r>
                </w:p>
              </w:tc>
              <w:tc>
                <w:tcPr>
                  <w:tcW w:w="37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20" w:type="pct"/>
                  <w:tcBorders>
                    <w:top w:val="nil"/>
                    <w:left w:val="single" w:color="000000" w:sz="4" w:space="0"/>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30399</w:t>
                  </w:r>
                </w:p>
              </w:tc>
              <w:tc>
                <w:tcPr>
                  <w:tcW w:w="863"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其他对个人和家庭的补助</w:t>
                  </w:r>
                </w:p>
              </w:tc>
              <w:tc>
                <w:tcPr>
                  <w:tcW w:w="23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30240</w:t>
                  </w:r>
                </w:p>
              </w:tc>
              <w:tc>
                <w:tcPr>
                  <w:tcW w:w="6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税金及附加费用</w:t>
                  </w:r>
                </w:p>
              </w:tc>
              <w:tc>
                <w:tcPr>
                  <w:tcW w:w="20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209" w:type="pct"/>
                  <w:tcBorders>
                    <w:top w:val="nil"/>
                    <w:left w:val="nil"/>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szCs w:val="22"/>
                    </w:rPr>
                  </w:pPr>
                </w:p>
              </w:tc>
              <w:tc>
                <w:tcPr>
                  <w:tcW w:w="1073" w:type="pct"/>
                  <w:gridSpan w:val="2"/>
                  <w:tcBorders>
                    <w:top w:val="nil"/>
                    <w:left w:val="nil"/>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szCs w:val="22"/>
                    </w:rPr>
                  </w:pPr>
                </w:p>
              </w:tc>
              <w:tc>
                <w:tcPr>
                  <w:tcW w:w="37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308" w:hRule="atLeast"/>
              </w:trPr>
              <w:tc>
                <w:tcPr>
                  <w:tcW w:w="1220" w:type="pct"/>
                  <w:tcBorders>
                    <w:top w:val="nil"/>
                    <w:left w:val="single" w:color="000000" w:sz="4" w:space="0"/>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szCs w:val="22"/>
                    </w:rPr>
                  </w:pPr>
                </w:p>
              </w:tc>
              <w:tc>
                <w:tcPr>
                  <w:tcW w:w="863" w:type="pct"/>
                  <w:tcBorders>
                    <w:top w:val="nil"/>
                    <w:left w:val="nil"/>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szCs w:val="22"/>
                    </w:rPr>
                  </w:pPr>
                </w:p>
              </w:tc>
              <w:tc>
                <w:tcPr>
                  <w:tcW w:w="23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208"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30299</w:t>
                  </w:r>
                </w:p>
              </w:tc>
              <w:tc>
                <w:tcPr>
                  <w:tcW w:w="601" w:type="pct"/>
                  <w:tcBorders>
                    <w:top w:val="nil"/>
                    <w:left w:val="nil"/>
                    <w:bottom w:val="single" w:color="000000" w:sz="4" w:space="0"/>
                    <w:right w:val="single" w:color="000000" w:sz="4" w:space="0"/>
                  </w:tcBorders>
                  <w:shd w:val="clear" w:color="FFFFFF" w:fill="C0C0C0"/>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其他商品和服务支出</w:t>
                  </w:r>
                </w:p>
              </w:tc>
              <w:tc>
                <w:tcPr>
                  <w:tcW w:w="209"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0.02</w:t>
                  </w:r>
                </w:p>
              </w:tc>
              <w:tc>
                <w:tcPr>
                  <w:tcW w:w="209" w:type="pct"/>
                  <w:tcBorders>
                    <w:top w:val="nil"/>
                    <w:left w:val="nil"/>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szCs w:val="22"/>
                    </w:rPr>
                  </w:pPr>
                </w:p>
              </w:tc>
              <w:tc>
                <w:tcPr>
                  <w:tcW w:w="1073" w:type="pct"/>
                  <w:gridSpan w:val="2"/>
                  <w:tcBorders>
                    <w:top w:val="nil"/>
                    <w:left w:val="nil"/>
                    <w:bottom w:val="single" w:color="000000" w:sz="4" w:space="0"/>
                    <w:right w:val="single" w:color="000000" w:sz="4" w:space="0"/>
                  </w:tcBorders>
                  <w:shd w:val="clear" w:color="FFFFFF" w:fill="C0C0C0"/>
                  <w:noWrap/>
                  <w:vAlign w:val="center"/>
                </w:tcPr>
                <w:p>
                  <w:pPr>
                    <w:jc w:val="left"/>
                    <w:rPr>
                      <w:rFonts w:ascii="宋体" w:hAnsi="宋体" w:eastAsia="宋体" w:cs="宋体"/>
                      <w:color w:val="000000"/>
                      <w:sz w:val="22"/>
                      <w:szCs w:val="22"/>
                    </w:rPr>
                  </w:pPr>
                </w:p>
              </w:tc>
              <w:tc>
                <w:tcPr>
                  <w:tcW w:w="37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r>
            <w:tr>
              <w:tblPrEx>
                <w:tblCellMar>
                  <w:top w:w="0" w:type="dxa"/>
                  <w:left w:w="108" w:type="dxa"/>
                  <w:bottom w:w="0" w:type="dxa"/>
                  <w:right w:w="108" w:type="dxa"/>
                </w:tblCellMar>
              </w:tblPrEx>
              <w:trPr>
                <w:trHeight w:val="308" w:hRule="atLeast"/>
              </w:trPr>
              <w:tc>
                <w:tcPr>
                  <w:tcW w:w="2083" w:type="pct"/>
                  <w:gridSpan w:val="2"/>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人员经费合计</w:t>
                  </w:r>
                </w:p>
              </w:tc>
              <w:tc>
                <w:tcPr>
                  <w:tcW w:w="23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400.42</w:t>
                  </w:r>
                </w:p>
              </w:tc>
              <w:tc>
                <w:tcPr>
                  <w:tcW w:w="2302" w:type="pct"/>
                  <w:gridSpan w:val="6"/>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公用经费合计</w:t>
                  </w:r>
                </w:p>
              </w:tc>
              <w:tc>
                <w:tcPr>
                  <w:tcW w:w="37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25.21</w:t>
                  </w:r>
                </w:p>
              </w:tc>
            </w:tr>
          </w:tbl>
          <w:p>
            <w:pPr>
              <w:widowControl/>
              <w:jc w:val="center"/>
              <w:textAlignment w:val="bottom"/>
              <w:rPr>
                <w:rFonts w:ascii="宋体" w:hAnsi="宋体" w:eastAsia="宋体" w:cs="宋体"/>
                <w:color w:val="000000"/>
                <w:sz w:val="30"/>
                <w:szCs w:val="30"/>
              </w:rPr>
            </w:pPr>
          </w:p>
        </w:tc>
      </w:tr>
      <w:tr>
        <w:tblPrEx>
          <w:tblCellMar>
            <w:top w:w="0" w:type="dxa"/>
            <w:left w:w="108" w:type="dxa"/>
            <w:bottom w:w="0" w:type="dxa"/>
            <w:right w:w="108" w:type="dxa"/>
          </w:tblCellMar>
        </w:tblPrEx>
        <w:trPr>
          <w:trHeight w:val="319" w:hRule="atLeast"/>
        </w:trPr>
        <w:tc>
          <w:tcPr>
            <w:tcW w:w="14000" w:type="dxa"/>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注：本表反映部门本年度一般公共预算财政拨款基本支出明细情况。</w:t>
            </w:r>
          </w:p>
        </w:tc>
      </w:tr>
    </w:tbl>
    <w:p>
      <w:pPr>
        <w:jc w:val="left"/>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r>
        <w:rPr>
          <w:rFonts w:hint="eastAsia" w:ascii="仿宋" w:hAnsi="仿宋" w:eastAsia="仿宋" w:cs="仿宋"/>
          <w:sz w:val="24"/>
        </w:rPr>
        <w:t>表七：政府性基金预算财政拨款收入支出决算表</w:t>
      </w:r>
    </w:p>
    <w:p>
      <w:pPr>
        <w:jc w:val="left"/>
        <w:rPr>
          <w:rFonts w:ascii="仿宋" w:hAnsi="仿宋" w:eastAsia="仿宋" w:cs="仿宋"/>
          <w:sz w:val="24"/>
        </w:rPr>
      </w:pPr>
    </w:p>
    <w:tbl>
      <w:tblPr>
        <w:tblStyle w:val="7"/>
        <w:tblW w:w="13982" w:type="dxa"/>
        <w:tblInd w:w="96" w:type="dxa"/>
        <w:tblLayout w:type="autofit"/>
        <w:tblCellMar>
          <w:top w:w="0" w:type="dxa"/>
          <w:left w:w="108" w:type="dxa"/>
          <w:bottom w:w="0" w:type="dxa"/>
          <w:right w:w="108" w:type="dxa"/>
        </w:tblCellMar>
      </w:tblPr>
      <w:tblGrid>
        <w:gridCol w:w="1307"/>
        <w:gridCol w:w="254"/>
        <w:gridCol w:w="250"/>
        <w:gridCol w:w="1633"/>
        <w:gridCol w:w="1980"/>
        <w:gridCol w:w="1661"/>
        <w:gridCol w:w="1609"/>
        <w:gridCol w:w="1688"/>
        <w:gridCol w:w="1740"/>
        <w:gridCol w:w="1956"/>
      </w:tblGrid>
      <w:tr>
        <w:tblPrEx>
          <w:tblCellMar>
            <w:top w:w="0" w:type="dxa"/>
            <w:left w:w="108" w:type="dxa"/>
            <w:bottom w:w="0" w:type="dxa"/>
            <w:right w:w="108" w:type="dxa"/>
          </w:tblCellMar>
        </w:tblPrEx>
        <w:trPr>
          <w:trHeight w:val="536" w:hRule="atLeast"/>
        </w:trPr>
        <w:tc>
          <w:tcPr>
            <w:tcW w:w="13980" w:type="dxa"/>
            <w:gridSpan w:val="10"/>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2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7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0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8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3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48"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tblPrEx>
          <w:tblCellMar>
            <w:top w:w="0" w:type="dxa"/>
            <w:left w:w="108" w:type="dxa"/>
            <w:bottom w:w="0" w:type="dxa"/>
            <w:right w:w="108" w:type="dxa"/>
          </w:tblCellMar>
        </w:tblPrEx>
        <w:trPr>
          <w:trHeight w:val="277" w:hRule="atLeast"/>
        </w:trPr>
        <w:tc>
          <w:tcPr>
            <w:tcW w:w="13980" w:type="dxa"/>
            <w:gridSpan w:val="10"/>
            <w:tcBorders>
              <w:top w:val="nil"/>
              <w:left w:val="nil"/>
              <w:bottom w:val="nil"/>
              <w:right w:val="nil"/>
            </w:tcBorders>
            <w:shd w:val="clear" w:color="auto" w:fill="auto"/>
            <w:noWrap/>
            <w:vAlign w:val="center"/>
          </w:tcPr>
          <w:tbl>
            <w:tblPr>
              <w:tblStyle w:val="7"/>
              <w:tblW w:w="5000" w:type="pct"/>
              <w:tblInd w:w="0" w:type="dxa"/>
              <w:tblLayout w:type="autofit"/>
              <w:tblCellMar>
                <w:top w:w="0" w:type="dxa"/>
                <w:left w:w="108" w:type="dxa"/>
                <w:bottom w:w="0" w:type="dxa"/>
                <w:right w:w="108" w:type="dxa"/>
              </w:tblCellMar>
            </w:tblPr>
            <w:tblGrid>
              <w:gridCol w:w="4673"/>
              <w:gridCol w:w="222"/>
              <w:gridCol w:w="222"/>
              <w:gridCol w:w="3486"/>
              <w:gridCol w:w="628"/>
              <w:gridCol w:w="835"/>
              <w:gridCol w:w="835"/>
              <w:gridCol w:w="628"/>
              <w:gridCol w:w="816"/>
              <w:gridCol w:w="20"/>
              <w:gridCol w:w="1497"/>
            </w:tblGrid>
            <w:tr>
              <w:tblPrEx>
                <w:tblCellMar>
                  <w:top w:w="0" w:type="dxa"/>
                  <w:left w:w="108" w:type="dxa"/>
                  <w:bottom w:w="0" w:type="dxa"/>
                  <w:right w:w="108" w:type="dxa"/>
                </w:tblCellMar>
              </w:tblPrEx>
              <w:trPr>
                <w:trHeight w:val="255" w:hRule="atLeast"/>
              </w:trPr>
              <w:tc>
                <w:tcPr>
                  <w:tcW w:w="1685" w:type="pct"/>
                  <w:tcBorders>
                    <w:top w:val="nil"/>
                    <w:left w:val="nil"/>
                    <w:bottom w:val="nil"/>
                    <w:right w:val="nil"/>
                  </w:tcBorders>
                  <w:shd w:val="clear" w:color="auto" w:fill="auto"/>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部门：广西河池市环江毛南族自治县住房和城乡建设局</w:t>
                  </w:r>
                </w:p>
              </w:tc>
              <w:tc>
                <w:tcPr>
                  <w:tcW w:w="80"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0"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5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0"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0"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95"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47" w:type="pct"/>
                  <w:gridSpan w:val="2"/>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3102" w:type="pct"/>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226" w:type="pct"/>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年初结转和结余</w:t>
                  </w:r>
                </w:p>
              </w:tc>
              <w:tc>
                <w:tcPr>
                  <w:tcW w:w="300" w:type="pct"/>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本年收入</w:t>
                  </w:r>
                </w:p>
              </w:tc>
              <w:tc>
                <w:tcPr>
                  <w:tcW w:w="828" w:type="pct"/>
                  <w:gridSpan w:val="4"/>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w:t>
                  </w:r>
                </w:p>
              </w:tc>
              <w:tc>
                <w:tcPr>
                  <w:tcW w:w="542" w:type="pct"/>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trPr>
              <w:tc>
                <w:tcPr>
                  <w:tcW w:w="1845"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科目代码</w:t>
                  </w:r>
                </w:p>
              </w:tc>
              <w:tc>
                <w:tcPr>
                  <w:tcW w:w="1256" w:type="pct"/>
                  <w:vMerge w:val="restar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22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30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300"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226"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300" w:type="pct"/>
                  <w:gridSpan w:val="2"/>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c>
                <w:tcPr>
                  <w:tcW w:w="542"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845"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1256" w:type="pct"/>
                  <w:vMerge w:val="continue"/>
                  <w:tcBorders>
                    <w:top w:val="nil"/>
                    <w:left w:val="nil"/>
                    <w:bottom w:val="single" w:color="000000" w:sz="4" w:space="0"/>
                    <w:right w:val="single" w:color="000000" w:sz="4" w:space="0"/>
                  </w:tcBorders>
                  <w:shd w:val="clear" w:color="FFFFFF" w:fill="C0C0C0"/>
                  <w:noWrap/>
                  <w:vAlign w:val="center"/>
                </w:tcPr>
                <w:p>
                  <w:pPr>
                    <w:jc w:val="center"/>
                    <w:rPr>
                      <w:rFonts w:ascii="宋体" w:hAnsi="宋体" w:eastAsia="宋体" w:cs="宋体"/>
                      <w:color w:val="000000"/>
                      <w:sz w:val="22"/>
                      <w:szCs w:val="22"/>
                    </w:rPr>
                  </w:pPr>
                </w:p>
              </w:tc>
              <w:tc>
                <w:tcPr>
                  <w:tcW w:w="22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30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300"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226"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300" w:type="pct"/>
                  <w:gridSpan w:val="2"/>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542"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845"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1256" w:type="pct"/>
                  <w:vMerge w:val="continue"/>
                  <w:tcBorders>
                    <w:top w:val="nil"/>
                    <w:left w:val="nil"/>
                    <w:bottom w:val="single" w:color="000000" w:sz="4" w:space="0"/>
                    <w:right w:val="single" w:color="000000" w:sz="4" w:space="0"/>
                  </w:tcBorders>
                  <w:shd w:val="clear" w:color="FFFFFF" w:fill="C0C0C0"/>
                  <w:noWrap/>
                  <w:vAlign w:val="center"/>
                </w:tcPr>
                <w:p>
                  <w:pPr>
                    <w:jc w:val="center"/>
                    <w:rPr>
                      <w:rFonts w:ascii="宋体" w:hAnsi="宋体" w:eastAsia="宋体" w:cs="宋体"/>
                      <w:color w:val="000000"/>
                      <w:sz w:val="22"/>
                      <w:szCs w:val="22"/>
                    </w:rPr>
                  </w:pPr>
                </w:p>
              </w:tc>
              <w:tc>
                <w:tcPr>
                  <w:tcW w:w="22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30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300"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226"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300" w:type="pct"/>
                  <w:gridSpan w:val="2"/>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542"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r>
            <w:tr>
              <w:trPr>
                <w:trHeight w:val="308" w:hRule="atLeast"/>
              </w:trPr>
              <w:tc>
                <w:tcPr>
                  <w:tcW w:w="3102" w:type="pct"/>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22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300"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300"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226"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300" w:type="pct"/>
                  <w:gridSpan w:val="2"/>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542" w:type="pct"/>
                  <w:tcBorders>
                    <w:top w:val="nil"/>
                    <w:left w:val="nil"/>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r>
            <w:tr>
              <w:tblPrEx>
                <w:tblCellMar>
                  <w:top w:w="0" w:type="dxa"/>
                  <w:left w:w="108" w:type="dxa"/>
                  <w:bottom w:w="0" w:type="dxa"/>
                  <w:right w:w="108" w:type="dxa"/>
                </w:tblCellMar>
              </w:tblPrEx>
              <w:trPr>
                <w:trHeight w:val="308" w:hRule="atLeast"/>
              </w:trPr>
              <w:tc>
                <w:tcPr>
                  <w:tcW w:w="3102" w:type="pct"/>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22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0.00</w:t>
                  </w:r>
                </w:p>
              </w:tc>
              <w:tc>
                <w:tcPr>
                  <w:tcW w:w="30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187.53</w:t>
                  </w:r>
                </w:p>
              </w:tc>
              <w:tc>
                <w:tcPr>
                  <w:tcW w:w="30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187.53</w:t>
                  </w:r>
                </w:p>
              </w:tc>
              <w:tc>
                <w:tcPr>
                  <w:tcW w:w="22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0.00</w:t>
                  </w:r>
                </w:p>
              </w:tc>
              <w:tc>
                <w:tcPr>
                  <w:tcW w:w="300"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187.53</w:t>
                  </w:r>
                </w:p>
              </w:tc>
              <w:tc>
                <w:tcPr>
                  <w:tcW w:w="54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0.00</w:t>
                  </w:r>
                </w:p>
              </w:tc>
            </w:tr>
            <w:tr>
              <w:tblPrEx>
                <w:tblCellMar>
                  <w:top w:w="0" w:type="dxa"/>
                  <w:left w:w="108" w:type="dxa"/>
                  <w:bottom w:w="0" w:type="dxa"/>
                  <w:right w:w="108" w:type="dxa"/>
                </w:tblCellMar>
              </w:tblPrEx>
              <w:trPr>
                <w:trHeight w:val="308" w:hRule="atLeast"/>
              </w:trPr>
              <w:tc>
                <w:tcPr>
                  <w:tcW w:w="184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w:t>
                  </w:r>
                </w:p>
              </w:tc>
              <w:tc>
                <w:tcPr>
                  <w:tcW w:w="1256"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城乡社区支出</w:t>
                  </w:r>
                </w:p>
              </w:tc>
              <w:tc>
                <w:tcPr>
                  <w:tcW w:w="22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30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187.53</w:t>
                  </w:r>
                </w:p>
              </w:tc>
              <w:tc>
                <w:tcPr>
                  <w:tcW w:w="30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187.53</w:t>
                  </w:r>
                </w:p>
              </w:tc>
              <w:tc>
                <w:tcPr>
                  <w:tcW w:w="22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300"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187.53</w:t>
                  </w:r>
                </w:p>
              </w:tc>
              <w:tc>
                <w:tcPr>
                  <w:tcW w:w="54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rPr>
                <w:trHeight w:val="308" w:hRule="atLeast"/>
              </w:trPr>
              <w:tc>
                <w:tcPr>
                  <w:tcW w:w="184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21208</w:t>
                  </w:r>
                </w:p>
              </w:tc>
              <w:tc>
                <w:tcPr>
                  <w:tcW w:w="1256"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国有土地使用权出让收入安排的支出</w:t>
                  </w:r>
                </w:p>
              </w:tc>
              <w:tc>
                <w:tcPr>
                  <w:tcW w:w="22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30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187.53</w:t>
                  </w:r>
                </w:p>
              </w:tc>
              <w:tc>
                <w:tcPr>
                  <w:tcW w:w="30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187.53</w:t>
                  </w:r>
                </w:p>
              </w:tc>
              <w:tc>
                <w:tcPr>
                  <w:tcW w:w="22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300"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187.53</w:t>
                  </w:r>
                </w:p>
              </w:tc>
              <w:tc>
                <w:tcPr>
                  <w:tcW w:w="54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84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2120804</w:t>
                  </w:r>
                </w:p>
              </w:tc>
              <w:tc>
                <w:tcPr>
                  <w:tcW w:w="1256" w:type="pct"/>
                  <w:tcBorders>
                    <w:top w:val="nil"/>
                    <w:left w:val="nil"/>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农村基础设施建设支出</w:t>
                  </w:r>
                </w:p>
              </w:tc>
              <w:tc>
                <w:tcPr>
                  <w:tcW w:w="22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30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187.53</w:t>
                  </w:r>
                </w:p>
              </w:tc>
              <w:tc>
                <w:tcPr>
                  <w:tcW w:w="300"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187.53</w:t>
                  </w:r>
                </w:p>
              </w:tc>
              <w:tc>
                <w:tcPr>
                  <w:tcW w:w="22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300"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187.53</w:t>
                  </w:r>
                </w:p>
              </w:tc>
              <w:tc>
                <w:tcPr>
                  <w:tcW w:w="542"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r>
          </w:tbl>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注：本表反映部门本年度政府性基金预算财政拨款收入、支出及结转和结余情况。</w:t>
            </w:r>
          </w:p>
          <w:p>
            <w:pPr>
              <w:widowControl/>
              <w:jc w:val="left"/>
              <w:textAlignment w:val="center"/>
              <w:rPr>
                <w:rFonts w:ascii="宋体" w:hAnsi="宋体" w:eastAsia="宋体" w:cs="宋体"/>
                <w:color w:val="000000"/>
                <w:kern w:val="0"/>
                <w:sz w:val="22"/>
                <w:szCs w:val="22"/>
              </w:rPr>
            </w:pPr>
          </w:p>
        </w:tc>
      </w:tr>
    </w:tbl>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表八：国有资本经营预算财政拨款支出决算表</w:t>
      </w:r>
    </w:p>
    <w:p>
      <w:pPr>
        <w:jc w:val="left"/>
        <w:rPr>
          <w:rFonts w:ascii="仿宋" w:hAnsi="仿宋" w:eastAsia="仿宋" w:cs="仿宋"/>
          <w:sz w:val="24"/>
        </w:rPr>
      </w:pPr>
    </w:p>
    <w:tbl>
      <w:tblPr>
        <w:tblStyle w:val="7"/>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6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6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99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13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65"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trPr>
          <w:trHeight w:val="264" w:hRule="atLeast"/>
        </w:trPr>
        <w:tc>
          <w:tcPr>
            <w:tcW w:w="7740" w:type="dxa"/>
            <w:gridSpan w:val="6"/>
            <w:tcBorders>
              <w:top w:val="nil"/>
              <w:left w:val="nil"/>
              <w:bottom w:val="nil"/>
              <w:right w:val="nil"/>
            </w:tcBorders>
            <w:shd w:val="clear" w:color="auto" w:fill="auto"/>
            <w:noWrap/>
            <w:vAlign w:val="bottom"/>
          </w:tcPr>
          <w:p>
            <w:pPr>
              <w:rPr>
                <w:rFonts w:ascii="Arial" w:hAnsi="Arial" w:eastAsia="宋体" w:cs="Arial"/>
                <w:color w:val="00000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sz w:val="20"/>
              </w:rPr>
              <w:t>住房和城乡建设局单位</w:t>
            </w:r>
          </w:p>
        </w:tc>
        <w:tc>
          <w:tcPr>
            <w:tcW w:w="313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65"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w:t>
            </w:r>
          </w:p>
        </w:tc>
      </w:tr>
      <w:tr>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299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3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06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299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3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06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2993"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313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306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r>
      <w:tr>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r>
      <w:tr>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p>
        </w:tc>
      </w:tr>
    </w:tbl>
    <w:p>
      <w:pPr>
        <w:widowControl/>
        <w:jc w:val="left"/>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注：本表反映部门本年度国有资本经营预算财政拨款支出情况。</w:t>
      </w:r>
      <w:r>
        <w:rPr>
          <w:rFonts w:hint="eastAsia" w:ascii="宋体" w:hAnsi="宋体" w:eastAsia="宋体" w:cs="宋体"/>
          <w:color w:val="000000"/>
          <w:kern w:val="0"/>
          <w:sz w:val="22"/>
          <w:szCs w:val="22"/>
          <w:lang w:val="en-US" w:eastAsia="zh-CN"/>
        </w:rPr>
        <w:t>故本表无数据。</w:t>
      </w:r>
    </w:p>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br w:type="page"/>
      </w:r>
    </w:p>
    <w:tbl>
      <w:tblPr>
        <w:tblStyle w:val="7"/>
        <w:tblW w:w="14036" w:type="dxa"/>
        <w:tblInd w:w="0" w:type="dxa"/>
        <w:tblLayout w:type="autofit"/>
        <w:tblCellMar>
          <w:top w:w="0" w:type="dxa"/>
          <w:left w:w="108" w:type="dxa"/>
          <w:bottom w:w="0" w:type="dxa"/>
          <w:right w:w="108" w:type="dxa"/>
        </w:tblCellMar>
      </w:tblPr>
      <w:tblGrid>
        <w:gridCol w:w="96"/>
        <w:gridCol w:w="1392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2"/>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gridAfter w:val="1"/>
          <w:wAfter w:w="17" w:type="dxa"/>
          <w:trHeight w:val="632" w:hRule="atLeast"/>
        </w:trPr>
        <w:tc>
          <w:tcPr>
            <w:tcW w:w="14019" w:type="dxa"/>
            <w:gridSpan w:val="2"/>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表九：一般公共预算财政拨款安排的“三公”经费支出决算表</w:t>
            </w:r>
          </w:p>
          <w:p>
            <w:pPr>
              <w:widowControl/>
              <w:jc w:val="center"/>
              <w:textAlignment w:val="bottom"/>
              <w:rPr>
                <w:rFonts w:ascii="宋体" w:hAnsi="宋体" w:eastAsia="宋体" w:cs="宋体"/>
                <w:color w:val="000000"/>
                <w:kern w:val="0"/>
                <w:sz w:val="30"/>
                <w:szCs w:val="30"/>
              </w:rPr>
            </w:pPr>
          </w:p>
          <w:p>
            <w:pPr>
              <w:widowControl/>
              <w:jc w:val="center"/>
              <w:textAlignment w:val="bottom"/>
              <w:rPr>
                <w:rFonts w:ascii="宋体" w:hAnsi="宋体" w:eastAsia="宋体" w:cs="宋体"/>
                <w:color w:val="000000"/>
                <w:kern w:val="0"/>
                <w:sz w:val="32"/>
                <w:szCs w:val="32"/>
              </w:rPr>
            </w:pPr>
            <w:r>
              <w:rPr>
                <w:rFonts w:hint="eastAsia" w:ascii="宋体" w:hAnsi="宋体" w:eastAsia="宋体" w:cs="宋体"/>
                <w:color w:val="000000"/>
                <w:kern w:val="0"/>
                <w:sz w:val="32"/>
                <w:szCs w:val="32"/>
              </w:rPr>
              <w:t>一般公共预算财政拨款“三公”经费支出决算表</w:t>
            </w:r>
          </w:p>
          <w:tbl>
            <w:tblPr>
              <w:tblStyle w:val="7"/>
              <w:tblW w:w="4998" w:type="pct"/>
              <w:tblInd w:w="1" w:type="dxa"/>
              <w:tblLayout w:type="autofit"/>
              <w:tblCellMar>
                <w:top w:w="0" w:type="dxa"/>
                <w:left w:w="108" w:type="dxa"/>
                <w:bottom w:w="0" w:type="dxa"/>
                <w:right w:w="108" w:type="dxa"/>
              </w:tblCellMar>
            </w:tblPr>
            <w:tblGrid>
              <w:gridCol w:w="5016"/>
              <w:gridCol w:w="876"/>
              <w:gridCol w:w="656"/>
              <w:gridCol w:w="656"/>
              <w:gridCol w:w="678"/>
              <w:gridCol w:w="721"/>
              <w:gridCol w:w="715"/>
              <w:gridCol w:w="876"/>
              <w:gridCol w:w="656"/>
              <w:gridCol w:w="656"/>
              <w:gridCol w:w="675"/>
              <w:gridCol w:w="8"/>
              <w:gridCol w:w="1608"/>
            </w:tblGrid>
            <w:tr>
              <w:tblPrEx>
                <w:tblCellMar>
                  <w:top w:w="0" w:type="dxa"/>
                  <w:left w:w="108" w:type="dxa"/>
                  <w:bottom w:w="0" w:type="dxa"/>
                  <w:right w:w="108" w:type="dxa"/>
                </w:tblCellMar>
              </w:tblPrEx>
              <w:trPr>
                <w:trHeight w:val="255" w:hRule="atLeast"/>
              </w:trPr>
              <w:tc>
                <w:tcPr>
                  <w:tcW w:w="41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1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1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1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1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1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1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1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1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1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1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16" w:type="pct"/>
                  <w:gridSpan w:val="2"/>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55" w:hRule="atLeast"/>
              </w:trPr>
              <w:tc>
                <w:tcPr>
                  <w:tcW w:w="416" w:type="pct"/>
                  <w:tcBorders>
                    <w:top w:val="nil"/>
                    <w:left w:val="nil"/>
                    <w:bottom w:val="nil"/>
                    <w:right w:val="nil"/>
                  </w:tcBorders>
                  <w:shd w:val="clear" w:color="auto" w:fill="auto"/>
                  <w:noWrap/>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部门：广西河池市环江毛南族自治县住房和城乡建设局</w:t>
                  </w:r>
                </w:p>
              </w:tc>
              <w:tc>
                <w:tcPr>
                  <w:tcW w:w="41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1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1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1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1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1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1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1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1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1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16" w:type="pct"/>
                  <w:gridSpan w:val="2"/>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2498" w:type="pct"/>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预算数</w:t>
                  </w:r>
                </w:p>
              </w:tc>
              <w:tc>
                <w:tcPr>
                  <w:tcW w:w="2500" w:type="pct"/>
                  <w:gridSpan w:val="7"/>
                  <w:tcBorders>
                    <w:top w:val="single" w:color="000000" w:sz="4" w:space="0"/>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决算数</w:t>
                  </w:r>
                </w:p>
              </w:tc>
            </w:tr>
            <w:tr>
              <w:tblPrEx>
                <w:tblCellMar>
                  <w:top w:w="0" w:type="dxa"/>
                  <w:left w:w="108" w:type="dxa"/>
                  <w:bottom w:w="0" w:type="dxa"/>
                  <w:right w:w="108" w:type="dxa"/>
                </w:tblCellMar>
              </w:tblPrEx>
              <w:trPr>
                <w:trHeight w:val="308" w:hRule="atLeast"/>
              </w:trPr>
              <w:tc>
                <w:tcPr>
                  <w:tcW w:w="416" w:type="pct"/>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416"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因公出国（境）费</w:t>
                  </w:r>
                </w:p>
              </w:tc>
              <w:tc>
                <w:tcPr>
                  <w:tcW w:w="1249" w:type="pct"/>
                  <w:gridSpan w:val="3"/>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公务用车购置及运行维护费</w:t>
                  </w:r>
                </w:p>
              </w:tc>
              <w:tc>
                <w:tcPr>
                  <w:tcW w:w="416"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公务接待费</w:t>
                  </w:r>
                </w:p>
              </w:tc>
              <w:tc>
                <w:tcPr>
                  <w:tcW w:w="416"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416"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因公出国（境）费</w:t>
                  </w:r>
                </w:p>
              </w:tc>
              <w:tc>
                <w:tcPr>
                  <w:tcW w:w="1250" w:type="pct"/>
                  <w:gridSpan w:val="4"/>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公务用车购置及运行维护费</w:t>
                  </w:r>
                </w:p>
              </w:tc>
              <w:tc>
                <w:tcPr>
                  <w:tcW w:w="417" w:type="pct"/>
                  <w:vMerge w:val="restar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公务接待费</w:t>
                  </w:r>
                </w:p>
              </w:tc>
            </w:tr>
            <w:tr>
              <w:tblPrEx>
                <w:tblCellMar>
                  <w:top w:w="0" w:type="dxa"/>
                  <w:left w:w="108" w:type="dxa"/>
                  <w:bottom w:w="0" w:type="dxa"/>
                  <w:right w:w="108" w:type="dxa"/>
                </w:tblCellMar>
              </w:tblPrEx>
              <w:trPr>
                <w:trHeight w:val="615" w:hRule="atLeast"/>
              </w:trPr>
              <w:tc>
                <w:tcPr>
                  <w:tcW w:w="416" w:type="pct"/>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416"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416"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416"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公务用车购置费</w:t>
                  </w:r>
                </w:p>
              </w:tc>
              <w:tc>
                <w:tcPr>
                  <w:tcW w:w="416"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公务用车运行维护费</w:t>
                  </w:r>
                </w:p>
              </w:tc>
              <w:tc>
                <w:tcPr>
                  <w:tcW w:w="416"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416"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416"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c>
                <w:tcPr>
                  <w:tcW w:w="416"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416"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公务用车购置费</w:t>
                  </w:r>
                </w:p>
              </w:tc>
              <w:tc>
                <w:tcPr>
                  <w:tcW w:w="417" w:type="pct"/>
                  <w:gridSpan w:val="2"/>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公务用车运行维护费</w:t>
                  </w:r>
                </w:p>
              </w:tc>
              <w:tc>
                <w:tcPr>
                  <w:tcW w:w="417" w:type="pct"/>
                  <w:vMerge w:val="continue"/>
                  <w:tcBorders>
                    <w:top w:val="nil"/>
                    <w:left w:val="nil"/>
                    <w:bottom w:val="single" w:color="000000" w:sz="4" w:space="0"/>
                    <w:right w:val="single" w:color="000000" w:sz="4" w:space="0"/>
                  </w:tcBorders>
                  <w:shd w:val="clear" w:color="FFFFFF" w:fill="C0C0C0"/>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08" w:hRule="atLeast"/>
              </w:trPr>
              <w:tc>
                <w:tcPr>
                  <w:tcW w:w="416" w:type="pct"/>
                  <w:tcBorders>
                    <w:top w:val="nil"/>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416"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416"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416"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416"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416"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416"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416"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416"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p>
              </w:tc>
              <w:tc>
                <w:tcPr>
                  <w:tcW w:w="416"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417" w:type="pct"/>
                  <w:gridSpan w:val="2"/>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w:t>
                  </w:r>
                </w:p>
              </w:tc>
              <w:tc>
                <w:tcPr>
                  <w:tcW w:w="417" w:type="pct"/>
                  <w:tcBorders>
                    <w:top w:val="nil"/>
                    <w:left w:val="nil"/>
                    <w:bottom w:val="single" w:color="000000" w:sz="4" w:space="0"/>
                    <w:right w:val="single" w:color="000000" w:sz="4" w:space="0"/>
                  </w:tcBorders>
                  <w:shd w:val="clear" w:color="FFFFFF" w:fill="C0C0C0"/>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w:t>
                  </w:r>
                </w:p>
              </w:tc>
            </w:tr>
            <w:tr>
              <w:tblPrEx>
                <w:tblCellMar>
                  <w:top w:w="0" w:type="dxa"/>
                  <w:left w:w="108" w:type="dxa"/>
                  <w:bottom w:w="0" w:type="dxa"/>
                  <w:right w:w="108" w:type="dxa"/>
                </w:tblCellMar>
              </w:tblPrEx>
              <w:trPr>
                <w:trHeight w:val="308" w:hRule="atLeast"/>
              </w:trPr>
              <w:tc>
                <w:tcPr>
                  <w:tcW w:w="416" w:type="pct"/>
                  <w:tcBorders>
                    <w:top w:val="nil"/>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1.20</w:t>
                  </w:r>
                </w:p>
              </w:tc>
              <w:tc>
                <w:tcPr>
                  <w:tcW w:w="41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1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1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1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1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1.20</w:t>
                  </w:r>
                </w:p>
              </w:tc>
              <w:tc>
                <w:tcPr>
                  <w:tcW w:w="41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0.36</w:t>
                  </w:r>
                </w:p>
              </w:tc>
              <w:tc>
                <w:tcPr>
                  <w:tcW w:w="41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1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16"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17" w:type="pct"/>
                  <w:gridSpan w:val="2"/>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417" w:type="pct"/>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0.36</w:t>
                  </w:r>
                </w:p>
              </w:tc>
            </w:tr>
          </w:tbl>
          <w:p>
            <w:pPr>
              <w:widowControl/>
              <w:jc w:val="center"/>
              <w:textAlignment w:val="bottom"/>
              <w:rPr>
                <w:rFonts w:ascii="宋体" w:hAnsi="宋体" w:eastAsia="宋体" w:cs="宋体"/>
                <w:color w:val="000000"/>
                <w:sz w:val="30"/>
                <w:szCs w:val="30"/>
              </w:rPr>
            </w:pPr>
          </w:p>
        </w:tc>
      </w:tr>
      <w:tr>
        <w:tblPrEx>
          <w:tblCellMar>
            <w:top w:w="0" w:type="dxa"/>
            <w:left w:w="108" w:type="dxa"/>
            <w:bottom w:w="0" w:type="dxa"/>
            <w:right w:w="108" w:type="dxa"/>
          </w:tblCellMar>
        </w:tblPrEx>
        <w:trPr>
          <w:gridAfter w:val="1"/>
          <w:wAfter w:w="17" w:type="dxa"/>
          <w:trHeight w:val="642" w:hRule="atLeast"/>
        </w:trPr>
        <w:tc>
          <w:tcPr>
            <w:tcW w:w="14019" w:type="dxa"/>
            <w:gridSpan w:val="2"/>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textAlignment w:val="center"/>
              <w:rPr>
                <w:rFonts w:ascii="宋体" w:hAnsi="宋体" w:eastAsia="宋体" w:cs="宋体"/>
                <w:color w:val="000000"/>
                <w:kern w:val="0"/>
                <w:sz w:val="22"/>
                <w:szCs w:val="22"/>
              </w:rPr>
            </w:pPr>
          </w:p>
        </w:tc>
      </w:tr>
    </w:tbl>
    <w:p>
      <w:pPr>
        <w:ind w:firstLine="420"/>
        <w:jc w:val="left"/>
        <w:rPr>
          <w:rFonts w:ascii="仿宋" w:hAnsi="仿宋" w:eastAsia="仿宋" w:cs="仿宋"/>
          <w:sz w:val="24"/>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rPr>
      </w:pPr>
    </w:p>
    <w:p>
      <w:pPr>
        <w:jc w:val="center"/>
        <w:rPr>
          <w:rFonts w:ascii="仿宋" w:hAnsi="仿宋" w:eastAsia="仿宋" w:cs="仿宋"/>
          <w:sz w:val="32"/>
          <w:szCs w:val="32"/>
        </w:rPr>
      </w:pPr>
      <w:r>
        <w:rPr>
          <w:rFonts w:hint="eastAsia" w:ascii="黑体" w:hAnsi="黑体" w:eastAsia="黑体" w:cs="黑体"/>
          <w:sz w:val="32"/>
          <w:szCs w:val="32"/>
        </w:rPr>
        <w:t>第三部分：</w:t>
      </w:r>
      <w:r>
        <w:rPr>
          <w:rFonts w:hint="eastAsia" w:ascii="黑体" w:hAnsi="黑体" w:eastAsia="黑体" w:cs="黑体"/>
          <w:sz w:val="32"/>
        </w:rPr>
        <w:t>住房和城乡建设局</w:t>
      </w:r>
      <w:r>
        <w:rPr>
          <w:rFonts w:hint="eastAsia" w:ascii="黑体" w:hAnsi="黑体" w:eastAsia="黑体" w:cs="黑体"/>
          <w:sz w:val="32"/>
          <w:szCs w:val="32"/>
        </w:rPr>
        <w:t>2022年度部门决算情况说明</w:t>
      </w:r>
    </w:p>
    <w:p>
      <w:pPr>
        <w:jc w:val="left"/>
        <w:rPr>
          <w:rFonts w:ascii="黑体" w:hAnsi="黑体" w:eastAsia="黑体" w:cs="黑体"/>
          <w:sz w:val="32"/>
          <w:szCs w:val="32"/>
        </w:rPr>
      </w:pPr>
      <w:r>
        <w:rPr>
          <w:rFonts w:hint="eastAsia" w:ascii="黑体" w:hAnsi="黑体" w:eastAsia="黑体" w:cs="黑体"/>
          <w:sz w:val="32"/>
          <w:szCs w:val="32"/>
        </w:rPr>
        <w:t>一、2022年度收入支出决算总体情况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（一）本部门2022年度总收入</w:t>
      </w:r>
      <w:r>
        <w:rPr>
          <w:rFonts w:hint="eastAsia" w:ascii="仿宋" w:hAnsi="仿宋" w:eastAsia="仿宋" w:cs="仿宋"/>
          <w:sz w:val="32"/>
        </w:rPr>
        <w:t>1751.36</w:t>
      </w:r>
      <w:r>
        <w:rPr>
          <w:rFonts w:hint="eastAsia" w:ascii="仿宋" w:hAnsi="仿宋" w:eastAsia="仿宋" w:cs="仿宋"/>
          <w:sz w:val="32"/>
          <w:szCs w:val="32"/>
        </w:rPr>
        <w:t>万元，较2021年度决算数</w:t>
      </w:r>
      <w:r>
        <w:rPr>
          <w:rFonts w:ascii="仿宋" w:hAnsi="仿宋" w:eastAsia="仿宋" w:cs="仿宋"/>
          <w:sz w:val="32"/>
        </w:rPr>
        <w:t>减少</w:t>
      </w:r>
      <w:r>
        <w:rPr>
          <w:rFonts w:hint="eastAsia" w:ascii="仿宋" w:hAnsi="仿宋" w:eastAsia="仿宋" w:cs="仿宋"/>
          <w:sz w:val="32"/>
        </w:rPr>
        <w:t>1131.85</w:t>
      </w:r>
      <w:r>
        <w:rPr>
          <w:rFonts w:hint="eastAsia" w:ascii="仿宋" w:hAnsi="仿宋" w:eastAsia="仿宋" w:cs="仿宋"/>
          <w:sz w:val="32"/>
          <w:szCs w:val="32"/>
        </w:rPr>
        <w:t>万元，</w:t>
      </w:r>
      <w:r>
        <w:rPr>
          <w:rFonts w:ascii="仿宋" w:hAnsi="仿宋" w:eastAsia="仿宋" w:cs="仿宋"/>
          <w:sz w:val="32"/>
        </w:rPr>
        <w:t>下降</w:t>
      </w:r>
      <w:r>
        <w:rPr>
          <w:rFonts w:hint="eastAsia" w:ascii="仿宋" w:hAnsi="仿宋" w:eastAsia="仿宋" w:cs="仿宋"/>
          <w:sz w:val="32"/>
        </w:rPr>
        <w:t>39.26</w:t>
      </w:r>
      <w:r>
        <w:rPr>
          <w:rFonts w:ascii="仿宋" w:hAnsi="仿宋" w:eastAsia="仿宋" w:cs="仿宋"/>
          <w:sz w:val="32"/>
        </w:rPr>
        <w:t>%</w:t>
      </w:r>
      <w:r>
        <w:rPr>
          <w:rFonts w:hint="eastAsia" w:ascii="仿宋" w:hAnsi="仿宋" w:eastAsia="仿宋" w:cs="仿宋"/>
          <w:sz w:val="32"/>
          <w:szCs w:val="32"/>
        </w:rPr>
        <w:t>，其中本年收入</w:t>
      </w:r>
      <w:r>
        <w:rPr>
          <w:rFonts w:hint="eastAsia" w:ascii="仿宋" w:hAnsi="仿宋" w:eastAsia="仿宋" w:cs="仿宋"/>
          <w:sz w:val="32"/>
        </w:rPr>
        <w:t>1751.36</w:t>
      </w:r>
      <w:r>
        <w:rPr>
          <w:rFonts w:hint="eastAsia" w:ascii="仿宋" w:hAnsi="仿宋" w:eastAsia="仿宋" w:cs="仿宋"/>
          <w:sz w:val="32"/>
          <w:szCs w:val="32"/>
        </w:rPr>
        <w:t>万元。收入具体情况如下。</w:t>
      </w:r>
    </w:p>
    <w:p>
      <w:pPr>
        <w:ind w:firstLine="640" w:firstLineChars="200"/>
        <w:jc w:val="left"/>
        <w:rPr>
          <w:rFonts w:ascii="仿宋" w:hAnsi="仿宋" w:eastAsia="仿宋" w:cs="Times New Roman"/>
          <w:sz w:val="32"/>
          <w:szCs w:val="32"/>
        </w:rPr>
      </w:pPr>
      <w:r>
        <w:rPr>
          <w:rFonts w:hint="eastAsia" w:ascii="仿宋" w:hAnsi="仿宋" w:eastAsia="仿宋" w:cs="仿宋"/>
          <w:sz w:val="32"/>
          <w:szCs w:val="32"/>
        </w:rPr>
        <w:t>1.一般公共预算财政拨款收入</w:t>
      </w:r>
      <w:r>
        <w:rPr>
          <w:rFonts w:hint="eastAsia" w:ascii="仿宋" w:hAnsi="仿宋" w:eastAsia="仿宋" w:cs="仿宋"/>
          <w:sz w:val="32"/>
        </w:rPr>
        <w:t>1563.83</w:t>
      </w:r>
      <w:r>
        <w:rPr>
          <w:rFonts w:hint="eastAsia" w:ascii="仿宋" w:hAnsi="仿宋" w:eastAsia="仿宋" w:cs="仿宋"/>
          <w:sz w:val="32"/>
          <w:szCs w:val="32"/>
        </w:rPr>
        <w:t>万元，为环江毛南族自治县本级财政当年拨付的资金。较2021年度决算数</w:t>
      </w:r>
      <w:r>
        <w:rPr>
          <w:rFonts w:ascii="仿宋" w:hAnsi="仿宋" w:eastAsia="仿宋" w:cs="仿宋"/>
          <w:sz w:val="32"/>
        </w:rPr>
        <w:t>减少</w:t>
      </w:r>
      <w:r>
        <w:rPr>
          <w:rFonts w:hint="eastAsia" w:ascii="仿宋" w:hAnsi="仿宋" w:eastAsia="仿宋" w:cs="仿宋"/>
          <w:sz w:val="32"/>
        </w:rPr>
        <w:t>1279.38</w:t>
      </w:r>
      <w:r>
        <w:rPr>
          <w:rFonts w:hint="eastAsia" w:ascii="仿宋" w:hAnsi="仿宋" w:eastAsia="仿宋" w:cs="仿宋"/>
          <w:sz w:val="32"/>
          <w:szCs w:val="32"/>
        </w:rPr>
        <w:t>万元，</w:t>
      </w:r>
      <w:r>
        <w:rPr>
          <w:rFonts w:ascii="仿宋" w:hAnsi="仿宋" w:eastAsia="仿宋" w:cs="仿宋"/>
          <w:sz w:val="32"/>
        </w:rPr>
        <w:t>下降</w:t>
      </w:r>
      <w:r>
        <w:rPr>
          <w:rFonts w:hint="eastAsia" w:ascii="仿宋" w:hAnsi="仿宋" w:eastAsia="仿宋" w:cs="仿宋"/>
          <w:sz w:val="32"/>
        </w:rPr>
        <w:t>45</w:t>
      </w:r>
      <w:r>
        <w:rPr>
          <w:rFonts w:ascii="仿宋" w:hAnsi="仿宋" w:eastAsia="仿宋" w:cs="仿宋"/>
          <w:sz w:val="32"/>
        </w:rPr>
        <w:t>%</w:t>
      </w:r>
      <w:r>
        <w:rPr>
          <w:rFonts w:hint="eastAsia" w:ascii="仿宋" w:hAnsi="仿宋" w:eastAsia="仿宋" w:cs="仿宋"/>
          <w:sz w:val="32"/>
          <w:szCs w:val="32"/>
        </w:rPr>
        <w:t>，</w:t>
      </w:r>
      <w:r>
        <w:rPr>
          <w:rFonts w:hint="eastAsia" w:ascii="仿宋" w:hAnsi="仿宋" w:eastAsia="仿宋" w:cs="仿宋"/>
          <w:color w:val="000000" w:themeColor="text1"/>
          <w:sz w:val="32"/>
          <w:szCs w:val="32"/>
        </w:rPr>
        <w:t>主要原因：由于综合项目减少710万元、“两高两道”风貌改造项目资金减少609万元。</w:t>
      </w:r>
    </w:p>
    <w:p>
      <w:pPr>
        <w:ind w:firstLine="640" w:firstLineChars="200"/>
        <w:jc w:val="left"/>
        <w:rPr>
          <w:rFonts w:ascii="仿宋" w:hAnsi="仿宋" w:eastAsia="仿宋" w:cs="Times New Roman"/>
          <w:sz w:val="32"/>
          <w:szCs w:val="32"/>
        </w:rPr>
      </w:pPr>
      <w:r>
        <w:rPr>
          <w:rFonts w:hint="eastAsia" w:ascii="仿宋" w:hAnsi="仿宋" w:eastAsia="仿宋" w:cs="仿宋"/>
          <w:sz w:val="32"/>
          <w:szCs w:val="32"/>
        </w:rPr>
        <w:t>2.政府性基金预算财政拨款收入</w:t>
      </w:r>
      <w:r>
        <w:rPr>
          <w:rFonts w:hint="eastAsia" w:ascii="仿宋" w:hAnsi="仿宋" w:eastAsia="仿宋" w:cs="仿宋"/>
          <w:sz w:val="32"/>
        </w:rPr>
        <w:t>187.53</w:t>
      </w:r>
      <w:r>
        <w:rPr>
          <w:rFonts w:hint="eastAsia" w:ascii="仿宋" w:hAnsi="仿宋" w:eastAsia="仿宋" w:cs="仿宋"/>
          <w:sz w:val="32"/>
          <w:szCs w:val="32"/>
        </w:rPr>
        <w:t>万元，为环江毛南族自治县本级财政当年拨付的资金。较2021年度决算数</w:t>
      </w:r>
      <w:r>
        <w:rPr>
          <w:rFonts w:ascii="仿宋" w:hAnsi="仿宋" w:eastAsia="仿宋" w:cs="仿宋"/>
          <w:sz w:val="32"/>
        </w:rPr>
        <w:t>增加</w:t>
      </w:r>
      <w:r>
        <w:rPr>
          <w:rFonts w:hint="eastAsia" w:ascii="仿宋" w:hAnsi="仿宋" w:eastAsia="仿宋" w:cs="仿宋"/>
          <w:sz w:val="32"/>
        </w:rPr>
        <w:t>147.53</w:t>
      </w:r>
      <w:r>
        <w:rPr>
          <w:rFonts w:hint="eastAsia" w:ascii="仿宋" w:hAnsi="仿宋" w:eastAsia="仿宋" w:cs="仿宋"/>
          <w:sz w:val="32"/>
          <w:szCs w:val="32"/>
        </w:rPr>
        <w:t>万元，</w:t>
      </w:r>
      <w:r>
        <w:rPr>
          <w:rFonts w:ascii="仿宋" w:hAnsi="仿宋" w:eastAsia="仿宋" w:cs="仿宋"/>
          <w:sz w:val="32"/>
        </w:rPr>
        <w:t>增长</w:t>
      </w:r>
      <w:r>
        <w:rPr>
          <w:rFonts w:hint="eastAsia" w:ascii="仿宋" w:hAnsi="仿宋" w:eastAsia="仿宋" w:cs="仿宋"/>
          <w:sz w:val="32"/>
        </w:rPr>
        <w:t>368.82</w:t>
      </w:r>
      <w:r>
        <w:rPr>
          <w:rFonts w:ascii="仿宋" w:hAnsi="仿宋" w:eastAsia="仿宋" w:cs="仿宋"/>
          <w:sz w:val="32"/>
        </w:rPr>
        <w:t>%</w:t>
      </w:r>
      <w:r>
        <w:rPr>
          <w:rFonts w:hint="eastAsia" w:ascii="仿宋" w:hAnsi="仿宋" w:eastAsia="仿宋" w:cs="仿宋"/>
          <w:sz w:val="32"/>
          <w:szCs w:val="32"/>
        </w:rPr>
        <w:t>，</w:t>
      </w:r>
      <w:r>
        <w:rPr>
          <w:rFonts w:hint="eastAsia" w:ascii="仿宋" w:hAnsi="仿宋" w:eastAsia="仿宋" w:cs="仿宋"/>
          <w:color w:val="000000" w:themeColor="text1"/>
          <w:sz w:val="32"/>
          <w:szCs w:val="32"/>
        </w:rPr>
        <w:t>主要原因：增加政府性基金安排支付“两高两道”风貌改造项目资金</w:t>
      </w:r>
      <w:r>
        <w:rPr>
          <w:rFonts w:hint="eastAsia" w:ascii="仿宋" w:hAnsi="仿宋" w:eastAsia="仿宋" w:cs="仿宋"/>
          <w:color w:val="FF0000"/>
          <w:sz w:val="32"/>
          <w:szCs w:val="32"/>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3.国有资本经营预算财政拨款收入</w:t>
      </w:r>
      <w:r>
        <w:rPr>
          <w:rFonts w:ascii="仿宋" w:hAnsi="仿宋" w:eastAsia="仿宋" w:cs="仿宋"/>
          <w:sz w:val="32"/>
        </w:rPr>
        <w:t>0.00</w:t>
      </w:r>
      <w:r>
        <w:rPr>
          <w:rFonts w:hint="eastAsia" w:ascii="仿宋" w:hAnsi="仿宋" w:eastAsia="仿宋" w:cs="仿宋"/>
          <w:sz w:val="32"/>
          <w:szCs w:val="32"/>
        </w:rPr>
        <w:t>万元。为环江毛南族自治县本级财政当年拨付的资金。较2021年度决算数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4.上级补助收入</w:t>
      </w:r>
      <w:r>
        <w:rPr>
          <w:rFonts w:hint="eastAsia" w:ascii="仿宋" w:hAnsi="仿宋" w:eastAsia="仿宋" w:cs="仿宋"/>
          <w:sz w:val="32"/>
        </w:rPr>
        <w:t>0</w:t>
      </w:r>
      <w:r>
        <w:rPr>
          <w:rFonts w:hint="eastAsia" w:ascii="仿宋" w:hAnsi="仿宋" w:eastAsia="仿宋" w:cs="仿宋"/>
          <w:sz w:val="32"/>
          <w:szCs w:val="32"/>
        </w:rPr>
        <w:t>万元，为上级部门当年拨付的资金。较2021年度决算数</w:t>
      </w:r>
      <w:r>
        <w:rPr>
          <w:rFonts w:ascii="仿宋" w:hAnsi="仿宋" w:eastAsia="仿宋" w:cs="仿宋"/>
          <w:sz w:val="32"/>
        </w:rPr>
        <w:t>增加</w:t>
      </w:r>
      <w:r>
        <w:rPr>
          <w:rFonts w:hint="eastAsia" w:ascii="仿宋" w:hAnsi="仿宋" w:eastAsia="仿宋" w:cs="仿宋"/>
          <w:sz w:val="32"/>
        </w:rPr>
        <w:t>0</w:t>
      </w:r>
      <w:r>
        <w:rPr>
          <w:rFonts w:hint="eastAsia" w:ascii="仿宋" w:hAnsi="仿宋" w:eastAsia="仿宋" w:cs="仿宋"/>
          <w:sz w:val="32"/>
          <w:szCs w:val="32"/>
        </w:rPr>
        <w:t>万元,</w:t>
      </w:r>
      <w:r>
        <w:rPr>
          <w:rFonts w:ascii="仿宋" w:hAnsi="仿宋" w:eastAsia="仿宋" w:cs="仿宋"/>
          <w:sz w:val="32"/>
        </w:rPr>
        <w:t>增长</w:t>
      </w:r>
      <w:r>
        <w:rPr>
          <w:rFonts w:hint="eastAsia" w:ascii="仿宋" w:hAnsi="仿宋" w:eastAsia="仿宋" w:cs="仿宋"/>
          <w:sz w:val="32"/>
        </w:rPr>
        <w:t>0</w:t>
      </w:r>
      <w:r>
        <w:rPr>
          <w:rFonts w:ascii="仿宋" w:hAnsi="仿宋" w:eastAsia="仿宋" w:cs="仿宋"/>
          <w:sz w:val="32"/>
        </w:rPr>
        <w:t>%</w:t>
      </w:r>
      <w:r>
        <w:rPr>
          <w:rFonts w:hint="eastAsia" w:ascii="仿宋" w:hAnsi="仿宋" w:eastAsia="仿宋" w:cs="仿宋"/>
          <w:sz w:val="32"/>
          <w:szCs w:val="32"/>
        </w:rPr>
        <w:t>，</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rPr>
        <w:t>5.事业收入</w:t>
      </w:r>
      <w:r>
        <w:rPr>
          <w:rFonts w:ascii="仿宋" w:hAnsi="仿宋" w:eastAsia="仿宋" w:cs="仿宋"/>
          <w:sz w:val="32"/>
        </w:rPr>
        <w:t>0.00</w:t>
      </w:r>
      <w:r>
        <w:rPr>
          <w:rFonts w:hint="eastAsia" w:ascii="仿宋" w:hAnsi="仿宋" w:eastAsia="仿宋" w:cs="仿宋"/>
          <w:sz w:val="32"/>
          <w:szCs w:val="32"/>
        </w:rPr>
        <w:t>万元，为事业单位开展业务活动取得的收入。较2021年度决算数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w:t>
      </w:r>
      <w:r>
        <w:rPr>
          <w:rFonts w:hint="eastAsia" w:ascii="仿宋" w:hAnsi="仿宋" w:eastAsia="仿宋" w:cs="仿宋"/>
          <w:color w:val="000000" w:themeColor="text1"/>
          <w:sz w:val="32"/>
          <w:szCs w:val="32"/>
        </w:rPr>
        <w:t>主要</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rPr>
        <w:t>6.</w:t>
      </w:r>
      <w:r>
        <w:rPr>
          <w:rFonts w:hint="eastAsia" w:ascii="仿宋" w:hAnsi="仿宋" w:eastAsia="仿宋" w:cs="仿宋"/>
          <w:sz w:val="36"/>
          <w:szCs w:val="36"/>
        </w:rPr>
        <w:t>经营收入</w:t>
      </w:r>
      <w:r>
        <w:rPr>
          <w:rFonts w:hint="eastAsia" w:ascii="仿宋" w:hAnsi="仿宋" w:eastAsia="仿宋" w:cs="仿宋"/>
          <w:sz w:val="32"/>
          <w:szCs w:val="32"/>
        </w:rPr>
        <w:t>0.00万,为事业单位在业务活动之外开展非独立核算经营活动取得的收入。较2021年度决算数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rPr>
        <w:t>7.附属单位上缴收入</w:t>
      </w:r>
      <w:r>
        <w:rPr>
          <w:rFonts w:ascii="仿宋" w:hAnsi="仿宋" w:eastAsia="仿宋" w:cs="仿宋"/>
          <w:sz w:val="32"/>
        </w:rPr>
        <w:t>0.00</w:t>
      </w:r>
      <w:r>
        <w:rPr>
          <w:rFonts w:hint="eastAsia" w:ascii="仿宋" w:hAnsi="仿宋" w:eastAsia="仿宋" w:cs="仿宋"/>
          <w:sz w:val="32"/>
          <w:szCs w:val="32"/>
        </w:rPr>
        <w:t>万元。较2021年度决算数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rPr>
        <w:t>8.其他收入</w:t>
      </w:r>
      <w:r>
        <w:rPr>
          <w:rFonts w:hint="eastAsia" w:ascii="仿宋" w:hAnsi="仿宋" w:eastAsia="仿宋" w:cs="仿宋"/>
          <w:sz w:val="32"/>
        </w:rPr>
        <w:t>0</w:t>
      </w:r>
      <w:r>
        <w:rPr>
          <w:rFonts w:hint="eastAsia" w:ascii="仿宋" w:hAnsi="仿宋" w:eastAsia="仿宋" w:cs="仿宋"/>
          <w:sz w:val="32"/>
          <w:szCs w:val="32"/>
        </w:rPr>
        <w:t>万元,为预算单位在“财政拨款收入”“事业收入”“经营收入”之外取得的收入。较2021年度决算数</w:t>
      </w:r>
      <w:r>
        <w:rPr>
          <w:rFonts w:ascii="仿宋" w:hAnsi="仿宋" w:eastAsia="仿宋" w:cs="仿宋"/>
          <w:sz w:val="32"/>
        </w:rPr>
        <w:t>减少</w:t>
      </w:r>
      <w:r>
        <w:rPr>
          <w:rFonts w:hint="eastAsia" w:ascii="仿宋" w:hAnsi="仿宋" w:eastAsia="仿宋" w:cs="仿宋"/>
          <w:sz w:val="32"/>
        </w:rPr>
        <w:t>0</w:t>
      </w:r>
      <w:r>
        <w:rPr>
          <w:rFonts w:hint="eastAsia" w:ascii="仿宋" w:hAnsi="仿宋" w:eastAsia="仿宋" w:cs="仿宋"/>
          <w:sz w:val="32"/>
          <w:szCs w:val="32"/>
        </w:rPr>
        <w:t>万元，</w:t>
      </w:r>
      <w:r>
        <w:rPr>
          <w:rFonts w:ascii="仿宋" w:hAnsi="仿宋" w:eastAsia="仿宋" w:cs="仿宋"/>
          <w:sz w:val="32"/>
        </w:rPr>
        <w:t>下降</w:t>
      </w:r>
      <w:r>
        <w:rPr>
          <w:rFonts w:hint="eastAsia" w:ascii="仿宋" w:hAnsi="仿宋" w:eastAsia="仿宋" w:cs="仿宋"/>
          <w:sz w:val="32"/>
        </w:rPr>
        <w:t>0</w:t>
      </w:r>
      <w:r>
        <w:rPr>
          <w:rFonts w:ascii="仿宋" w:hAnsi="仿宋" w:eastAsia="仿宋" w:cs="仿宋"/>
          <w:sz w:val="32"/>
        </w:rPr>
        <w:t>%</w:t>
      </w:r>
      <w:r>
        <w:rPr>
          <w:rFonts w:hint="eastAsia" w:ascii="仿宋" w:hAnsi="仿宋" w:eastAsia="仿宋" w:cs="仿宋"/>
          <w:sz w:val="32"/>
          <w:szCs w:val="32"/>
        </w:rPr>
        <w:t>。</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rPr>
        <w:t>9.使用非财政拨款结余</w:t>
      </w:r>
      <w:r>
        <w:rPr>
          <w:rFonts w:ascii="仿宋" w:hAnsi="仿宋" w:eastAsia="仿宋" w:cs="仿宋"/>
          <w:sz w:val="32"/>
        </w:rPr>
        <w:t>0.00</w:t>
      </w:r>
      <w:r>
        <w:rPr>
          <w:rFonts w:hint="eastAsia" w:ascii="仿宋" w:hAnsi="仿宋" w:eastAsia="仿宋" w:cs="仿宋"/>
          <w:sz w:val="32"/>
          <w:szCs w:val="32"/>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rPr>
        <w:t>10.上年结转和结余</w:t>
      </w:r>
      <w:r>
        <w:rPr>
          <w:rFonts w:hint="eastAsia" w:ascii="仿宋" w:hAnsi="仿宋" w:eastAsia="仿宋" w:cs="仿宋"/>
          <w:sz w:val="32"/>
        </w:rPr>
        <w:t>0</w:t>
      </w:r>
      <w:r>
        <w:rPr>
          <w:rFonts w:hint="eastAsia" w:ascii="仿宋" w:hAnsi="仿宋" w:eastAsia="仿宋" w:cs="仿宋"/>
          <w:sz w:val="32"/>
          <w:szCs w:val="32"/>
        </w:rPr>
        <w:t>万元，为以前年度支出预算因客观条件变化未执行完毕、结转到本年度按有关规定继续使用的资金。较2021年度决算数</w:t>
      </w:r>
      <w:r>
        <w:rPr>
          <w:rFonts w:ascii="仿宋" w:hAnsi="仿宋" w:eastAsia="仿宋" w:cs="仿宋"/>
          <w:sz w:val="32"/>
        </w:rPr>
        <w:t>减少</w:t>
      </w:r>
      <w:r>
        <w:rPr>
          <w:rFonts w:hint="eastAsia" w:ascii="仿宋" w:hAnsi="仿宋" w:eastAsia="仿宋" w:cs="仿宋"/>
          <w:sz w:val="32"/>
          <w:szCs w:val="32"/>
        </w:rPr>
        <w:t>413.17万元，</w:t>
      </w:r>
      <w:r>
        <w:rPr>
          <w:rFonts w:ascii="仿宋" w:hAnsi="仿宋" w:eastAsia="仿宋" w:cs="仿宋"/>
          <w:sz w:val="32"/>
        </w:rPr>
        <w:t>下降</w:t>
      </w:r>
      <w:r>
        <w:rPr>
          <w:rFonts w:hint="eastAsia" w:ascii="仿宋" w:hAnsi="仿宋" w:eastAsia="仿宋" w:cs="仿宋"/>
          <w:sz w:val="32"/>
        </w:rPr>
        <w:t>100</w:t>
      </w:r>
      <w:r>
        <w:rPr>
          <w:rFonts w:ascii="仿宋" w:hAnsi="仿宋" w:eastAsia="仿宋" w:cs="仿宋"/>
          <w:sz w:val="32"/>
        </w:rPr>
        <w:t>%</w:t>
      </w:r>
      <w:r>
        <w:rPr>
          <w:rFonts w:hint="eastAsia" w:ascii="仿宋" w:hAnsi="仿宋" w:eastAsia="仿宋" w:cs="仿宋"/>
          <w:sz w:val="32"/>
          <w:szCs w:val="32"/>
        </w:rPr>
        <w:t>，</w:t>
      </w:r>
      <w:r>
        <w:rPr>
          <w:rFonts w:hint="eastAsia" w:ascii="仿宋" w:hAnsi="仿宋" w:eastAsia="仿宋" w:cs="仿宋"/>
          <w:color w:val="000000" w:themeColor="text1"/>
          <w:sz w:val="32"/>
          <w:szCs w:val="32"/>
        </w:rPr>
        <w:t>主要原因：</w:t>
      </w:r>
      <w:r>
        <w:rPr>
          <w:rFonts w:hint="eastAsia" w:ascii="仿宋" w:hAnsi="仿宋" w:eastAsia="仿宋" w:cs="仿宋"/>
          <w:sz w:val="32"/>
          <w:szCs w:val="32"/>
        </w:rPr>
        <w:t>部分项目已在本年执行完毕，不需要结转至下年继续执行</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213225" cy="3029585"/>
            <wp:effectExtent l="4445" t="4445" r="11430" b="1397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（二）本部门2022年度总支出</w:t>
      </w:r>
      <w:r>
        <w:rPr>
          <w:rFonts w:hint="eastAsia" w:ascii="仿宋" w:hAnsi="仿宋" w:eastAsia="仿宋" w:cs="仿宋"/>
          <w:sz w:val="32"/>
        </w:rPr>
        <w:t>1751.36</w:t>
      </w:r>
      <w:r>
        <w:rPr>
          <w:rFonts w:hint="eastAsia" w:ascii="仿宋" w:hAnsi="仿宋" w:eastAsia="仿宋" w:cs="仿宋"/>
          <w:sz w:val="32"/>
          <w:szCs w:val="32"/>
        </w:rPr>
        <w:t>万元，其中本年支出</w:t>
      </w:r>
      <w:r>
        <w:rPr>
          <w:rFonts w:hint="eastAsia" w:ascii="仿宋" w:hAnsi="仿宋" w:eastAsia="仿宋" w:cs="仿宋"/>
          <w:sz w:val="32"/>
        </w:rPr>
        <w:t>1751.36</w:t>
      </w:r>
      <w:r>
        <w:rPr>
          <w:rFonts w:hint="eastAsia" w:ascii="仿宋" w:hAnsi="仿宋" w:eastAsia="仿宋" w:cs="仿宋"/>
          <w:sz w:val="32"/>
          <w:szCs w:val="32"/>
        </w:rPr>
        <w:t>万元，较2021年度决算数</w:t>
      </w:r>
      <w:r>
        <w:rPr>
          <w:rFonts w:ascii="仿宋" w:hAnsi="仿宋" w:eastAsia="仿宋" w:cs="仿宋"/>
          <w:sz w:val="32"/>
        </w:rPr>
        <w:t>减少</w:t>
      </w:r>
      <w:r>
        <w:rPr>
          <w:rFonts w:hint="eastAsia" w:ascii="仿宋" w:hAnsi="仿宋" w:eastAsia="仿宋" w:cs="仿宋"/>
          <w:sz w:val="32"/>
        </w:rPr>
        <w:t>1545.02</w:t>
      </w:r>
      <w:r>
        <w:rPr>
          <w:rFonts w:hint="eastAsia" w:ascii="仿宋" w:hAnsi="仿宋" w:eastAsia="仿宋" w:cs="仿宋"/>
          <w:sz w:val="32"/>
          <w:szCs w:val="32"/>
        </w:rPr>
        <w:t>万元，</w:t>
      </w:r>
      <w:r>
        <w:rPr>
          <w:rFonts w:ascii="仿宋" w:hAnsi="仿宋" w:eastAsia="仿宋" w:cs="仿宋"/>
          <w:sz w:val="32"/>
        </w:rPr>
        <w:t>下降</w:t>
      </w:r>
      <w:r>
        <w:rPr>
          <w:rFonts w:hint="eastAsia" w:ascii="仿宋" w:hAnsi="仿宋" w:eastAsia="仿宋" w:cs="仿宋"/>
          <w:sz w:val="32"/>
        </w:rPr>
        <w:t>46.87</w:t>
      </w:r>
      <w:r>
        <w:rPr>
          <w:rFonts w:ascii="仿宋" w:hAnsi="仿宋" w:eastAsia="仿宋" w:cs="仿宋"/>
          <w:sz w:val="32"/>
        </w:rPr>
        <w:t>%</w:t>
      </w:r>
      <w:r>
        <w:rPr>
          <w:rFonts w:hint="eastAsia" w:ascii="仿宋" w:hAnsi="仿宋" w:eastAsia="仿宋" w:cs="仿宋"/>
          <w:sz w:val="32"/>
          <w:szCs w:val="32"/>
        </w:rPr>
        <w:t>。支出具体情况如下：</w:t>
      </w:r>
    </w:p>
    <w:p>
      <w:pPr>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1</w:t>
      </w:r>
      <w:r>
        <w:rPr>
          <w:rFonts w:ascii="仿宋" w:hAnsi="仿宋" w:eastAsia="仿宋" w:cs="仿宋"/>
          <w:color w:val="auto"/>
          <w:sz w:val="32"/>
        </w:rPr>
        <w:t>.</w:t>
      </w:r>
      <w:r>
        <w:rPr>
          <w:rFonts w:hint="eastAsia" w:ascii="仿宋" w:hAnsi="仿宋" w:eastAsia="仿宋" w:cs="仿宋"/>
          <w:color w:val="auto"/>
          <w:sz w:val="32"/>
          <w:szCs w:val="32"/>
        </w:rPr>
        <w:t>一般公共服务支出（201</w:t>
      </w:r>
      <w:r>
        <w:rPr>
          <w:rFonts w:ascii="Calibri" w:hAnsi="Calibri" w:eastAsia="宋体" w:cs="Times New Roman"/>
          <w:color w:val="auto"/>
        </w:rPr>
        <w:t xml:space="preserve"> </w:t>
      </w:r>
      <w:r>
        <w:rPr>
          <w:rFonts w:hint="eastAsia" w:ascii="仿宋" w:hAnsi="仿宋" w:eastAsia="仿宋" w:cs="仿宋"/>
          <w:color w:val="auto"/>
          <w:sz w:val="32"/>
          <w:szCs w:val="32"/>
        </w:rPr>
        <w:t>类）4.18万元：主要用于：群众团体事务。较2021年度决算数减少2.92万元，增长231.74%，主要原因是：2022年工会经费由单位支付，2021年单位不支付工会经费。</w:t>
      </w:r>
    </w:p>
    <w:p>
      <w:pPr>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2</w:t>
      </w:r>
      <w:r>
        <w:rPr>
          <w:rFonts w:ascii="仿宋" w:hAnsi="仿宋" w:eastAsia="仿宋" w:cs="仿宋"/>
          <w:color w:val="auto"/>
          <w:sz w:val="32"/>
        </w:rPr>
        <w:t>.</w:t>
      </w:r>
      <w:r>
        <w:rPr>
          <w:rFonts w:hint="eastAsia" w:ascii="仿宋" w:hAnsi="仿宋" w:eastAsia="仿宋" w:cs="仿宋"/>
          <w:color w:val="auto"/>
          <w:sz w:val="32"/>
          <w:szCs w:val="32"/>
        </w:rPr>
        <w:t>国防支出（203类）27.61万元：主要用于： 人民防空业务及项目支出。较2021年度决算数增加4.6万元，增长20%，主要原因是：增加人防预案编制费。</w:t>
      </w:r>
    </w:p>
    <w:p>
      <w:pPr>
        <w:ind w:firstLine="640" w:firstLineChars="200"/>
        <w:jc w:val="left"/>
        <w:rPr>
          <w:rFonts w:ascii="仿宋" w:hAnsi="仿宋" w:eastAsia="仿宋" w:cs="仿宋"/>
          <w:sz w:val="32"/>
          <w:szCs w:val="32"/>
        </w:rPr>
      </w:pPr>
      <w:r>
        <w:rPr>
          <w:rFonts w:hint="eastAsia" w:ascii="仿宋" w:hAnsi="仿宋" w:eastAsia="仿宋" w:cs="仿宋"/>
          <w:color w:val="auto"/>
          <w:sz w:val="32"/>
          <w:szCs w:val="32"/>
        </w:rPr>
        <w:t>3</w:t>
      </w:r>
      <w:r>
        <w:rPr>
          <w:rFonts w:ascii="仿宋" w:hAnsi="仿宋" w:eastAsia="仿宋" w:cs="仿宋"/>
          <w:color w:val="auto"/>
          <w:sz w:val="32"/>
        </w:rPr>
        <w:t>.</w:t>
      </w:r>
      <w:r>
        <w:rPr>
          <w:rFonts w:hint="eastAsia" w:ascii="仿宋" w:hAnsi="仿宋" w:eastAsia="仿宋" w:cs="仿宋"/>
          <w:color w:val="auto"/>
          <w:sz w:val="32"/>
          <w:szCs w:val="32"/>
        </w:rPr>
        <w:t>社会保障和就业支出（208</w:t>
      </w:r>
      <w:r>
        <w:rPr>
          <w:rFonts w:ascii="Calibri" w:hAnsi="Calibri" w:eastAsia="宋体" w:cs="Times New Roman"/>
          <w:color w:val="auto"/>
        </w:rPr>
        <w:t xml:space="preserve"> </w:t>
      </w:r>
      <w:r>
        <w:rPr>
          <w:rFonts w:hint="eastAsia" w:ascii="仿宋" w:hAnsi="仿宋" w:eastAsia="仿宋" w:cs="仿宋"/>
          <w:color w:val="auto"/>
          <w:sz w:val="32"/>
          <w:szCs w:val="32"/>
        </w:rPr>
        <w:t>类）41.99万元：主要用于： 机关事业单位基本养老保险缴费支出41.99万元。较</w:t>
      </w:r>
      <w:r>
        <w:rPr>
          <w:rFonts w:hint="eastAsia" w:ascii="仿宋" w:hAnsi="仿宋" w:eastAsia="仿宋" w:cs="仿宋"/>
          <w:sz w:val="32"/>
          <w:szCs w:val="32"/>
        </w:rPr>
        <w:t>2021年度决算数增加1.49万元，增长3.68%，</w:t>
      </w:r>
      <w:r>
        <w:rPr>
          <w:rFonts w:hint="eastAsia" w:ascii="仿宋" w:hAnsi="仿宋" w:eastAsia="仿宋" w:cs="仿宋"/>
          <w:color w:val="000000" w:themeColor="text1"/>
          <w:sz w:val="32"/>
          <w:szCs w:val="32"/>
        </w:rPr>
        <w:t>主要原因是：</w:t>
      </w:r>
      <w:r>
        <w:rPr>
          <w:rFonts w:hint="eastAsia" w:ascii="仿宋" w:hAnsi="仿宋" w:eastAsia="仿宋" w:cs="仿宋"/>
          <w:color w:val="auto"/>
          <w:sz w:val="32"/>
          <w:szCs w:val="32"/>
        </w:rPr>
        <w:t>基本养老基数增加。</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rPr>
        <w:t>.</w:t>
      </w:r>
      <w:r>
        <w:rPr>
          <w:rFonts w:hint="eastAsia" w:ascii="仿宋" w:hAnsi="仿宋" w:eastAsia="仿宋" w:cs="仿宋"/>
          <w:sz w:val="32"/>
          <w:szCs w:val="32"/>
        </w:rPr>
        <w:t>城乡社区支出（212类）1231.61万元。较2021年度决算数减少1439.19万元，下降53.39%，主要原因：财政资金紧张、工资福利标准提高。</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sz w:val="32"/>
          <w:szCs w:val="32"/>
        </w:rPr>
        <w:t>5</w:t>
      </w:r>
      <w:r>
        <w:rPr>
          <w:rFonts w:ascii="仿宋" w:hAnsi="仿宋" w:eastAsia="仿宋" w:cs="仿宋"/>
          <w:sz w:val="32"/>
        </w:rPr>
        <w:t>.</w:t>
      </w:r>
      <w:r>
        <w:rPr>
          <w:rFonts w:hint="eastAsia" w:ascii="仿宋" w:hAnsi="仿宋" w:eastAsia="仿宋" w:cs="仿宋"/>
          <w:sz w:val="32"/>
          <w:szCs w:val="32"/>
        </w:rPr>
        <w:t>住房保障支出（221</w:t>
      </w:r>
      <w:r>
        <w:rPr>
          <w:rFonts w:ascii="Calibri" w:hAnsi="Calibri" w:eastAsia="宋体" w:cs="Times New Roman"/>
        </w:rPr>
        <w:t xml:space="preserve"> </w:t>
      </w:r>
      <w:r>
        <w:rPr>
          <w:rFonts w:hint="eastAsia" w:ascii="仿宋" w:hAnsi="仿宋" w:eastAsia="仿宋" w:cs="仿宋"/>
          <w:sz w:val="32"/>
          <w:szCs w:val="32"/>
        </w:rPr>
        <w:t>类）120.84万元：</w:t>
      </w:r>
      <w:r>
        <w:rPr>
          <w:rFonts w:hint="eastAsia" w:ascii="仿宋" w:hAnsi="仿宋" w:eastAsia="仿宋" w:cs="仿宋"/>
          <w:color w:val="000000" w:themeColor="text1"/>
          <w:sz w:val="32"/>
          <w:szCs w:val="32"/>
        </w:rPr>
        <w:t>主要用于</w:t>
      </w:r>
      <w:r>
        <w:rPr>
          <w:rFonts w:hint="eastAsia" w:ascii="仿宋" w:hAnsi="仿宋" w:eastAsia="仿宋" w:cs="仿宋"/>
          <w:sz w:val="32"/>
          <w:szCs w:val="32"/>
        </w:rPr>
        <w:t>：保障性安居工程支出92万元、 住房公积金支出28.84万元。较2021年度决算数增加78.27万元，增长183.86%，</w:t>
      </w:r>
      <w:r>
        <w:rPr>
          <w:rFonts w:hint="eastAsia" w:ascii="仿宋" w:hAnsi="仿宋" w:eastAsia="仿宋" w:cs="仿宋"/>
          <w:color w:val="000000" w:themeColor="text1"/>
          <w:sz w:val="32"/>
          <w:szCs w:val="32"/>
        </w:rPr>
        <w:t>主要原因是：增加老旧小区改造项目16.80万元、棚户区改造服务费32.76万元、租房金补贴13万元、支付移动“阳关社区、美丽家园”公租房云监管系统费。</w:t>
      </w:r>
    </w:p>
    <w:p>
      <w:pPr>
        <w:ind w:firstLine="640" w:firstLineChars="200"/>
        <w:jc w:val="left"/>
        <w:rPr>
          <w:rFonts w:ascii="仿宋" w:hAnsi="仿宋" w:eastAsia="仿宋" w:cs="仿宋"/>
          <w:color w:val="000000" w:themeColor="text1"/>
          <w:sz w:val="32"/>
          <w:szCs w:val="32"/>
        </w:rPr>
      </w:pPr>
      <w:r>
        <w:rPr>
          <w:rFonts w:hint="eastAsia" w:ascii="仿宋" w:hAnsi="仿宋" w:eastAsia="仿宋" w:cs="仿宋"/>
          <w:sz w:val="32"/>
          <w:szCs w:val="32"/>
        </w:rPr>
        <w:t>6</w:t>
      </w:r>
      <w:r>
        <w:rPr>
          <w:rFonts w:ascii="仿宋" w:hAnsi="仿宋" w:eastAsia="仿宋" w:cs="仿宋"/>
          <w:sz w:val="32"/>
        </w:rPr>
        <w:t>.</w:t>
      </w:r>
      <w:r>
        <w:rPr>
          <w:rFonts w:hint="eastAsia" w:ascii="仿宋" w:hAnsi="仿宋" w:eastAsia="仿宋" w:cs="仿宋"/>
          <w:sz w:val="32"/>
          <w:szCs w:val="32"/>
        </w:rPr>
        <w:t>其他支出（299</w:t>
      </w:r>
      <w:r>
        <w:rPr>
          <w:rFonts w:ascii="Calibri" w:hAnsi="Calibri" w:eastAsia="宋体" w:cs="Times New Roman"/>
        </w:rPr>
        <w:t xml:space="preserve"> </w:t>
      </w:r>
      <w:r>
        <w:rPr>
          <w:rFonts w:hint="eastAsia" w:ascii="仿宋" w:hAnsi="仿宋" w:eastAsia="仿宋" w:cs="仿宋"/>
          <w:sz w:val="32"/>
          <w:szCs w:val="32"/>
        </w:rPr>
        <w:t>类）136.97万元：</w:t>
      </w:r>
      <w:r>
        <w:rPr>
          <w:rFonts w:hint="eastAsia" w:ascii="仿宋" w:hAnsi="仿宋" w:eastAsia="仿宋" w:cs="仿宋"/>
          <w:color w:val="000000" w:themeColor="text1"/>
          <w:sz w:val="32"/>
          <w:szCs w:val="32"/>
        </w:rPr>
        <w:t>主要用于</w:t>
      </w:r>
      <w:r>
        <w:rPr>
          <w:rFonts w:hint="eastAsia" w:ascii="仿宋" w:hAnsi="仿宋" w:eastAsia="仿宋" w:cs="仿宋"/>
          <w:sz w:val="32"/>
          <w:szCs w:val="32"/>
        </w:rPr>
        <w:t>：发放奖励补贴及项目。较2021年度决算数增加22.01万元，增长19.15%，</w:t>
      </w:r>
      <w:r>
        <w:rPr>
          <w:rFonts w:hint="eastAsia" w:ascii="仿宋" w:hAnsi="仿宋" w:eastAsia="仿宋" w:cs="仿宋"/>
          <w:color w:val="000000" w:themeColor="text1"/>
          <w:sz w:val="32"/>
          <w:szCs w:val="32"/>
        </w:rPr>
        <w:t>主要原因是退还人防异地建设费退还。</w:t>
      </w:r>
    </w:p>
    <w:p>
      <w:pPr>
        <w:ind w:firstLine="620" w:firstLineChars="200"/>
        <w:jc w:val="left"/>
        <w:rPr>
          <w:rFonts w:ascii="仿宋" w:hAnsi="仿宋" w:eastAsia="仿宋_GB2312" w:cs="仿宋"/>
          <w:sz w:val="32"/>
          <w:szCs w:val="32"/>
        </w:rPr>
      </w:pPr>
      <w:r>
        <w:rPr>
          <w:rFonts w:ascii="仿宋_GB2312" w:hAnsi="微软雅黑" w:eastAsia="仿宋_GB2312" w:cs="仿宋_GB2312"/>
          <w:color w:val="000000"/>
          <w:sz w:val="31"/>
          <w:szCs w:val="31"/>
          <w:shd w:val="clear" w:color="auto" w:fill="FFFFFF"/>
        </w:rPr>
        <w:t>结余分配</w:t>
      </w:r>
      <w:r>
        <w:rPr>
          <w:rFonts w:hint="eastAsia" w:ascii="仿宋_GB2312" w:hAnsi="微软雅黑" w:eastAsia="仿宋_GB2312" w:cs="仿宋_GB2312"/>
          <w:color w:val="000000"/>
          <w:sz w:val="31"/>
          <w:szCs w:val="31"/>
          <w:shd w:val="clear" w:color="auto" w:fill="FFFFFF"/>
        </w:rPr>
        <w:t>0.00</w:t>
      </w:r>
      <w:r>
        <w:rPr>
          <w:rFonts w:ascii="仿宋_GB2312" w:hAnsi="微软雅黑" w:eastAsia="仿宋_GB2312" w:cs="仿宋_GB2312"/>
          <w:color w:val="000000"/>
          <w:sz w:val="31"/>
          <w:szCs w:val="31"/>
          <w:shd w:val="clear" w:color="auto" w:fill="FFFFFF"/>
        </w:rPr>
        <w:t>万元，为事业单位按规定提取的专用结余、缴纳所得税和转入非财政拨款结余等。较202</w:t>
      </w:r>
      <w:r>
        <w:rPr>
          <w:rFonts w:hint="eastAsia" w:ascii="仿宋_GB2312" w:hAnsi="微软雅黑" w:eastAsia="仿宋_GB2312" w:cs="仿宋_GB2312"/>
          <w:color w:val="000000"/>
          <w:sz w:val="31"/>
          <w:szCs w:val="31"/>
          <w:shd w:val="clear" w:color="auto" w:fill="FFFFFF"/>
        </w:rPr>
        <w:t>1</w:t>
      </w:r>
      <w:r>
        <w:rPr>
          <w:rFonts w:ascii="仿宋_GB2312" w:hAnsi="微软雅黑" w:eastAsia="仿宋_GB2312" w:cs="仿宋_GB2312"/>
          <w:color w:val="000000"/>
          <w:sz w:val="31"/>
          <w:szCs w:val="31"/>
          <w:shd w:val="clear" w:color="auto" w:fill="FFFFFF"/>
        </w:rPr>
        <w:t>年决算</w:t>
      </w:r>
      <w:r>
        <w:rPr>
          <w:rFonts w:hint="eastAsia" w:ascii="仿宋_GB2312" w:hAnsi="微软雅黑" w:eastAsia="仿宋_GB2312" w:cs="仿宋_GB2312"/>
          <w:color w:val="000000"/>
          <w:sz w:val="31"/>
          <w:szCs w:val="31"/>
          <w:shd w:val="clear" w:color="auto" w:fill="FFFFFF"/>
        </w:rPr>
        <w:t>0.00</w:t>
      </w:r>
      <w:r>
        <w:rPr>
          <w:rFonts w:ascii="仿宋_GB2312" w:hAnsi="微软雅黑" w:eastAsia="仿宋_GB2312" w:cs="仿宋_GB2312"/>
          <w:color w:val="000000"/>
          <w:sz w:val="31"/>
          <w:szCs w:val="31"/>
          <w:shd w:val="clear" w:color="auto" w:fill="FFFFFF"/>
        </w:rPr>
        <w:t>万元</w:t>
      </w:r>
      <w:r>
        <w:rPr>
          <w:rFonts w:hint="eastAsia" w:ascii="仿宋_GB2312" w:hAnsi="微软雅黑" w:eastAsia="仿宋_GB2312" w:cs="仿宋_GB2312"/>
          <w:color w:val="000000"/>
          <w:sz w:val="31"/>
          <w:szCs w:val="31"/>
          <w:shd w:val="clear" w:color="auto" w:fill="FFFFFF"/>
        </w:rPr>
        <w:t>,增加0.00</w:t>
      </w:r>
      <w:r>
        <w:rPr>
          <w:rFonts w:ascii="仿宋_GB2312" w:hAnsi="微软雅黑" w:eastAsia="仿宋_GB2312" w:cs="仿宋_GB2312"/>
          <w:color w:val="000000"/>
          <w:sz w:val="31"/>
          <w:szCs w:val="31"/>
          <w:shd w:val="clear" w:color="auto" w:fill="FFFFFF"/>
        </w:rPr>
        <w:t>万元，</w:t>
      </w:r>
      <w:r>
        <w:rPr>
          <w:rFonts w:hint="eastAsia" w:ascii="仿宋_GB2312" w:hAnsi="微软雅黑" w:eastAsia="仿宋_GB2312" w:cs="仿宋_GB2312"/>
          <w:color w:val="000000"/>
          <w:sz w:val="31"/>
          <w:szCs w:val="31"/>
          <w:shd w:val="clear" w:color="auto" w:fill="FFFFFF"/>
        </w:rPr>
        <w:t>增长0%。</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年末结转和结余</w:t>
      </w:r>
      <w:r>
        <w:rPr>
          <w:rFonts w:hint="eastAsia" w:ascii="仿宋" w:hAnsi="仿宋" w:eastAsia="仿宋" w:cs="仿宋"/>
          <w:sz w:val="32"/>
        </w:rPr>
        <w:t>0</w:t>
      </w:r>
      <w:r>
        <w:rPr>
          <w:rFonts w:hint="eastAsia" w:ascii="仿宋" w:hAnsi="仿宋" w:eastAsia="仿宋" w:cs="仿宋"/>
          <w:sz w:val="32"/>
          <w:szCs w:val="32"/>
        </w:rPr>
        <w:t>万元，</w:t>
      </w:r>
      <w:r>
        <w:rPr>
          <w:rFonts w:hint="eastAsia" w:ascii="仿宋" w:hAnsi="仿宋" w:eastAsia="仿宋" w:cs="仿宋"/>
          <w:color w:val="000000" w:themeColor="text1"/>
          <w:sz w:val="32"/>
          <w:szCs w:val="32"/>
        </w:rPr>
        <w:t>为本年度或以前年度预算安排、因客观条件发生变化无法按原计划实施，需要延迟到以后年度按有关规定继续使用的资金</w:t>
      </w:r>
      <w:r>
        <w:rPr>
          <w:rFonts w:hint="eastAsia" w:ascii="仿宋" w:hAnsi="仿宋" w:eastAsia="仿宋" w:cs="仿宋"/>
          <w:sz w:val="32"/>
          <w:szCs w:val="32"/>
        </w:rPr>
        <w:t>。较2021年度决算数</w:t>
      </w:r>
      <w:r>
        <w:rPr>
          <w:rFonts w:ascii="仿宋" w:hAnsi="仿宋" w:eastAsia="仿宋" w:cs="仿宋"/>
          <w:sz w:val="32"/>
        </w:rPr>
        <w:t>增加</w:t>
      </w:r>
      <w:r>
        <w:rPr>
          <w:rFonts w:hint="eastAsia" w:ascii="仿宋" w:hAnsi="仿宋" w:eastAsia="仿宋" w:cs="仿宋"/>
          <w:sz w:val="32"/>
        </w:rPr>
        <w:t>0</w:t>
      </w:r>
      <w:r>
        <w:rPr>
          <w:rFonts w:hint="eastAsia" w:ascii="仿宋" w:hAnsi="仿宋" w:eastAsia="仿宋" w:cs="仿宋"/>
          <w:sz w:val="32"/>
          <w:szCs w:val="32"/>
        </w:rPr>
        <w:t>万元，</w:t>
      </w:r>
      <w:r>
        <w:rPr>
          <w:rFonts w:ascii="仿宋" w:hAnsi="仿宋" w:eastAsia="仿宋" w:cs="仿宋"/>
          <w:sz w:val="32"/>
        </w:rPr>
        <w:t>增长</w:t>
      </w:r>
      <w:r>
        <w:rPr>
          <w:rFonts w:hint="eastAsia" w:ascii="仿宋" w:hAnsi="仿宋" w:eastAsia="仿宋" w:cs="仿宋"/>
          <w:sz w:val="32"/>
        </w:rPr>
        <w:t>0</w:t>
      </w:r>
      <w:r>
        <w:rPr>
          <w:rFonts w:ascii="仿宋" w:hAnsi="仿宋" w:eastAsia="仿宋" w:cs="仿宋"/>
          <w:sz w:val="32"/>
        </w:rPr>
        <w:t>%</w:t>
      </w:r>
      <w:r>
        <w:rPr>
          <w:rFonts w:hint="eastAsia" w:ascii="仿宋" w:hAnsi="仿宋" w:eastAsia="仿宋" w:cs="仿宋"/>
          <w:sz w:val="32"/>
          <w:szCs w:val="32"/>
        </w:rPr>
        <w:t>。</w:t>
      </w:r>
    </w:p>
    <w:p>
      <w:pPr>
        <w:ind w:firstLine="640" w:firstLineChars="200"/>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280535" cy="2499360"/>
            <wp:effectExtent l="4445" t="4445" r="20320" b="1079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rPr>
      </w:pPr>
      <w:r>
        <w:rPr>
          <w:rFonts w:hint="eastAsia" w:ascii="黑体" w:hAnsi="黑体" w:eastAsia="黑体" w:cs="黑体"/>
          <w:sz w:val="32"/>
          <w:szCs w:val="32"/>
        </w:rPr>
        <w:t>二、2022 年度</w:t>
      </w:r>
      <w:bookmarkStart w:id="0" w:name="OLE_LINK1"/>
      <w:r>
        <w:rPr>
          <w:rFonts w:hint="eastAsia" w:ascii="黑体" w:hAnsi="黑体" w:eastAsia="黑体" w:cs="黑体"/>
          <w:sz w:val="32"/>
          <w:szCs w:val="32"/>
        </w:rPr>
        <w:t>一般公共预算财政拨款支出决算情况</w:t>
      </w:r>
      <w:bookmarkEnd w:id="0"/>
    </w:p>
    <w:p>
      <w:pPr>
        <w:ind w:firstLine="640" w:firstLineChars="200"/>
        <w:jc w:val="left"/>
        <w:rPr>
          <w:rFonts w:ascii="仿宋" w:hAnsi="仿宋" w:eastAsia="仿宋" w:cs="仿宋"/>
          <w:sz w:val="32"/>
          <w:szCs w:val="32"/>
        </w:rPr>
      </w:pPr>
      <w:r>
        <w:rPr>
          <w:rFonts w:hint="eastAsia" w:ascii="仿宋" w:hAnsi="仿宋" w:eastAsia="仿宋" w:cs="仿宋"/>
          <w:sz w:val="32"/>
          <w:szCs w:val="32"/>
        </w:rPr>
        <w:t>住房和城乡建设局2022年度一般公共预算财政拨款支出</w:t>
      </w:r>
      <w:r>
        <w:rPr>
          <w:rFonts w:hint="eastAsia" w:ascii="仿宋" w:hAnsi="仿宋" w:eastAsia="仿宋" w:cs="仿宋"/>
          <w:sz w:val="32"/>
        </w:rPr>
        <w:t>1751.36</w:t>
      </w:r>
      <w:r>
        <w:rPr>
          <w:rFonts w:hint="eastAsia" w:ascii="仿宋" w:hAnsi="仿宋" w:eastAsia="仿宋" w:cs="仿宋"/>
          <w:sz w:val="32"/>
          <w:szCs w:val="32"/>
        </w:rPr>
        <w:t>万元，较2021年度决算数</w:t>
      </w:r>
      <w:r>
        <w:rPr>
          <w:rFonts w:hint="eastAsia" w:ascii="仿宋" w:hAnsi="仿宋" w:eastAsia="仿宋" w:cs="仿宋"/>
          <w:sz w:val="32"/>
        </w:rPr>
        <w:t>减少1495.02</w:t>
      </w:r>
      <w:r>
        <w:rPr>
          <w:rFonts w:hint="eastAsia" w:ascii="仿宋" w:hAnsi="仿宋" w:eastAsia="仿宋" w:cs="仿宋"/>
          <w:sz w:val="32"/>
          <w:szCs w:val="32"/>
        </w:rPr>
        <w:t>万元，</w:t>
      </w:r>
      <w:r>
        <w:rPr>
          <w:rFonts w:ascii="仿宋" w:hAnsi="仿宋" w:eastAsia="仿宋" w:cs="仿宋"/>
          <w:sz w:val="32"/>
        </w:rPr>
        <w:t>下</w:t>
      </w:r>
      <w:r>
        <w:rPr>
          <w:rFonts w:hint="eastAsia" w:ascii="仿宋" w:hAnsi="仿宋" w:eastAsia="仿宋" w:cs="仿宋"/>
          <w:sz w:val="32"/>
        </w:rPr>
        <w:t>升46.05</w:t>
      </w:r>
      <w:r>
        <w:rPr>
          <w:rFonts w:ascii="仿宋" w:hAnsi="仿宋" w:eastAsia="仿宋" w:cs="仿宋"/>
          <w:sz w:val="32"/>
        </w:rPr>
        <w:t>%</w:t>
      </w:r>
      <w:r>
        <w:rPr>
          <w:rFonts w:hint="eastAsia" w:ascii="仿宋" w:hAnsi="仿宋" w:eastAsia="仿宋" w:cs="仿宋"/>
          <w:sz w:val="32"/>
          <w:szCs w:val="32"/>
        </w:rPr>
        <w:t>。其中：基本支出</w:t>
      </w:r>
      <w:r>
        <w:rPr>
          <w:rFonts w:hint="eastAsia" w:ascii="仿宋" w:hAnsi="仿宋" w:eastAsia="仿宋" w:cs="仿宋"/>
          <w:sz w:val="32"/>
        </w:rPr>
        <w:t>425.63</w:t>
      </w:r>
      <w:r>
        <w:rPr>
          <w:rFonts w:hint="eastAsia" w:ascii="仿宋" w:hAnsi="仿宋" w:eastAsia="仿宋" w:cs="仿宋"/>
          <w:sz w:val="32"/>
          <w:szCs w:val="32"/>
        </w:rPr>
        <w:t>万元，项目支出</w:t>
      </w:r>
      <w:r>
        <w:rPr>
          <w:rFonts w:hint="eastAsia" w:ascii="仿宋" w:hAnsi="仿宋" w:eastAsia="仿宋" w:cs="仿宋"/>
          <w:sz w:val="32"/>
        </w:rPr>
        <w:t>1138.2</w:t>
      </w:r>
      <w:r>
        <w:rPr>
          <w:rFonts w:hint="eastAsia" w:ascii="仿宋" w:hAnsi="仿宋" w:eastAsia="仿宋" w:cs="仿宋"/>
          <w:sz w:val="32"/>
          <w:szCs w:val="32"/>
        </w:rPr>
        <w:t>万元。</w:t>
      </w:r>
    </w:p>
    <w:p>
      <w:pPr>
        <w:ind w:firstLine="640" w:firstLineChars="200"/>
        <w:jc w:val="left"/>
        <w:rPr>
          <w:rFonts w:ascii="仿宋" w:hAnsi="仿宋" w:eastAsia="仿宋"/>
          <w:sz w:val="32"/>
          <w:szCs w:val="32"/>
        </w:rPr>
      </w:pPr>
      <w:r>
        <w:rPr>
          <w:rFonts w:hint="eastAsia" w:ascii="仿宋" w:hAnsi="仿宋" w:eastAsia="仿宋" w:cs="仿宋"/>
          <w:sz w:val="32"/>
          <w:szCs w:val="32"/>
        </w:rPr>
        <w:t>住房和城乡建设局单位2022 年度一般公共预算财政拨款支出年初预算为</w:t>
      </w:r>
      <w:r>
        <w:rPr>
          <w:rFonts w:hint="eastAsia" w:ascii="仿宋" w:hAnsi="仿宋" w:eastAsia="仿宋" w:cs="仿宋"/>
          <w:sz w:val="32"/>
        </w:rPr>
        <w:t>372.96</w:t>
      </w:r>
      <w:r>
        <w:rPr>
          <w:rFonts w:hint="eastAsia" w:ascii="仿宋" w:hAnsi="仿宋" w:eastAsia="仿宋" w:cs="仿宋"/>
          <w:sz w:val="32"/>
          <w:szCs w:val="32"/>
        </w:rPr>
        <w:t>万元，支出决算为1751.36万元，完成年初预算的</w:t>
      </w:r>
      <w:r>
        <w:rPr>
          <w:rFonts w:hint="eastAsia" w:ascii="仿宋" w:hAnsi="仿宋" w:eastAsia="仿宋" w:cs="仿宋"/>
          <w:sz w:val="32"/>
        </w:rPr>
        <w:t>469.58</w:t>
      </w:r>
      <w:r>
        <w:rPr>
          <w:rFonts w:ascii="仿宋" w:hAnsi="仿宋" w:eastAsia="仿宋" w:cs="仿宋"/>
          <w:sz w:val="32"/>
        </w:rPr>
        <w:t>%</w:t>
      </w:r>
      <w:r>
        <w:rPr>
          <w:rFonts w:hint="eastAsia" w:ascii="仿宋" w:hAnsi="仿宋" w:eastAsia="仿宋" w:cs="仿宋"/>
          <w:sz w:val="32"/>
          <w:szCs w:val="32"/>
        </w:rPr>
        <w:t>。</w:t>
      </w:r>
      <w:bookmarkStart w:id="1" w:name="OLE_LINK2"/>
      <w:bookmarkEnd w:id="1"/>
    </w:p>
    <w:p>
      <w:pPr>
        <w:numPr>
          <w:ilvl w:val="0"/>
          <w:numId w:val="1"/>
        </w:numPr>
        <w:jc w:val="left"/>
        <w:rPr>
          <w:rFonts w:eastAsia="仿宋"/>
          <w:color w:val="FF0000"/>
        </w:rPr>
      </w:pPr>
      <w:r>
        <w:rPr>
          <w:rFonts w:hint="eastAsia" w:ascii="仿宋" w:hAnsi="仿宋" w:eastAsia="仿宋"/>
          <w:sz w:val="32"/>
          <w:szCs w:val="32"/>
        </w:rPr>
        <w:t>一般公共服务支出</w:t>
      </w:r>
      <w:r>
        <w:rPr>
          <w:rFonts w:ascii="仿宋" w:hAnsi="仿宋" w:eastAsia="仿宋"/>
          <w:sz w:val="32"/>
        </w:rPr>
        <w:t>（20</w:t>
      </w:r>
      <w:r>
        <w:rPr>
          <w:rFonts w:hint="eastAsia" w:ascii="仿宋" w:hAnsi="仿宋" w:eastAsia="仿宋"/>
          <w:sz w:val="32"/>
        </w:rPr>
        <w:t>1</w:t>
      </w:r>
      <w:r>
        <w:rPr>
          <w:rFonts w:hint="eastAsia" w:ascii="仿宋" w:hAnsi="仿宋" w:eastAsia="仿宋"/>
          <w:sz w:val="32"/>
          <w:szCs w:val="32"/>
        </w:rPr>
        <w:t>类）年初预算为4.81万元，支出决算为4.81万元，完成年初预算的100</w:t>
      </w:r>
      <w:r>
        <w:rPr>
          <w:rFonts w:ascii="仿宋" w:hAnsi="仿宋" w:eastAsia="仿宋"/>
          <w:sz w:val="32"/>
          <w:szCs w:val="32"/>
        </w:rPr>
        <w:t>%</w:t>
      </w:r>
      <w:r>
        <w:rPr>
          <w:rFonts w:hint="eastAsia" w:ascii="仿宋" w:hAnsi="仿宋" w:eastAsia="仿宋"/>
          <w:sz w:val="32"/>
          <w:szCs w:val="32"/>
        </w:rPr>
        <w:t>。</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20129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群众团体事务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4.81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4.81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财政补助工会费用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支出与预算一致</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其他群众管理事务支出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4.81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4.81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财政补助工会费用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支出与预算一致</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4.81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4.81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jc w:val="left"/>
        <w:rPr>
          <w:rFonts w:ascii="仿宋" w:hAnsi="仿宋" w:eastAsia="仿宋"/>
          <w:sz w:val="32"/>
          <w:szCs w:val="32"/>
        </w:rPr>
      </w:pPr>
    </w:p>
    <w:p>
      <w:pPr>
        <w:jc w:val="center"/>
        <w:rPr>
          <w:rFonts w:hint="eastAsia" w:ascii="仿宋" w:hAnsi="仿宋" w:eastAsia="仿宋"/>
          <w:sz w:val="32"/>
          <w:szCs w:val="32"/>
        </w:rPr>
      </w:pPr>
      <w:r>
        <w:rPr>
          <w:rFonts w:hint="eastAsia" w:ascii="仿宋" w:hAnsi="仿宋" w:eastAsia="仿宋"/>
          <w:sz w:val="32"/>
          <w:szCs w:val="32"/>
        </w:rPr>
        <w:t>一般公共服务支出</w:t>
      </w:r>
      <w:r>
        <w:rPr>
          <w:rFonts w:hint="eastAsia" w:ascii="仿宋" w:hAnsi="仿宋" w:eastAsia="仿宋" w:cs="仿宋"/>
          <w:sz w:val="32"/>
          <w:szCs w:val="32"/>
        </w:rPr>
        <w:drawing>
          <wp:inline distT="0" distB="0" distL="114300" distR="114300">
            <wp:extent cx="4474845" cy="3215640"/>
            <wp:effectExtent l="4445" t="4445" r="16510" b="18415"/>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left"/>
        <w:rPr>
          <w:rFonts w:eastAsia="仿宋"/>
          <w:color w:val="FF0000"/>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国防支出（203类）年初预算16.8万元：</w:t>
      </w:r>
      <w:r>
        <w:rPr>
          <w:rFonts w:hint="eastAsia" w:ascii="仿宋" w:hAnsi="仿宋" w:eastAsia="仿宋"/>
          <w:sz w:val="32"/>
          <w:szCs w:val="32"/>
        </w:rPr>
        <w:t>支出决算为27.61万元</w:t>
      </w:r>
      <w:r>
        <w:rPr>
          <w:rFonts w:hint="eastAsia" w:ascii="仿宋" w:hAnsi="仿宋" w:eastAsia="仿宋" w:cs="仿宋"/>
          <w:sz w:val="32"/>
          <w:szCs w:val="32"/>
        </w:rPr>
        <w:t>。</w:t>
      </w:r>
      <w:r>
        <w:rPr>
          <w:rFonts w:hint="eastAsia" w:ascii="仿宋" w:hAnsi="仿宋" w:eastAsia="仿宋"/>
          <w:sz w:val="32"/>
          <w:szCs w:val="32"/>
        </w:rPr>
        <w:t>完成年初预算的164.34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000000" w:themeColor="text1"/>
          <w:sz w:val="32"/>
          <w:szCs w:val="32"/>
        </w:rPr>
        <w:t>预决算存有差异原因是：</w:t>
      </w:r>
      <w:r>
        <w:rPr>
          <w:rFonts w:hint="eastAsia" w:ascii="仿宋" w:hAnsi="仿宋" w:eastAsia="仿宋" w:cs="仿宋"/>
          <w:color w:val="000000" w:themeColor="text1"/>
          <w:sz w:val="32"/>
          <w:szCs w:val="32"/>
        </w:rPr>
        <w:t>增加人防预案编制费。</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国防支出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16.8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27.61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164.34%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20"/>
                <w:szCs w:val="20"/>
              </w:rPr>
              <w:t>职工工资福利支出、日常工作运行</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增加人防预案编制费</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20306</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国防动员</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16.8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27.61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164.34%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20"/>
                <w:szCs w:val="20"/>
              </w:rPr>
              <w:t>职工工资福利支出、日常工作运行</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color w:val="000000"/>
                <w:kern w:val="0"/>
                <w:sz w:val="20"/>
                <w:szCs w:val="20"/>
              </w:rPr>
              <w:t>增加人防预案编制费</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16.8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27.61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164.34%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jc w:val="left"/>
        <w:rPr>
          <w:rFonts w:ascii="仿宋" w:hAnsi="仿宋" w:eastAsia="仿宋"/>
          <w:sz w:val="32"/>
          <w:szCs w:val="32"/>
        </w:rPr>
      </w:pPr>
      <w:r>
        <w:rPr>
          <w:rFonts w:ascii="仿宋" w:hAnsi="仿宋" w:eastAsia="仿宋"/>
          <w:sz w:val="32"/>
          <w:szCs w:val="32"/>
        </w:rPr>
        <w:drawing>
          <wp:inline distT="0" distB="0" distL="0" distR="0">
            <wp:extent cx="4921885" cy="2648585"/>
            <wp:effectExtent l="4445" t="4445" r="7620" b="1397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jc w:val="center"/>
        <w:rPr>
          <w:rFonts w:ascii="仿宋" w:hAnsi="仿宋" w:eastAsia="仿宋"/>
          <w:sz w:val="32"/>
          <w:szCs w:val="32"/>
        </w:rPr>
      </w:pPr>
      <w:r>
        <w:rPr>
          <w:rFonts w:hint="eastAsia" w:ascii="仿宋" w:hAnsi="仿宋" w:eastAsia="仿宋"/>
          <w:sz w:val="32"/>
          <w:szCs w:val="32"/>
        </w:rPr>
        <w:t>一般公共服务支出</w:t>
      </w:r>
    </w:p>
    <w:p>
      <w:pPr>
        <w:jc w:val="left"/>
        <w:rPr>
          <w:rFonts w:eastAsia="仿宋"/>
          <w:color w:val="FF0000"/>
        </w:rPr>
      </w:pPr>
      <w:r>
        <w:rPr>
          <w:rFonts w:hint="eastAsia" w:ascii="仿宋" w:hAnsi="仿宋" w:eastAsia="仿宋"/>
          <w:sz w:val="32"/>
          <w:szCs w:val="32"/>
        </w:rPr>
        <w:t>（三）社会保障和就业支出</w:t>
      </w:r>
      <w:r>
        <w:rPr>
          <w:rFonts w:ascii="仿宋" w:hAnsi="仿宋" w:eastAsia="仿宋"/>
          <w:sz w:val="32"/>
        </w:rPr>
        <w:t>（208</w:t>
      </w:r>
      <w:r>
        <w:rPr>
          <w:rFonts w:hint="eastAsia" w:ascii="仿宋" w:hAnsi="仿宋" w:eastAsia="仿宋"/>
          <w:sz w:val="32"/>
          <w:szCs w:val="32"/>
        </w:rPr>
        <w:t>类）年初预算为41.99万元，支出决算为41.99万元，完成年初预算的100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000000" w:themeColor="text1"/>
          <w:sz w:val="32"/>
          <w:szCs w:val="32"/>
        </w:rPr>
        <w:t>预决算存有差异原因是：</w:t>
      </w:r>
      <w:r>
        <w:rPr>
          <w:rFonts w:hint="eastAsia" w:ascii="仿宋" w:hAnsi="仿宋" w:eastAsia="仿宋" w:cs="仿宋"/>
          <w:color w:val="000000" w:themeColor="text1"/>
          <w:sz w:val="32"/>
          <w:szCs w:val="32"/>
          <w:lang w:val="en-US" w:eastAsia="zh-CN"/>
        </w:rPr>
        <w:t>按实际支出</w:t>
      </w:r>
      <w:r>
        <w:rPr>
          <w:rFonts w:hint="eastAsia" w:ascii="仿宋" w:hAnsi="仿宋" w:eastAsia="仿宋" w:cs="仿宋"/>
          <w:color w:val="000000" w:themeColor="text1"/>
          <w:sz w:val="32"/>
          <w:szCs w:val="32"/>
        </w:rPr>
        <w:t>。</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4998" w:type="pct"/>
        <w:tblInd w:w="0" w:type="dxa"/>
        <w:tblLayout w:type="autofit"/>
        <w:tblCellMar>
          <w:top w:w="0" w:type="dxa"/>
          <w:left w:w="108" w:type="dxa"/>
          <w:bottom w:w="0" w:type="dxa"/>
          <w:right w:w="108" w:type="dxa"/>
        </w:tblCellMar>
      </w:tblPr>
      <w:tblGrid>
        <w:gridCol w:w="729"/>
        <w:gridCol w:w="2708"/>
        <w:gridCol w:w="882"/>
        <w:gridCol w:w="582"/>
        <w:gridCol w:w="1149"/>
        <w:gridCol w:w="1295"/>
        <w:gridCol w:w="1177"/>
      </w:tblGrid>
      <w:tr>
        <w:tblPrEx>
          <w:tblCellMar>
            <w:top w:w="0" w:type="dxa"/>
            <w:left w:w="108" w:type="dxa"/>
            <w:bottom w:w="0" w:type="dxa"/>
            <w:right w:w="108" w:type="dxa"/>
          </w:tblCellMar>
        </w:tblPrEx>
        <w:trPr>
          <w:trHeight w:val="634" w:hRule="atLeast"/>
        </w:trPr>
        <w:tc>
          <w:tcPr>
            <w:tcW w:w="559"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类款项</w:t>
            </w:r>
          </w:p>
        </w:tc>
        <w:tc>
          <w:tcPr>
            <w:tcW w:w="630"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582"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年初预算数</w:t>
            </w:r>
          </w:p>
        </w:tc>
        <w:tc>
          <w:tcPr>
            <w:tcW w:w="471"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决算</w:t>
            </w:r>
          </w:p>
        </w:tc>
        <w:tc>
          <w:tcPr>
            <w:tcW w:w="642"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完成预算百分比</w:t>
            </w:r>
          </w:p>
        </w:tc>
        <w:tc>
          <w:tcPr>
            <w:tcW w:w="1044"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主要用于</w:t>
            </w:r>
          </w:p>
        </w:tc>
        <w:tc>
          <w:tcPr>
            <w:tcW w:w="1069"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原因</w:t>
            </w:r>
          </w:p>
        </w:tc>
      </w:tr>
      <w:tr>
        <w:tblPrEx>
          <w:tblCellMar>
            <w:top w:w="0" w:type="dxa"/>
            <w:left w:w="108" w:type="dxa"/>
            <w:bottom w:w="0" w:type="dxa"/>
            <w:right w:w="108" w:type="dxa"/>
          </w:tblCellMar>
        </w:tblPrEx>
        <w:trPr>
          <w:trHeight w:val="614" w:hRule="atLeast"/>
        </w:trPr>
        <w:tc>
          <w:tcPr>
            <w:tcW w:w="559"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208</w:t>
            </w:r>
          </w:p>
        </w:tc>
        <w:tc>
          <w:tcPr>
            <w:tcW w:w="630"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社会保障和就业支出</w:t>
            </w:r>
          </w:p>
        </w:tc>
        <w:tc>
          <w:tcPr>
            <w:tcW w:w="582"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rPr>
              <w:t>41.99</w:t>
            </w:r>
          </w:p>
        </w:tc>
        <w:tc>
          <w:tcPr>
            <w:tcW w:w="581"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rPr>
              <w:t>41.99</w:t>
            </w:r>
          </w:p>
        </w:tc>
        <w:tc>
          <w:tcPr>
            <w:tcW w:w="642"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100%</w:t>
            </w:r>
          </w:p>
        </w:tc>
        <w:tc>
          <w:tcPr>
            <w:tcW w:w="1044"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textAlignment w:val="center"/>
              <w:rPr>
                <w:rFonts w:ascii="宋体" w:hAnsi="宋体" w:eastAsia="宋体" w:cs="宋体"/>
                <w:sz w:val="18"/>
                <w:szCs w:val="18"/>
              </w:rPr>
            </w:pPr>
            <w:r>
              <w:rPr>
                <w:rFonts w:hint="eastAsia" w:ascii="宋体" w:hAnsi="宋体" w:eastAsia="宋体" w:cs="宋体"/>
                <w:sz w:val="18"/>
                <w:szCs w:val="18"/>
              </w:rPr>
              <w:t>在职人员的养老保险</w:t>
            </w:r>
          </w:p>
        </w:tc>
        <w:tc>
          <w:tcPr>
            <w:tcW w:w="1069"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 w:val="18"/>
                <w:szCs w:val="18"/>
              </w:rPr>
              <w:t>按照实际原因填写</w:t>
            </w:r>
          </w:p>
        </w:tc>
      </w:tr>
      <w:tr>
        <w:tblPrEx>
          <w:tblCellMar>
            <w:top w:w="0" w:type="dxa"/>
            <w:left w:w="108" w:type="dxa"/>
            <w:bottom w:w="0" w:type="dxa"/>
            <w:right w:w="108" w:type="dxa"/>
          </w:tblCellMar>
        </w:tblPrEx>
        <w:trPr>
          <w:trHeight w:val="614" w:hRule="atLeast"/>
        </w:trPr>
        <w:tc>
          <w:tcPr>
            <w:tcW w:w="559"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20805</w:t>
            </w:r>
          </w:p>
        </w:tc>
        <w:tc>
          <w:tcPr>
            <w:tcW w:w="630"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行政事业单位养老支出</w:t>
            </w:r>
          </w:p>
        </w:tc>
        <w:tc>
          <w:tcPr>
            <w:tcW w:w="582"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rPr>
              <w:t>41.99</w:t>
            </w:r>
          </w:p>
        </w:tc>
        <w:tc>
          <w:tcPr>
            <w:tcW w:w="581"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rPr>
              <w:t>41.99</w:t>
            </w:r>
          </w:p>
        </w:tc>
        <w:tc>
          <w:tcPr>
            <w:tcW w:w="642"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100%</w:t>
            </w:r>
          </w:p>
        </w:tc>
        <w:tc>
          <w:tcPr>
            <w:tcW w:w="1044"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在职人员的养老保险</w:t>
            </w:r>
          </w:p>
        </w:tc>
        <w:tc>
          <w:tcPr>
            <w:tcW w:w="1069"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 w:val="18"/>
                <w:szCs w:val="18"/>
              </w:rPr>
              <w:t>按照实际原因填写</w:t>
            </w:r>
          </w:p>
        </w:tc>
      </w:tr>
      <w:tr>
        <w:tblPrEx>
          <w:tblCellMar>
            <w:top w:w="0" w:type="dxa"/>
            <w:left w:w="108" w:type="dxa"/>
            <w:bottom w:w="0" w:type="dxa"/>
            <w:right w:w="108" w:type="dxa"/>
          </w:tblCellMar>
        </w:tblPrEx>
        <w:trPr>
          <w:trHeight w:val="614" w:hRule="atLeast"/>
        </w:trPr>
        <w:tc>
          <w:tcPr>
            <w:tcW w:w="559"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2080505</w:t>
            </w:r>
          </w:p>
        </w:tc>
        <w:tc>
          <w:tcPr>
            <w:tcW w:w="630"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 xml:space="preserve">  机关事业单位基本养老保险缴费支出</w:t>
            </w:r>
          </w:p>
        </w:tc>
        <w:tc>
          <w:tcPr>
            <w:tcW w:w="582"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rPr>
              <w:t>41.99</w:t>
            </w:r>
          </w:p>
        </w:tc>
        <w:tc>
          <w:tcPr>
            <w:tcW w:w="581"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rPr>
              <w:t>41.99</w:t>
            </w:r>
          </w:p>
        </w:tc>
        <w:tc>
          <w:tcPr>
            <w:tcW w:w="642"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100%</w:t>
            </w:r>
          </w:p>
        </w:tc>
        <w:tc>
          <w:tcPr>
            <w:tcW w:w="1044"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在职人员的养老保险</w:t>
            </w:r>
          </w:p>
        </w:tc>
        <w:tc>
          <w:tcPr>
            <w:tcW w:w="1069"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 w:val="18"/>
                <w:szCs w:val="18"/>
              </w:rPr>
              <w:t>按照实际原因填写</w:t>
            </w:r>
          </w:p>
        </w:tc>
      </w:tr>
      <w:tr>
        <w:tblPrEx>
          <w:tblCellMar>
            <w:top w:w="0" w:type="dxa"/>
            <w:left w:w="108" w:type="dxa"/>
            <w:bottom w:w="0" w:type="dxa"/>
            <w:right w:w="108" w:type="dxa"/>
          </w:tblCellMar>
        </w:tblPrEx>
        <w:trPr>
          <w:trHeight w:val="614" w:hRule="atLeast"/>
        </w:trPr>
        <w:tc>
          <w:tcPr>
            <w:tcW w:w="559"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630"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p>
        </w:tc>
        <w:tc>
          <w:tcPr>
            <w:tcW w:w="582"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sz w:val="18"/>
                <w:szCs w:val="18"/>
              </w:rPr>
              <w:t>41.99</w:t>
            </w:r>
          </w:p>
        </w:tc>
        <w:tc>
          <w:tcPr>
            <w:tcW w:w="471"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41.99</w:t>
            </w:r>
          </w:p>
        </w:tc>
        <w:tc>
          <w:tcPr>
            <w:tcW w:w="642"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p>
        </w:tc>
        <w:tc>
          <w:tcPr>
            <w:tcW w:w="1044"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按实际用途填写</w:t>
            </w:r>
          </w:p>
        </w:tc>
        <w:tc>
          <w:tcPr>
            <w:tcW w:w="1069"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 w:val="18"/>
                <w:szCs w:val="18"/>
              </w:rPr>
              <w:t>按照实际原因填写</w:t>
            </w: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jc w:val="left"/>
        <w:rPr>
          <w:rFonts w:eastAsia="仿宋"/>
          <w:color w:val="FF0000"/>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城乡社区支出（212类）</w:t>
      </w:r>
      <w:r>
        <w:rPr>
          <w:rFonts w:hint="eastAsia" w:ascii="仿宋" w:hAnsi="仿宋" w:eastAsia="仿宋"/>
          <w:sz w:val="32"/>
          <w:szCs w:val="32"/>
        </w:rPr>
        <w:t>年初预算为297.29万元，支出决算为1,231.61万元，完成年初预算的414.18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000000" w:themeColor="text1"/>
          <w:sz w:val="32"/>
          <w:szCs w:val="32"/>
        </w:rPr>
        <w:t>预决算存有差异原因是：</w:t>
      </w:r>
      <w:r>
        <w:rPr>
          <w:rFonts w:hint="eastAsia" w:ascii="仿宋" w:hAnsi="仿宋" w:eastAsia="仿宋" w:cs="仿宋"/>
          <w:sz w:val="32"/>
          <w:szCs w:val="32"/>
        </w:rPr>
        <w:t>年中追加城乡社区公共设施项目504.69万元、城乡社区环境卫生项目43万元、其他城乡社区支出项目39万元。</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5000" w:type="pct"/>
        <w:tblInd w:w="0" w:type="dxa"/>
        <w:tblLayout w:type="autofit"/>
        <w:tblCellMar>
          <w:top w:w="0" w:type="dxa"/>
          <w:left w:w="108" w:type="dxa"/>
          <w:bottom w:w="0" w:type="dxa"/>
          <w:right w:w="108" w:type="dxa"/>
        </w:tblCellMar>
      </w:tblPr>
      <w:tblGrid>
        <w:gridCol w:w="669"/>
        <w:gridCol w:w="1899"/>
        <w:gridCol w:w="805"/>
        <w:gridCol w:w="734"/>
        <w:gridCol w:w="1040"/>
        <w:gridCol w:w="1982"/>
        <w:gridCol w:w="1393"/>
      </w:tblGrid>
      <w:tr>
        <w:tblPrEx>
          <w:tblCellMar>
            <w:top w:w="0" w:type="dxa"/>
            <w:left w:w="108" w:type="dxa"/>
            <w:bottom w:w="0" w:type="dxa"/>
            <w:right w:w="108" w:type="dxa"/>
          </w:tblCellMar>
        </w:tblPrEx>
        <w:trPr>
          <w:trHeight w:val="743" w:hRule="atLeast"/>
        </w:trPr>
        <w:tc>
          <w:tcPr>
            <w:tcW w:w="409"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类款项</w:t>
            </w:r>
          </w:p>
        </w:tc>
        <w:tc>
          <w:tcPr>
            <w:tcW w:w="1110"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470"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年初预算数</w:t>
            </w:r>
          </w:p>
        </w:tc>
        <w:tc>
          <w:tcPr>
            <w:tcW w:w="429"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决算</w:t>
            </w:r>
          </w:p>
        </w:tc>
        <w:tc>
          <w:tcPr>
            <w:tcW w:w="607"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完成预算百分比</w:t>
            </w:r>
          </w:p>
        </w:tc>
        <w:tc>
          <w:tcPr>
            <w:tcW w:w="1158"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主要用于</w:t>
            </w:r>
          </w:p>
        </w:tc>
        <w:tc>
          <w:tcPr>
            <w:tcW w:w="814"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原因</w:t>
            </w:r>
          </w:p>
        </w:tc>
      </w:tr>
      <w:tr>
        <w:tblPrEx>
          <w:tblCellMar>
            <w:top w:w="0" w:type="dxa"/>
            <w:left w:w="108" w:type="dxa"/>
            <w:bottom w:w="0" w:type="dxa"/>
            <w:right w:w="108" w:type="dxa"/>
          </w:tblCellMar>
        </w:tblPrEx>
        <w:trPr>
          <w:trHeight w:val="743" w:hRule="atLeast"/>
        </w:trPr>
        <w:tc>
          <w:tcPr>
            <w:tcW w:w="409"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2"/>
                <w:szCs w:val="22"/>
              </w:rPr>
              <w:t>212</w:t>
            </w:r>
          </w:p>
        </w:tc>
        <w:tc>
          <w:tcPr>
            <w:tcW w:w="1110"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2"/>
                <w:szCs w:val="22"/>
              </w:rPr>
              <w:t>城乡社区支出</w:t>
            </w:r>
          </w:p>
        </w:tc>
        <w:tc>
          <w:tcPr>
            <w:tcW w:w="470"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297.29</w:t>
            </w:r>
          </w:p>
        </w:tc>
        <w:tc>
          <w:tcPr>
            <w:tcW w:w="429"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2"/>
                <w:szCs w:val="22"/>
              </w:rPr>
              <w:t>1,231.61</w:t>
            </w:r>
          </w:p>
        </w:tc>
        <w:tc>
          <w:tcPr>
            <w:tcW w:w="607"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414.18%</w:t>
            </w:r>
          </w:p>
        </w:tc>
        <w:tc>
          <w:tcPr>
            <w:tcW w:w="1158"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kern w:val="0"/>
                <w:sz w:val="20"/>
                <w:szCs w:val="20"/>
              </w:rPr>
            </w:pPr>
          </w:p>
        </w:tc>
        <w:tc>
          <w:tcPr>
            <w:tcW w:w="814"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743" w:hRule="atLeast"/>
        </w:trPr>
        <w:tc>
          <w:tcPr>
            <w:tcW w:w="409"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2"/>
                <w:szCs w:val="22"/>
              </w:rPr>
              <w:t>21201</w:t>
            </w:r>
          </w:p>
        </w:tc>
        <w:tc>
          <w:tcPr>
            <w:tcW w:w="1110"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2"/>
                <w:szCs w:val="22"/>
              </w:rPr>
              <w:t>城乡社区管理事务</w:t>
            </w:r>
          </w:p>
        </w:tc>
        <w:tc>
          <w:tcPr>
            <w:tcW w:w="470"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76.556</w:t>
            </w:r>
          </w:p>
        </w:tc>
        <w:tc>
          <w:tcPr>
            <w:tcW w:w="429"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2"/>
                <w:szCs w:val="22"/>
              </w:rPr>
              <w:t>292.70</w:t>
            </w:r>
          </w:p>
        </w:tc>
        <w:tc>
          <w:tcPr>
            <w:tcW w:w="607"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382.31</w:t>
            </w:r>
          </w:p>
        </w:tc>
        <w:tc>
          <w:tcPr>
            <w:tcW w:w="1158"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职工工资福利支出、日常工作运行</w:t>
            </w:r>
          </w:p>
        </w:tc>
        <w:tc>
          <w:tcPr>
            <w:tcW w:w="814"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工资福利标准提高</w:t>
            </w:r>
          </w:p>
        </w:tc>
      </w:tr>
      <w:tr>
        <w:tblPrEx>
          <w:tblCellMar>
            <w:top w:w="0" w:type="dxa"/>
            <w:left w:w="108" w:type="dxa"/>
            <w:bottom w:w="0" w:type="dxa"/>
            <w:right w:w="108" w:type="dxa"/>
          </w:tblCellMar>
        </w:tblPrEx>
        <w:trPr>
          <w:trHeight w:val="743" w:hRule="atLeast"/>
        </w:trPr>
        <w:tc>
          <w:tcPr>
            <w:tcW w:w="409"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2"/>
                <w:szCs w:val="22"/>
              </w:rPr>
              <w:t>2120101</w:t>
            </w:r>
          </w:p>
        </w:tc>
        <w:tc>
          <w:tcPr>
            <w:tcW w:w="1110"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2"/>
                <w:szCs w:val="22"/>
              </w:rPr>
              <w:t xml:space="preserve">  行政运行</w:t>
            </w:r>
          </w:p>
        </w:tc>
        <w:tc>
          <w:tcPr>
            <w:tcW w:w="470"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216.74</w:t>
            </w:r>
          </w:p>
        </w:tc>
        <w:tc>
          <w:tcPr>
            <w:tcW w:w="429"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2"/>
                <w:szCs w:val="22"/>
              </w:rPr>
              <w:t>211.95</w:t>
            </w:r>
          </w:p>
        </w:tc>
        <w:tc>
          <w:tcPr>
            <w:tcW w:w="607"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97.79</w:t>
            </w:r>
          </w:p>
        </w:tc>
        <w:tc>
          <w:tcPr>
            <w:tcW w:w="1158"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机关工资福利、日常公用费</w:t>
            </w:r>
          </w:p>
        </w:tc>
        <w:tc>
          <w:tcPr>
            <w:tcW w:w="814"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工资福利标准提高</w:t>
            </w:r>
          </w:p>
        </w:tc>
      </w:tr>
      <w:tr>
        <w:tblPrEx>
          <w:tblCellMar>
            <w:top w:w="0" w:type="dxa"/>
            <w:left w:w="108" w:type="dxa"/>
            <w:bottom w:w="0" w:type="dxa"/>
            <w:right w:w="108" w:type="dxa"/>
          </w:tblCellMar>
        </w:tblPrEx>
        <w:trPr>
          <w:trHeight w:val="743" w:hRule="atLeast"/>
        </w:trPr>
        <w:tc>
          <w:tcPr>
            <w:tcW w:w="409"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2"/>
                <w:szCs w:val="22"/>
              </w:rPr>
              <w:t>2120199</w:t>
            </w:r>
          </w:p>
        </w:tc>
        <w:tc>
          <w:tcPr>
            <w:tcW w:w="1110"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2"/>
                <w:szCs w:val="22"/>
              </w:rPr>
              <w:t xml:space="preserve">  其他城乡社区管理事务支出</w:t>
            </w:r>
          </w:p>
        </w:tc>
        <w:tc>
          <w:tcPr>
            <w:tcW w:w="470"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76.55</w:t>
            </w:r>
          </w:p>
        </w:tc>
        <w:tc>
          <w:tcPr>
            <w:tcW w:w="429"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2"/>
                <w:szCs w:val="22"/>
              </w:rPr>
              <w:t>80.75</w:t>
            </w:r>
          </w:p>
        </w:tc>
        <w:tc>
          <w:tcPr>
            <w:tcW w:w="607"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105.48</w:t>
            </w:r>
          </w:p>
        </w:tc>
        <w:tc>
          <w:tcPr>
            <w:tcW w:w="1158"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职工工资福利支出、日常工作运行</w:t>
            </w:r>
          </w:p>
        </w:tc>
        <w:tc>
          <w:tcPr>
            <w:tcW w:w="814"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工资福利标准提高</w:t>
            </w:r>
          </w:p>
        </w:tc>
      </w:tr>
      <w:tr>
        <w:tblPrEx>
          <w:tblCellMar>
            <w:top w:w="0" w:type="dxa"/>
            <w:left w:w="108" w:type="dxa"/>
            <w:bottom w:w="0" w:type="dxa"/>
            <w:right w:w="108" w:type="dxa"/>
          </w:tblCellMar>
        </w:tblPrEx>
        <w:trPr>
          <w:trHeight w:val="743" w:hRule="atLeast"/>
        </w:trPr>
        <w:tc>
          <w:tcPr>
            <w:tcW w:w="409"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2"/>
                <w:szCs w:val="22"/>
              </w:rPr>
              <w:t>21206</w:t>
            </w:r>
          </w:p>
        </w:tc>
        <w:tc>
          <w:tcPr>
            <w:tcW w:w="1110"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2"/>
                <w:szCs w:val="22"/>
              </w:rPr>
              <w:t>建设市场管理与监督</w:t>
            </w:r>
          </w:p>
        </w:tc>
        <w:tc>
          <w:tcPr>
            <w:tcW w:w="470"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429"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2"/>
                <w:szCs w:val="22"/>
              </w:rPr>
              <w:t>1.65</w:t>
            </w:r>
          </w:p>
        </w:tc>
        <w:tc>
          <w:tcPr>
            <w:tcW w:w="607"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41.25</w:t>
            </w:r>
          </w:p>
        </w:tc>
        <w:tc>
          <w:tcPr>
            <w:tcW w:w="1158"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职工日常工作运行</w:t>
            </w:r>
          </w:p>
        </w:tc>
        <w:tc>
          <w:tcPr>
            <w:tcW w:w="814" w:type="pct"/>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财政资金紧张未能支付</w:t>
            </w:r>
          </w:p>
        </w:tc>
      </w:tr>
    </w:tbl>
    <w:p>
      <w:pPr>
        <w:jc w:val="left"/>
        <w:rPr>
          <w:rFonts w:ascii="仿宋" w:hAnsi="仿宋" w:eastAsia="仿宋"/>
          <w:sz w:val="32"/>
          <w:szCs w:val="32"/>
        </w:rPr>
      </w:pPr>
    </w:p>
    <w:p>
      <w:pPr>
        <w:jc w:val="center"/>
        <w:rPr>
          <w:rFonts w:ascii="宋体" w:hAnsi="宋体" w:eastAsia="宋体" w:cs="宋体"/>
          <w:color w:val="000000"/>
          <w:kern w:val="0"/>
          <w:sz w:val="22"/>
          <w:szCs w:val="22"/>
        </w:rPr>
      </w:pPr>
    </w:p>
    <w:p>
      <w:pPr>
        <w:jc w:val="center"/>
        <w:rPr>
          <w:rFonts w:ascii="仿宋" w:hAnsi="仿宋" w:eastAsia="仿宋"/>
          <w:sz w:val="32"/>
          <w:szCs w:val="32"/>
        </w:rPr>
      </w:pPr>
      <w:r>
        <w:rPr>
          <w:rFonts w:hint="eastAsia" w:ascii="宋体" w:hAnsi="宋体" w:eastAsia="宋体" w:cs="宋体"/>
          <w:color w:val="000000"/>
          <w:kern w:val="0"/>
          <w:sz w:val="22"/>
          <w:szCs w:val="22"/>
        </w:rPr>
        <w:t>城乡社区支出</w:t>
      </w:r>
      <w:r>
        <w:rPr>
          <w:rFonts w:hint="eastAsia" w:ascii="仿宋" w:hAnsi="仿宋" w:eastAsia="仿宋" w:cs="仿宋"/>
          <w:sz w:val="32"/>
          <w:szCs w:val="32"/>
        </w:rPr>
        <w:drawing>
          <wp:inline distT="0" distB="0" distL="114300" distR="114300">
            <wp:extent cx="4474845" cy="3215640"/>
            <wp:effectExtent l="4445" t="4445" r="16510" b="18415"/>
            <wp:docPr id="10"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left"/>
        <w:rPr>
          <w:rFonts w:hint="default" w:eastAsia="仿宋"/>
          <w:color w:val="FF0000"/>
          <w:lang w:val="en-US"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五</w:t>
      </w:r>
      <w:r>
        <w:rPr>
          <w:rFonts w:hint="eastAsia" w:ascii="仿宋" w:hAnsi="仿宋" w:eastAsia="仿宋"/>
          <w:sz w:val="32"/>
          <w:szCs w:val="32"/>
          <w:lang w:eastAsia="zh-CN"/>
        </w:rPr>
        <w:t>）</w:t>
      </w:r>
      <w:r>
        <w:rPr>
          <w:rFonts w:hint="eastAsia" w:ascii="仿宋" w:hAnsi="仿宋" w:eastAsia="仿宋"/>
          <w:sz w:val="32"/>
          <w:szCs w:val="32"/>
        </w:rPr>
        <w:t>农林水支出</w:t>
      </w:r>
      <w:r>
        <w:rPr>
          <w:rFonts w:ascii="仿宋" w:hAnsi="仿宋" w:eastAsia="仿宋"/>
          <w:sz w:val="32"/>
        </w:rPr>
        <w:t>（213</w:t>
      </w:r>
      <w:r>
        <w:rPr>
          <w:rFonts w:hint="eastAsia" w:ascii="仿宋" w:hAnsi="仿宋" w:eastAsia="仿宋"/>
          <w:sz w:val="32"/>
          <w:szCs w:val="32"/>
        </w:rPr>
        <w:t>类）年初预算为</w:t>
      </w:r>
      <w:r>
        <w:rPr>
          <w:rFonts w:ascii="仿宋" w:hAnsi="仿宋" w:eastAsia="仿宋"/>
          <w:sz w:val="32"/>
          <w:szCs w:val="32"/>
        </w:rPr>
        <w:t>0.00</w:t>
      </w:r>
      <w:r>
        <w:rPr>
          <w:rFonts w:hint="eastAsia" w:ascii="仿宋" w:hAnsi="仿宋" w:eastAsia="仿宋"/>
          <w:sz w:val="32"/>
          <w:szCs w:val="32"/>
        </w:rPr>
        <w:t>万元，支出决算为0万元，完成年初预算的0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val="en-US" w:eastAsia="zh-CN"/>
        </w:rPr>
        <w:t>主要原因：无</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2130599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其他巩固脱贫衔接乡村振兴支出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无</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仿宋" w:cs="宋体"/>
                <w:sz w:val="18"/>
                <w:szCs w:val="18"/>
                <w:lang w:eastAsia="zh-CN"/>
              </w:rPr>
            </w:pPr>
            <w:r>
              <w:rPr>
                <w:rFonts w:hint="eastAsia" w:ascii="仿宋" w:hAnsi="仿宋" w:eastAsia="仿宋" w:cs="仿宋"/>
                <w:sz w:val="18"/>
                <w:szCs w:val="18"/>
                <w:lang w:val="en-US" w:eastAsia="zh-CN"/>
              </w:rPr>
              <w:t>无</w:t>
            </w: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12"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六</w:t>
      </w:r>
      <w:r>
        <w:rPr>
          <w:rFonts w:hint="eastAsia" w:ascii="仿宋" w:hAnsi="仿宋" w:eastAsia="仿宋"/>
          <w:sz w:val="32"/>
          <w:szCs w:val="32"/>
          <w:lang w:eastAsia="zh-CN"/>
        </w:rPr>
        <w:t>）</w:t>
      </w:r>
      <w:r>
        <w:rPr>
          <w:rFonts w:hint="eastAsia" w:ascii="仿宋" w:hAnsi="仿宋" w:eastAsia="仿宋"/>
          <w:sz w:val="32"/>
          <w:szCs w:val="32"/>
        </w:rPr>
        <w:t>住房保障支出</w:t>
      </w:r>
      <w:r>
        <w:rPr>
          <w:rFonts w:ascii="仿宋" w:hAnsi="仿宋" w:eastAsia="仿宋"/>
          <w:sz w:val="32"/>
        </w:rPr>
        <w:t>（221</w:t>
      </w:r>
      <w:r>
        <w:rPr>
          <w:rFonts w:hint="eastAsia" w:ascii="仿宋" w:hAnsi="仿宋" w:eastAsia="仿宋"/>
          <w:sz w:val="32"/>
          <w:szCs w:val="32"/>
        </w:rPr>
        <w:t>类）年初预算为28.86万元，支出决算为120.84万元，完成年初预算的418.71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000000" w:themeColor="text1"/>
          <w:sz w:val="32"/>
          <w:szCs w:val="32"/>
        </w:rPr>
        <w:t>预决算存有差异原因是：追加</w:t>
      </w:r>
      <w:r>
        <w:rPr>
          <w:rFonts w:hint="eastAsia" w:ascii="仿宋" w:hAnsi="仿宋" w:eastAsia="仿宋" w:cs="仿宋"/>
          <w:color w:val="000000" w:themeColor="text1"/>
          <w:sz w:val="32"/>
          <w:szCs w:val="32"/>
        </w:rPr>
        <w:t>"两高、两道“及主要公路沿线示范带建设项目187.37万元</w:t>
      </w:r>
    </w:p>
    <w:p>
      <w:pPr>
        <w:ind w:left="420"/>
        <w:jc w:val="left"/>
        <w:rPr>
          <w:rFonts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221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住房保障支出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rPr>
              <w:t>28.86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rPr>
              <w:t>120.84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418.71%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用于住房公积金和“两高、两道“及主要公路沿线示范带建设项目”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预算追加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22101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保障性安居工程支出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rPr>
              <w:t>92.00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2210101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 xml:space="preserve">  廉租住房</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rPr>
              <w:t>5.46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用于廉租房维修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仿宋" w:hAnsi="仿宋" w:eastAsia="仿宋" w:cs="仿宋"/>
                <w:sz w:val="18"/>
                <w:szCs w:val="18"/>
              </w:rPr>
            </w:pPr>
            <w:r>
              <w:rPr>
                <w:rFonts w:hint="eastAsia" w:ascii="宋体" w:hAnsi="宋体" w:eastAsia="宋体" w:cs="宋体"/>
                <w:sz w:val="18"/>
                <w:szCs w:val="18"/>
              </w:rPr>
              <w:t>预算追加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2210103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 xml:space="preserve">  棚户区改造</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rPr>
              <w:t>32.76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用于棚户区改造项目前期改造服务费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仿宋" w:hAnsi="仿宋" w:eastAsia="仿宋" w:cs="仿宋"/>
                <w:sz w:val="18"/>
                <w:szCs w:val="18"/>
              </w:rPr>
            </w:pPr>
            <w:r>
              <w:rPr>
                <w:rFonts w:hint="eastAsia" w:ascii="宋体" w:hAnsi="宋体" w:eastAsia="宋体" w:cs="宋体"/>
                <w:sz w:val="18"/>
                <w:szCs w:val="18"/>
              </w:rPr>
              <w:t>预算追加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2210105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 xml:space="preserve">  农村危房改造</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rPr>
              <w:t>14.62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用于农村危房改造工作经费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仿宋" w:hAnsi="仿宋" w:eastAsia="仿宋" w:cs="仿宋"/>
                <w:sz w:val="18"/>
                <w:szCs w:val="18"/>
              </w:rPr>
            </w:pPr>
            <w:r>
              <w:rPr>
                <w:rFonts w:hint="eastAsia" w:ascii="宋体" w:hAnsi="宋体" w:eastAsia="宋体" w:cs="宋体"/>
                <w:sz w:val="18"/>
                <w:szCs w:val="18"/>
              </w:rPr>
              <w:t>预算追加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2210106</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 xml:space="preserve">  公共租赁住房</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rPr>
              <w:t>9.00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用于“阳关社区、美丽家园”公租房云监管系统费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仿宋" w:hAnsi="仿宋" w:eastAsia="仿宋" w:cs="仿宋"/>
                <w:sz w:val="18"/>
                <w:szCs w:val="18"/>
              </w:rPr>
            </w:pPr>
            <w:r>
              <w:rPr>
                <w:rFonts w:hint="eastAsia" w:ascii="宋体" w:hAnsi="宋体" w:eastAsia="宋体" w:cs="宋体"/>
                <w:sz w:val="18"/>
                <w:szCs w:val="18"/>
              </w:rPr>
              <w:t>预算追加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2210107</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 xml:space="preserve">  保障性住房租金补贴</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rPr>
              <w:t>13.00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仿宋" w:hAnsi="仿宋" w:eastAsia="仿宋" w:cs="仿宋"/>
                <w:szCs w:val="21"/>
              </w:rPr>
            </w:pPr>
            <w:r>
              <w:rPr>
                <w:rFonts w:hint="eastAsia" w:ascii="宋体" w:hAnsi="宋体" w:eastAsia="宋体" w:cs="宋体"/>
                <w:sz w:val="18"/>
                <w:szCs w:val="18"/>
              </w:rPr>
              <w:t>用</w:t>
            </w:r>
            <w:r>
              <w:rPr>
                <w:rFonts w:hint="eastAsia" w:ascii="仿宋" w:hAnsi="仿宋" w:eastAsia="仿宋" w:cs="仿宋"/>
                <w:szCs w:val="21"/>
              </w:rPr>
              <w:t>于支付住房租金补贴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仿宋" w:hAnsi="仿宋" w:eastAsia="仿宋" w:cs="仿宋"/>
                <w:sz w:val="18"/>
                <w:szCs w:val="18"/>
              </w:rPr>
            </w:pPr>
            <w:r>
              <w:rPr>
                <w:rFonts w:hint="eastAsia" w:ascii="宋体" w:hAnsi="宋体" w:eastAsia="宋体" w:cs="宋体"/>
                <w:sz w:val="18"/>
                <w:szCs w:val="18"/>
              </w:rPr>
              <w:t>预算追加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2210108</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 xml:space="preserve">  老旧小区改造</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rPr>
              <w:t>10.08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用于支付计生局老旧小区改造工程款</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仿宋" w:hAnsi="仿宋" w:eastAsia="仿宋" w:cs="仿宋"/>
                <w:sz w:val="18"/>
                <w:szCs w:val="18"/>
              </w:rPr>
            </w:pPr>
            <w:r>
              <w:rPr>
                <w:rFonts w:hint="eastAsia" w:ascii="宋体" w:hAnsi="宋体" w:eastAsia="宋体" w:cs="宋体"/>
                <w:sz w:val="18"/>
                <w:szCs w:val="18"/>
              </w:rPr>
              <w:t>预算追加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2210199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 xml:space="preserve">  其他保障性安居工程支出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rPr>
              <w:t>7.08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用于棚户区改造工程结算审计咨询费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仿宋" w:hAnsi="仿宋" w:eastAsia="仿宋" w:cs="仿宋"/>
                <w:sz w:val="18"/>
                <w:szCs w:val="18"/>
              </w:rPr>
            </w:pPr>
            <w:r>
              <w:rPr>
                <w:rFonts w:hint="eastAsia" w:ascii="宋体" w:hAnsi="宋体" w:eastAsia="宋体" w:cs="宋体"/>
                <w:sz w:val="18"/>
                <w:szCs w:val="18"/>
              </w:rPr>
              <w:t>预算追加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22102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住房改革支出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sz w:val="18"/>
                <w:szCs w:val="18"/>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22"/>
                <w:szCs w:val="22"/>
              </w:rPr>
              <w:t>28.84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仿宋" w:hAnsi="仿宋" w:eastAsia="宋体" w:cs="仿宋"/>
                <w:szCs w:val="21"/>
              </w:rPr>
            </w:pPr>
            <w:r>
              <w:rPr>
                <w:rFonts w:hint="eastAsia" w:ascii="仿宋" w:hAnsi="仿宋" w:eastAsia="仿宋" w:cs="仿宋"/>
                <w:szCs w:val="21"/>
              </w:rPr>
              <w:t>用于在职人员、政府购买 人员公积金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仿宋" w:hAnsi="仿宋" w:eastAsia="仿宋" w:cs="仿宋"/>
                <w:sz w:val="18"/>
                <w:szCs w:val="18"/>
              </w:rPr>
            </w:pP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1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left"/>
        <w:rPr>
          <w:rFonts w:ascii="仿宋" w:hAnsi="仿宋" w:eastAsia="仿宋" w:cs="仿宋"/>
          <w:sz w:val="32"/>
          <w:szCs w:val="32"/>
        </w:rPr>
      </w:pPr>
      <w:r>
        <w:rPr>
          <w:rFonts w:hint="eastAsia" w:ascii="黑体" w:hAnsi="黑体" w:eastAsia="黑体" w:cs="黑体"/>
          <w:sz w:val="32"/>
          <w:szCs w:val="32"/>
        </w:rPr>
        <w:t>三、2022年度一般公共预算财政拨款基本支出决算情况说明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住房和城乡建设局单位2022年度一般公共预算财政拨款基本支出</w:t>
      </w:r>
      <w:r>
        <w:rPr>
          <w:rFonts w:hint="eastAsia" w:ascii="仿宋" w:hAnsi="仿宋" w:eastAsia="仿宋" w:cs="仿宋"/>
          <w:sz w:val="32"/>
        </w:rPr>
        <w:t>330.33</w:t>
      </w:r>
      <w:r>
        <w:rPr>
          <w:rFonts w:hint="eastAsia" w:ascii="仿宋" w:hAnsi="仿宋" w:eastAsia="仿宋" w:cs="仿宋"/>
          <w:sz w:val="32"/>
          <w:szCs w:val="32"/>
        </w:rPr>
        <w:t>万元，</w:t>
      </w:r>
      <w:r>
        <w:rPr>
          <w:rFonts w:ascii="仿宋_GB2312" w:hAnsi="微软雅黑" w:eastAsia="仿宋_GB2312" w:cs="仿宋_GB2312"/>
          <w:sz w:val="31"/>
          <w:szCs w:val="31"/>
          <w:shd w:val="clear" w:color="auto" w:fill="FFFFFF"/>
        </w:rPr>
        <w:t>其中：人员经费支出</w:t>
      </w:r>
      <w:r>
        <w:rPr>
          <w:rFonts w:hint="eastAsia" w:ascii="仿宋" w:hAnsi="仿宋" w:eastAsia="仿宋" w:cs="仿宋"/>
          <w:sz w:val="32"/>
          <w:szCs w:val="32"/>
        </w:rPr>
        <w:t>307.99</w:t>
      </w:r>
      <w:r>
        <w:rPr>
          <w:rFonts w:ascii="仿宋_GB2312" w:hAnsi="微软雅黑" w:eastAsia="仿宋_GB2312" w:cs="仿宋_GB2312"/>
          <w:sz w:val="31"/>
          <w:szCs w:val="31"/>
          <w:shd w:val="clear" w:color="auto" w:fill="FFFFFF"/>
        </w:rPr>
        <w:t>万元，公用经费支出</w:t>
      </w:r>
      <w:r>
        <w:rPr>
          <w:rFonts w:hint="eastAsia" w:ascii="仿宋" w:hAnsi="仿宋" w:eastAsia="仿宋" w:cs="仿宋"/>
          <w:sz w:val="32"/>
          <w:szCs w:val="32"/>
        </w:rPr>
        <w:t>22.34</w:t>
      </w:r>
      <w:r>
        <w:rPr>
          <w:rFonts w:ascii="仿宋_GB2312" w:hAnsi="微软雅黑" w:eastAsia="仿宋_GB2312" w:cs="仿宋_GB2312"/>
          <w:sz w:val="31"/>
          <w:szCs w:val="31"/>
          <w:shd w:val="clear" w:color="auto" w:fill="FFFFFF"/>
        </w:rPr>
        <w:t>万元，</w:t>
      </w:r>
      <w:r>
        <w:rPr>
          <w:rFonts w:hint="eastAsia" w:ascii="仿宋" w:hAnsi="仿宋" w:eastAsia="仿宋" w:cs="仿宋"/>
          <w:sz w:val="32"/>
          <w:szCs w:val="32"/>
        </w:rPr>
        <w:t>支出具体情况如下：</w:t>
      </w:r>
    </w:p>
    <w:p>
      <w:pPr>
        <w:jc w:val="left"/>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工资福利支出</w:t>
      </w:r>
      <w:r>
        <w:rPr>
          <w:rFonts w:hint="eastAsia" w:ascii="仿宋" w:hAnsi="仿宋" w:eastAsia="仿宋" w:cs="仿宋"/>
          <w:sz w:val="32"/>
        </w:rPr>
        <w:t xml:space="preserve"> 388.16</w:t>
      </w:r>
      <w:r>
        <w:rPr>
          <w:rFonts w:ascii="仿宋" w:hAnsi="仿宋" w:eastAsia="仿宋" w:cs="仿宋"/>
          <w:sz w:val="32"/>
        </w:rPr>
        <w:t>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117.51%</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主要原因是：工资标准提高，增加奖励性补贴，增加工资福利支出。</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30101基本工资89.17万元，30102津贴补贴29万元，30103奖金119.7万元，30106伙食补助费5.83万元，30107绩效工资35.53万元，30108机关事业单位基本养老保险缴费41.41万元，30110职工基本医疗保险缴费18.63万元，30111公务员医疗补助缴0万元，30112其他社会保障缴费1.1万元，30113住房公积金29.02万元，30199其他工资福利支出17.51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left"/>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商品和服务支出</w:t>
      </w:r>
      <w:r>
        <w:rPr>
          <w:rFonts w:hint="eastAsia" w:ascii="仿宋" w:hAnsi="仿宋" w:eastAsia="仿宋" w:cs="仿宋"/>
          <w:b/>
          <w:bCs/>
          <w:sz w:val="32"/>
        </w:rPr>
        <w:t>25.21</w:t>
      </w:r>
      <w:r>
        <w:rPr>
          <w:rFonts w:ascii="仿宋" w:hAnsi="仿宋" w:eastAsia="仿宋" w:cs="仿宋"/>
          <w:sz w:val="32"/>
        </w:rPr>
        <w:t>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112.84%</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主要原因是：交通费用增加。</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：30201办公费1.81万元，30207邮电费1.77万元，30211差旅费0万元，30215会议费0.39万元，30216培训费0万元，30226劳务费0万元，30228工会经费4.81万元，30299其他商品和服务支出0.02万元，交通费用16.08万元。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1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left"/>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对个人和家庭的补助</w:t>
      </w:r>
      <w:r>
        <w:rPr>
          <w:rFonts w:hint="eastAsia" w:ascii="仿宋" w:hAnsi="仿宋" w:eastAsia="仿宋" w:cs="仿宋"/>
          <w:sz w:val="32"/>
        </w:rPr>
        <w:t>12.26</w:t>
      </w:r>
      <w:r>
        <w:rPr>
          <w:rFonts w:ascii="仿宋" w:hAnsi="仿宋" w:eastAsia="仿宋" w:cs="仿宋"/>
          <w:sz w:val="32"/>
        </w:rPr>
        <w:t>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101.32%</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主要原因是：增加抚恤金0.76万元。</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：30301离休费15.22万元，30302退休费0.76万元，30305生活补助3.75万元。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2349500"/>
            <wp:effectExtent l="4445" t="4445" r="16510" b="8255"/>
            <wp:docPr id="2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rPr>
          <w:rFonts w:ascii="仿宋" w:hAnsi="仿宋" w:eastAsia="仿宋" w:cs="仿宋"/>
          <w:sz w:val="32"/>
          <w:szCs w:val="32"/>
        </w:rPr>
      </w:pPr>
    </w:p>
    <w:p>
      <w:pPr>
        <w:jc w:val="left"/>
        <w:rPr>
          <w:rFonts w:hint="default" w:ascii="仿宋" w:hAnsi="仿宋" w:eastAsia="仿宋_GB2312"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债务利息及费用支出</w:t>
      </w:r>
      <w:r>
        <w:rPr>
          <w:rFonts w:ascii="仿宋" w:hAnsi="仿宋" w:eastAsia="仿宋" w:cs="仿宋"/>
          <w:sz w:val="32"/>
        </w:rPr>
        <w:t>0.00万元，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sz w:val="31"/>
          <w:szCs w:val="31"/>
          <w:shd w:val="clear" w:color="auto" w:fill="FFFFFF"/>
        </w:rPr>
        <w:t>，</w:t>
      </w:r>
      <w:r>
        <w:rPr>
          <w:rFonts w:hint="eastAsia" w:ascii="仿宋_GB2312" w:hAnsi="微软雅黑" w:eastAsia="仿宋_GB2312" w:cs="仿宋_GB2312"/>
          <w:sz w:val="31"/>
          <w:szCs w:val="31"/>
          <w:shd w:val="clear" w:color="auto" w:fill="FFFFFF"/>
          <w:lang w:val="en-US" w:eastAsia="zh-CN"/>
        </w:rPr>
        <w:t>主要原因是：无。</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2778125"/>
            <wp:effectExtent l="4445" t="4445" r="16510" b="17780"/>
            <wp:docPr id="2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left"/>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rPr>
        <w:t>资本性支出</w:t>
      </w:r>
      <w:r>
        <w:rPr>
          <w:rFonts w:ascii="仿宋" w:hAnsi="仿宋" w:eastAsia="仿宋" w:cs="仿宋"/>
          <w:sz w:val="32"/>
        </w:rPr>
        <w:t>0.00万元，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sz w:val="31"/>
          <w:szCs w:val="31"/>
          <w:shd w:val="clear" w:color="auto" w:fill="FFFFFF"/>
        </w:rPr>
        <w:t>，</w:t>
      </w:r>
      <w:r>
        <w:rPr>
          <w:rFonts w:hint="eastAsia" w:ascii="仿宋_GB2312" w:hAnsi="微软雅黑" w:eastAsia="仿宋_GB2312" w:cs="仿宋_GB2312"/>
          <w:sz w:val="31"/>
          <w:szCs w:val="31"/>
          <w:shd w:val="clear" w:color="auto" w:fill="FFFFFF"/>
          <w:lang w:val="en-US" w:eastAsia="zh-CN"/>
        </w:rPr>
        <w:t>主要原因是：无。</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rPr>
          <w:rFonts w:ascii="仿宋" w:hAnsi="仿宋" w:eastAsia="仿宋" w:cs="仿宋"/>
          <w:sz w:val="32"/>
          <w:szCs w:val="32"/>
        </w:rPr>
      </w:pPr>
    </w:p>
    <w:p>
      <w:pPr>
        <w:ind w:left="420"/>
        <w:jc w:val="left"/>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w:t>
      </w:r>
      <w:r>
        <w:rPr>
          <w:rFonts w:hint="eastAsia" w:ascii="仿宋" w:hAnsi="仿宋" w:eastAsia="仿宋" w:cs="仿宋"/>
          <w:sz w:val="32"/>
          <w:szCs w:val="32"/>
        </w:rPr>
        <w:t>其他支出</w:t>
      </w:r>
      <w:r>
        <w:rPr>
          <w:rFonts w:hint="eastAsia" w:ascii="仿宋" w:hAnsi="仿宋" w:eastAsia="仿宋" w:cs="仿宋"/>
          <w:sz w:val="32"/>
        </w:rPr>
        <w:t>136.97</w:t>
      </w:r>
      <w:r>
        <w:rPr>
          <w:rFonts w:ascii="仿宋" w:hAnsi="仿宋" w:eastAsia="仿宋" w:cs="仿宋"/>
          <w:sz w:val="32"/>
        </w:rPr>
        <w:t>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100%</w:t>
      </w:r>
      <w:r>
        <w:rPr>
          <w:rFonts w:ascii="仿宋_GB2312" w:hAnsi="微软雅黑" w:eastAsia="仿宋_GB2312" w:cs="仿宋_GB2312"/>
          <w:sz w:val="31"/>
          <w:szCs w:val="31"/>
          <w:shd w:val="clear" w:color="auto" w:fill="FFFFFF"/>
        </w:rPr>
        <w:t>，</w:t>
      </w:r>
      <w:r>
        <w:rPr>
          <w:rFonts w:hint="eastAsia" w:ascii="仿宋_GB2312" w:hAnsi="微软雅黑" w:eastAsia="仿宋_GB2312" w:cs="仿宋_GB2312"/>
          <w:sz w:val="31"/>
          <w:szCs w:val="31"/>
          <w:shd w:val="clear" w:color="auto" w:fill="FFFFFF"/>
          <w:lang w:val="en-US" w:eastAsia="zh-CN"/>
        </w:rPr>
        <w:t>主要原因是：无。</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2444115"/>
            <wp:effectExtent l="4445" t="4445" r="16510" b="8890"/>
            <wp:docPr id="2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jc w:val="left"/>
        <w:rPr>
          <w:rFonts w:ascii="黑体" w:hAnsi="黑体" w:eastAsia="黑体" w:cs="黑体"/>
          <w:sz w:val="32"/>
          <w:szCs w:val="32"/>
        </w:rPr>
      </w:pPr>
      <w:r>
        <w:rPr>
          <w:rFonts w:hint="eastAsia" w:ascii="黑体" w:hAnsi="黑体" w:eastAsia="黑体" w:cs="黑体"/>
          <w:sz w:val="32"/>
          <w:szCs w:val="32"/>
        </w:rPr>
        <w:t>四、2022年度政府性基金支出决算情况</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住房和城乡建设局单位2022年度政府性基金支出187.53万元，较2021年度决算数增加137.53万元，增长275.06%，其中：基本支出0.00万元，项目支出187.53万元。</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住房和城乡建设局单位2022年度政府性基金支出年初预算为0.00万元，支出决算为187.53万元，完成年初预算的100%。</w:t>
      </w:r>
    </w:p>
    <w:p>
      <w:pPr>
        <w:jc w:val="left"/>
        <w:rPr>
          <w:rFonts w:ascii="仿宋" w:hAnsi="仿宋" w:eastAsia="仿宋" w:cs="仿宋"/>
          <w:sz w:val="32"/>
          <w:szCs w:val="32"/>
        </w:rPr>
      </w:pPr>
      <w:r>
        <w:rPr>
          <w:rFonts w:hint="eastAsia" w:ascii="黑体" w:hAnsi="黑体" w:eastAsia="黑体" w:cs="黑体"/>
          <w:sz w:val="32"/>
          <w:szCs w:val="32"/>
        </w:rPr>
        <w:t>五、2022年度国有资本经营预算支出决算情况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住房和城乡建设局单位2022年度国有资本经营预算支出</w:t>
      </w:r>
      <w:r>
        <w:rPr>
          <w:rFonts w:ascii="仿宋" w:hAnsi="仿宋" w:eastAsia="仿宋" w:cs="仿宋"/>
          <w:sz w:val="32"/>
          <w:szCs w:val="32"/>
        </w:rPr>
        <w:t>0.00</w:t>
      </w:r>
      <w:r>
        <w:rPr>
          <w:rFonts w:hint="eastAsia" w:ascii="仿宋" w:hAnsi="仿宋" w:eastAsia="仿宋" w:cs="仿宋"/>
          <w:sz w:val="32"/>
          <w:szCs w:val="32"/>
        </w:rPr>
        <w:t>万元。其中：基本支出</w:t>
      </w:r>
      <w:r>
        <w:rPr>
          <w:rFonts w:ascii="仿宋" w:hAnsi="仿宋" w:eastAsia="仿宋" w:cs="仿宋"/>
          <w:sz w:val="32"/>
          <w:szCs w:val="32"/>
        </w:rPr>
        <w:t>0.00</w:t>
      </w:r>
      <w:r>
        <w:rPr>
          <w:rFonts w:hint="eastAsia" w:ascii="仿宋" w:hAnsi="仿宋" w:eastAsia="仿宋" w:cs="仿宋"/>
          <w:sz w:val="32"/>
          <w:szCs w:val="32"/>
        </w:rPr>
        <w:t>万元，项目支出</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住房和城乡建设局单位2022 年度国有资本经营预算支出年初预算为</w:t>
      </w:r>
      <w:r>
        <w:rPr>
          <w:rFonts w:ascii="仿宋" w:hAnsi="仿宋" w:eastAsia="仿宋" w:cs="仿宋"/>
          <w:sz w:val="32"/>
          <w:szCs w:val="32"/>
        </w:rPr>
        <w:t>0.00</w:t>
      </w:r>
      <w:r>
        <w:rPr>
          <w:rFonts w:hint="eastAsia" w:ascii="仿宋" w:hAnsi="仿宋" w:eastAsia="仿宋" w:cs="仿宋"/>
          <w:sz w:val="32"/>
          <w:szCs w:val="32"/>
        </w:rPr>
        <w:t>万元，支出决算为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bookmarkStart w:id="2" w:name="PO_part3A5B1C1DiffReason1"/>
      <w:r>
        <w:rPr>
          <w:rFonts w:hint="eastAsia" w:ascii="仿宋_GB2312" w:hAnsi="Times New Roman" w:eastAsia="仿宋_GB2312" w:cs="Times New Roman"/>
          <w:sz w:val="32"/>
          <w:szCs w:val="32"/>
        </w:rPr>
        <w:t>住房和城乡建设局</w:t>
      </w:r>
      <w:r>
        <w:rPr>
          <w:rFonts w:ascii="仿宋_GB2312" w:hAnsi="仿宋_GB2312" w:eastAsia="仿宋_GB2312" w:cs="仿宋_GB2312"/>
          <w:sz w:val="32"/>
        </w:rPr>
        <w:t>没有国有资本经营预算收入，也没有国有资本经营预算收入</w:t>
      </w:r>
      <w:bookmarkStart w:id="3" w:name="_GoBack"/>
      <w:r>
        <w:rPr>
          <w:rFonts w:hint="eastAsia" w:ascii="仿宋_GB2312" w:hAnsi="仿宋_GB2312" w:eastAsia="仿宋_GB2312" w:cs="仿宋_GB2312"/>
          <w:sz w:val="32"/>
          <w:lang w:val="en-US" w:eastAsia="zh-CN"/>
        </w:rPr>
        <w:t>安排的支出</w:t>
      </w:r>
      <w:bookmarkEnd w:id="3"/>
      <w:r>
        <w:rPr>
          <w:rFonts w:hint="eastAsia" w:ascii="仿宋_GB2312" w:hAnsi="Times New Roman" w:eastAsia="仿宋_GB2312" w:cs="Times New Roman"/>
          <w:sz w:val="32"/>
          <w:szCs w:val="32"/>
        </w:rPr>
        <w:t>。</w:t>
      </w:r>
      <w:bookmarkEnd w:id="2"/>
    </w:p>
    <w:p>
      <w:pPr>
        <w:jc w:val="left"/>
        <w:rPr>
          <w:rFonts w:ascii="仿宋" w:hAnsi="仿宋" w:eastAsia="仿宋" w:cs="仿宋"/>
          <w:sz w:val="32"/>
          <w:szCs w:val="32"/>
        </w:rPr>
      </w:pPr>
      <w:r>
        <w:rPr>
          <w:rFonts w:hint="eastAsia" w:ascii="黑体" w:hAnsi="黑体" w:eastAsia="黑体" w:cs="黑体"/>
          <w:sz w:val="32"/>
          <w:szCs w:val="32"/>
        </w:rPr>
        <w:t>六、一般公共预算财政拨款安排的“三公”经费支出决算情况说明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2022年度一般公共预算财政拨款安排的“三公”经费支出0.36万元，完成年初预算的30</w:t>
      </w:r>
      <w:r>
        <w:rPr>
          <w:rFonts w:ascii="仿宋" w:hAnsi="仿宋" w:eastAsia="仿宋" w:cs="仿宋"/>
          <w:sz w:val="32"/>
          <w:szCs w:val="32"/>
        </w:rPr>
        <w:t>%</w:t>
      </w:r>
      <w:r>
        <w:rPr>
          <w:rFonts w:hint="eastAsia" w:ascii="仿宋" w:hAnsi="仿宋" w:eastAsia="仿宋" w:cs="仿宋"/>
          <w:sz w:val="32"/>
          <w:szCs w:val="32"/>
        </w:rPr>
        <w:t>，比上年减少0.51元，主要原因是：2022年财政资金紧张。其中：因公出国（境）费支出决算</w:t>
      </w:r>
      <w:r>
        <w:rPr>
          <w:rFonts w:ascii="仿宋" w:hAnsi="仿宋" w:eastAsia="仿宋" w:cs="仿宋"/>
          <w:sz w:val="32"/>
          <w:szCs w:val="32"/>
        </w:rPr>
        <w:t>0.00</w:t>
      </w:r>
      <w:r>
        <w:rPr>
          <w:rFonts w:hint="eastAsia" w:ascii="仿宋" w:hAnsi="仿宋" w:eastAsia="仿宋" w:cs="仿宋"/>
          <w:sz w:val="32"/>
          <w:szCs w:val="32"/>
        </w:rPr>
        <w:t>万元，公务用车购置及运行费支出决算</w:t>
      </w:r>
      <w:r>
        <w:rPr>
          <w:rFonts w:ascii="仿宋" w:hAnsi="仿宋" w:eastAsia="仿宋" w:cs="仿宋"/>
          <w:sz w:val="32"/>
          <w:szCs w:val="32"/>
        </w:rPr>
        <w:t>0.00</w:t>
      </w:r>
      <w:r>
        <w:rPr>
          <w:rFonts w:hint="eastAsia" w:ascii="仿宋" w:hAnsi="仿宋" w:eastAsia="仿宋" w:cs="仿宋"/>
          <w:sz w:val="32"/>
          <w:szCs w:val="32"/>
        </w:rPr>
        <w:t>万元，公务接待费支出决算0.36万元。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具体情况如下：</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（一）因公出国（境）费支出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，比上年</w:t>
      </w:r>
      <w:r>
        <w:rPr>
          <w:rFonts w:ascii="仿宋" w:hAnsi="仿宋" w:eastAsia="仿宋" w:cs="仿宋"/>
          <w:sz w:val="32"/>
          <w:szCs w:val="32"/>
        </w:rPr>
        <w:t>增加0.00</w:t>
      </w:r>
      <w:r>
        <w:rPr>
          <w:rFonts w:hint="eastAsia" w:ascii="仿宋" w:hAnsi="仿宋" w:eastAsia="仿宋" w:cs="仿宋"/>
          <w:sz w:val="32"/>
          <w:szCs w:val="32"/>
        </w:rPr>
        <w:t xml:space="preserve"> 万元。全年因公出国（境）团组共计</w:t>
      </w:r>
      <w:r>
        <w:rPr>
          <w:rFonts w:ascii="仿宋" w:hAnsi="仿宋" w:eastAsia="仿宋" w:cs="仿宋"/>
          <w:sz w:val="32"/>
          <w:szCs w:val="32"/>
        </w:rPr>
        <w:t>0</w:t>
      </w:r>
      <w:r>
        <w:rPr>
          <w:rFonts w:hint="eastAsia" w:ascii="仿宋" w:hAnsi="仿宋" w:eastAsia="仿宋" w:cs="仿宋"/>
          <w:sz w:val="32"/>
          <w:szCs w:val="32"/>
        </w:rPr>
        <w:t>个，累计</w:t>
      </w:r>
      <w:r>
        <w:rPr>
          <w:rFonts w:ascii="仿宋" w:hAnsi="仿宋" w:eastAsia="仿宋" w:cs="仿宋"/>
          <w:sz w:val="32"/>
          <w:szCs w:val="32"/>
        </w:rPr>
        <w:t>0</w:t>
      </w:r>
      <w:r>
        <w:rPr>
          <w:rFonts w:hint="eastAsia" w:ascii="仿宋" w:hAnsi="仿宋" w:eastAsia="仿宋" w:cs="仿宋"/>
          <w:sz w:val="32"/>
          <w:szCs w:val="32"/>
        </w:rPr>
        <w:t>人次。</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（二）公务用车购置及运行维护费</w:t>
      </w:r>
      <w:r>
        <w:rPr>
          <w:rFonts w:ascii="仿宋" w:hAnsi="仿宋" w:eastAsia="仿宋" w:cs="仿宋"/>
          <w:sz w:val="32"/>
        </w:rPr>
        <w:t>0.00</w:t>
      </w:r>
      <w:r>
        <w:rPr>
          <w:rFonts w:hint="eastAsia" w:ascii="仿宋" w:hAnsi="仿宋" w:eastAsia="仿宋" w:cs="仿宋"/>
          <w:sz w:val="32"/>
          <w:szCs w:val="32"/>
        </w:rPr>
        <w:t>万元。其中：公务用车购置支出</w:t>
      </w:r>
      <w:r>
        <w:rPr>
          <w:rFonts w:ascii="仿宋" w:hAnsi="仿宋" w:eastAsia="仿宋" w:cs="仿宋"/>
          <w:sz w:val="32"/>
        </w:rPr>
        <w:t>0.00</w:t>
      </w:r>
      <w:r>
        <w:rPr>
          <w:rFonts w:hint="eastAsia" w:ascii="仿宋" w:hAnsi="仿宋" w:eastAsia="仿宋" w:cs="仿宋"/>
          <w:sz w:val="32"/>
          <w:szCs w:val="32"/>
        </w:rPr>
        <w:t>万元，完成年初预算的</w:t>
      </w:r>
      <w:r>
        <w:rPr>
          <w:rFonts w:ascii="仿宋" w:hAnsi="仿宋" w:eastAsia="仿宋" w:cs="仿宋"/>
          <w:sz w:val="32"/>
        </w:rPr>
        <w:t>0%</w:t>
      </w:r>
      <w:r>
        <w:rPr>
          <w:rFonts w:hint="eastAsia" w:ascii="仿宋" w:hAnsi="仿宋" w:eastAsia="仿宋" w:cs="仿宋"/>
          <w:sz w:val="32"/>
          <w:szCs w:val="32"/>
        </w:rPr>
        <w:t>，比上年</w:t>
      </w:r>
      <w:r>
        <w:rPr>
          <w:rFonts w:ascii="仿宋" w:hAnsi="仿宋" w:eastAsia="仿宋" w:cs="仿宋"/>
          <w:sz w:val="32"/>
        </w:rPr>
        <w:t>增加0.00</w:t>
      </w:r>
      <w:r>
        <w:rPr>
          <w:rFonts w:hint="eastAsia" w:ascii="仿宋" w:hAnsi="仿宋" w:eastAsia="仿宋" w:cs="仿宋"/>
          <w:sz w:val="32"/>
          <w:szCs w:val="32"/>
        </w:rPr>
        <w:t xml:space="preserve"> 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公务用车运行维护支出</w:t>
      </w:r>
      <w:r>
        <w:rPr>
          <w:rFonts w:ascii="仿宋" w:hAnsi="仿宋" w:eastAsia="仿宋" w:cs="仿宋"/>
          <w:sz w:val="32"/>
        </w:rPr>
        <w:t>0.00</w:t>
      </w:r>
      <w:r>
        <w:rPr>
          <w:rFonts w:hint="eastAsia" w:ascii="仿宋" w:hAnsi="仿宋" w:eastAsia="仿宋" w:cs="仿宋"/>
          <w:sz w:val="32"/>
          <w:szCs w:val="32"/>
        </w:rPr>
        <w:t>万元，完成年初预算的</w:t>
      </w:r>
      <w:r>
        <w:rPr>
          <w:rFonts w:ascii="仿宋" w:hAnsi="仿宋" w:eastAsia="仿宋" w:cs="仿宋"/>
          <w:sz w:val="32"/>
        </w:rPr>
        <w:t>0%</w:t>
      </w:r>
      <w:r>
        <w:rPr>
          <w:rFonts w:hint="eastAsia" w:ascii="仿宋" w:hAnsi="仿宋" w:eastAsia="仿宋" w:cs="仿宋"/>
          <w:sz w:val="32"/>
          <w:szCs w:val="32"/>
        </w:rPr>
        <w:t>，比上年</w:t>
      </w:r>
      <w:r>
        <w:rPr>
          <w:rFonts w:ascii="仿宋" w:hAnsi="仿宋" w:eastAsia="仿宋" w:cs="仿宋"/>
          <w:sz w:val="32"/>
        </w:rPr>
        <w:t>增加0.00</w:t>
      </w:r>
      <w:r>
        <w:rPr>
          <w:rFonts w:hint="eastAsia" w:ascii="仿宋" w:hAnsi="仿宋" w:eastAsia="仿宋" w:cs="仿宋"/>
          <w:sz w:val="32"/>
          <w:szCs w:val="32"/>
        </w:rPr>
        <w:t>万元。2022年，</w:t>
      </w:r>
      <w:r>
        <w:rPr>
          <w:rFonts w:hint="eastAsia" w:ascii="仿宋" w:hAnsi="仿宋" w:eastAsia="仿宋" w:cs="仿宋"/>
          <w:sz w:val="32"/>
        </w:rPr>
        <w:t>住房和城乡建设局单位</w:t>
      </w:r>
      <w:r>
        <w:rPr>
          <w:rFonts w:hint="eastAsia" w:ascii="仿宋" w:hAnsi="仿宋" w:eastAsia="仿宋" w:cs="仿宋"/>
          <w:sz w:val="32"/>
          <w:szCs w:val="32"/>
        </w:rPr>
        <w:t>及</w:t>
      </w:r>
      <w:r>
        <w:rPr>
          <w:rFonts w:hint="eastAsia" w:ascii="仿宋" w:hAnsi="仿宋" w:eastAsia="仿宋" w:cs="仿宋"/>
          <w:sz w:val="32"/>
          <w:szCs w:val="32"/>
          <w:u w:val="single"/>
        </w:rPr>
        <w:t xml:space="preserve">   个</w:t>
      </w:r>
      <w:r>
        <w:rPr>
          <w:rFonts w:hint="eastAsia" w:ascii="仿宋" w:hAnsi="仿宋" w:eastAsia="仿宋" w:cs="仿宋"/>
          <w:sz w:val="32"/>
          <w:szCs w:val="32"/>
        </w:rPr>
        <w:t>所属单位开支财政拨款的公务用车保有量为</w:t>
      </w:r>
      <w:r>
        <w:rPr>
          <w:rFonts w:ascii="仿宋" w:hAnsi="仿宋" w:eastAsia="仿宋" w:cs="仿宋"/>
          <w:sz w:val="32"/>
        </w:rPr>
        <w:t>0</w:t>
      </w:r>
      <w:r>
        <w:rPr>
          <w:rFonts w:hint="eastAsia" w:ascii="仿宋" w:hAnsi="仿宋" w:eastAsia="仿宋" w:cs="仿宋"/>
          <w:sz w:val="32"/>
          <w:szCs w:val="32"/>
        </w:rPr>
        <w:t>辆，全年运行费支出</w:t>
      </w:r>
      <w:r>
        <w:rPr>
          <w:rFonts w:ascii="仿宋" w:hAnsi="仿宋" w:eastAsia="仿宋" w:cs="仿宋"/>
          <w:sz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（三）公务接待费支出0.36万元，完成年初预算的30</w:t>
      </w:r>
      <w:r>
        <w:rPr>
          <w:rFonts w:ascii="仿宋" w:hAnsi="仿宋" w:eastAsia="仿宋" w:cs="仿宋"/>
          <w:sz w:val="32"/>
          <w:szCs w:val="32"/>
        </w:rPr>
        <w:t>%</w:t>
      </w:r>
      <w:r>
        <w:rPr>
          <w:rFonts w:hint="eastAsia" w:ascii="仿宋" w:hAnsi="仿宋" w:eastAsia="仿宋" w:cs="仿宋"/>
          <w:sz w:val="32"/>
          <w:szCs w:val="32"/>
        </w:rPr>
        <w:t>， 比上年减少0.51万元，主要原因是：请财政资金紧张，无法支付。国内公务接待批次</w:t>
      </w:r>
      <w:r>
        <w:rPr>
          <w:rFonts w:ascii="仿宋" w:hAnsi="仿宋" w:eastAsia="仿宋" w:cs="仿宋"/>
          <w:sz w:val="32"/>
          <w:szCs w:val="32"/>
        </w:rPr>
        <w:t>13</w:t>
      </w:r>
      <w:r>
        <w:rPr>
          <w:rFonts w:hint="eastAsia" w:ascii="仿宋" w:hAnsi="仿宋" w:eastAsia="仿宋" w:cs="仿宋"/>
          <w:sz w:val="32"/>
          <w:szCs w:val="32"/>
        </w:rPr>
        <w:t>次，人次</w:t>
      </w:r>
      <w:r>
        <w:rPr>
          <w:rFonts w:ascii="仿宋" w:hAnsi="仿宋" w:eastAsia="仿宋" w:cs="仿宋"/>
          <w:sz w:val="32"/>
          <w:szCs w:val="32"/>
        </w:rPr>
        <w:t>100</w:t>
      </w:r>
      <w:r>
        <w:rPr>
          <w:rFonts w:hint="eastAsia" w:ascii="仿宋" w:hAnsi="仿宋" w:eastAsia="仿宋" w:cs="仿宋"/>
          <w:sz w:val="32"/>
          <w:szCs w:val="32"/>
        </w:rPr>
        <w:t>次，国（境）外公务接待批次</w:t>
      </w:r>
      <w:r>
        <w:rPr>
          <w:rFonts w:ascii="仿宋" w:hAnsi="仿宋" w:eastAsia="仿宋" w:cs="仿宋"/>
          <w:sz w:val="32"/>
          <w:szCs w:val="32"/>
        </w:rPr>
        <w:t>0</w:t>
      </w:r>
      <w:r>
        <w:rPr>
          <w:rFonts w:hint="eastAsia" w:ascii="仿宋" w:hAnsi="仿宋" w:eastAsia="仿宋" w:cs="仿宋"/>
          <w:sz w:val="32"/>
          <w:szCs w:val="32"/>
        </w:rPr>
        <w:t>次，人次</w:t>
      </w:r>
      <w:r>
        <w:rPr>
          <w:rFonts w:ascii="仿宋" w:hAnsi="仿宋" w:eastAsia="仿宋" w:cs="仿宋"/>
          <w:sz w:val="32"/>
          <w:szCs w:val="32"/>
        </w:rPr>
        <w:t>0</w:t>
      </w:r>
      <w:r>
        <w:rPr>
          <w:rFonts w:hint="eastAsia" w:ascii="仿宋" w:hAnsi="仿宋" w:eastAsia="仿宋" w:cs="仿宋"/>
          <w:sz w:val="32"/>
          <w:szCs w:val="32"/>
        </w:rPr>
        <w:t>次。</w:t>
      </w:r>
    </w:p>
    <w:p>
      <w:pPr>
        <w:jc w:val="left"/>
        <w:rPr>
          <w:rFonts w:ascii="仿宋" w:hAnsi="仿宋" w:eastAsia="仿宋" w:cs="仿宋"/>
          <w:sz w:val="32"/>
          <w:szCs w:val="32"/>
        </w:rPr>
      </w:pPr>
      <w:r>
        <w:rPr>
          <w:rFonts w:hint="eastAsia" w:ascii="黑体" w:hAnsi="黑体" w:eastAsia="黑体" w:cs="黑体"/>
          <w:sz w:val="32"/>
          <w:szCs w:val="32"/>
        </w:rPr>
        <w:t>七、其他重要事项情况说明</w:t>
      </w:r>
    </w:p>
    <w:p>
      <w:pPr>
        <w:jc w:val="left"/>
        <w:rPr>
          <w:rFonts w:ascii="黑体" w:hAnsi="黑体" w:eastAsia="黑体" w:cs="黑体"/>
          <w:sz w:val="32"/>
          <w:szCs w:val="32"/>
        </w:rPr>
      </w:pPr>
      <w:r>
        <w:rPr>
          <w:rFonts w:hint="eastAsia" w:ascii="黑体" w:hAnsi="黑体" w:eastAsia="黑体" w:cs="黑体"/>
          <w:sz w:val="32"/>
          <w:szCs w:val="32"/>
        </w:rPr>
        <w:t>（一） 机关运行经费支出情况说明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本部门2022年度机关运行经费支出25.21万元，比年初预算数</w:t>
      </w:r>
      <w:r>
        <w:rPr>
          <w:rFonts w:ascii="仿宋" w:hAnsi="仿宋" w:eastAsia="仿宋" w:cs="仿宋"/>
          <w:sz w:val="32"/>
          <w:szCs w:val="32"/>
        </w:rPr>
        <w:t>减少</w:t>
      </w:r>
      <w:r>
        <w:rPr>
          <w:rFonts w:hint="eastAsia" w:ascii="仿宋" w:hAnsi="仿宋" w:eastAsia="仿宋" w:cs="仿宋"/>
          <w:sz w:val="32"/>
          <w:szCs w:val="32"/>
        </w:rPr>
        <w:t>2.87万元，</w:t>
      </w:r>
      <w:r>
        <w:rPr>
          <w:rFonts w:ascii="仿宋" w:hAnsi="仿宋" w:eastAsia="仿宋" w:cs="仿宋"/>
          <w:sz w:val="32"/>
          <w:szCs w:val="32"/>
        </w:rPr>
        <w:t>下降</w:t>
      </w:r>
      <w:r>
        <w:rPr>
          <w:rFonts w:hint="eastAsia" w:ascii="仿宋" w:hAnsi="仿宋" w:eastAsia="仿宋" w:cs="仿宋"/>
          <w:sz w:val="32"/>
          <w:szCs w:val="32"/>
        </w:rPr>
        <w:t>112.85</w:t>
      </w:r>
      <w:r>
        <w:rPr>
          <w:rFonts w:ascii="仿宋" w:hAnsi="仿宋" w:eastAsia="仿宋" w:cs="仿宋"/>
          <w:sz w:val="32"/>
          <w:szCs w:val="32"/>
        </w:rPr>
        <w:t>%</w:t>
      </w:r>
      <w:r>
        <w:rPr>
          <w:rFonts w:hint="eastAsia" w:ascii="仿宋" w:hAnsi="仿宋" w:eastAsia="仿宋" w:cs="仿宋"/>
          <w:sz w:val="32"/>
          <w:szCs w:val="32"/>
        </w:rPr>
        <w:t>，比上年决算数</w:t>
      </w:r>
      <w:r>
        <w:rPr>
          <w:rFonts w:ascii="仿宋" w:hAnsi="仿宋" w:eastAsia="仿宋" w:cs="仿宋"/>
          <w:sz w:val="32"/>
          <w:szCs w:val="32"/>
        </w:rPr>
        <w:t>增加</w:t>
      </w:r>
      <w:r>
        <w:rPr>
          <w:rFonts w:hint="eastAsia" w:ascii="仿宋" w:hAnsi="仿宋" w:eastAsia="仿宋" w:cs="仿宋"/>
          <w:sz w:val="32"/>
          <w:szCs w:val="32"/>
        </w:rPr>
        <w:t>10.29万元，</w:t>
      </w:r>
      <w:r>
        <w:rPr>
          <w:rFonts w:ascii="仿宋" w:hAnsi="仿宋" w:eastAsia="仿宋" w:cs="仿宋"/>
          <w:sz w:val="32"/>
          <w:szCs w:val="32"/>
        </w:rPr>
        <w:t>增长</w:t>
      </w:r>
      <w:r>
        <w:rPr>
          <w:rFonts w:hint="eastAsia" w:ascii="仿宋" w:hAnsi="仿宋" w:eastAsia="仿宋" w:cs="仿宋"/>
          <w:sz w:val="32"/>
          <w:szCs w:val="32"/>
        </w:rPr>
        <w:t>68.97</w:t>
      </w:r>
      <w:r>
        <w:rPr>
          <w:rFonts w:ascii="仿宋" w:hAnsi="仿宋" w:eastAsia="仿宋" w:cs="仿宋"/>
          <w:sz w:val="32"/>
          <w:szCs w:val="32"/>
        </w:rPr>
        <w:t>%</w:t>
      </w:r>
      <w:r>
        <w:rPr>
          <w:rFonts w:hint="eastAsia" w:ascii="仿宋" w:hAnsi="仿宋" w:eastAsia="仿宋" w:cs="仿宋"/>
          <w:sz w:val="32"/>
          <w:szCs w:val="32"/>
        </w:rPr>
        <w:t>。原因是：2021年公车补贴记入工资福利支出，2022年公车补贴记入商品服务支出的其他交通费。</w:t>
      </w:r>
    </w:p>
    <w:p>
      <w:pPr>
        <w:jc w:val="left"/>
        <w:rPr>
          <w:rFonts w:ascii="黑体" w:hAnsi="黑体" w:eastAsia="黑体" w:cs="黑体"/>
          <w:sz w:val="32"/>
          <w:szCs w:val="32"/>
        </w:rPr>
      </w:pPr>
      <w:r>
        <w:rPr>
          <w:rFonts w:hint="eastAsia" w:ascii="黑体" w:hAnsi="黑体" w:eastAsia="黑体" w:cs="黑体"/>
          <w:sz w:val="32"/>
          <w:szCs w:val="32"/>
        </w:rPr>
        <w:t>（二）政府采购支出情况说明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本部门2022年度政府采购支出总额200.08万元，其中：政府采购货物支出2.69万元、政府采购工程支出197.74万元、政府采购服务支出0万元。授予中小企业合同金额</w:t>
      </w:r>
      <w:r>
        <w:rPr>
          <w:rFonts w:ascii="仿宋" w:hAnsi="仿宋" w:eastAsia="仿宋" w:cs="仿宋"/>
          <w:sz w:val="32"/>
          <w:szCs w:val="32"/>
        </w:rPr>
        <w:t>0.00</w:t>
      </w:r>
      <w:r>
        <w:rPr>
          <w:rFonts w:hint="eastAsia" w:ascii="仿宋" w:hAnsi="仿宋" w:eastAsia="仿宋" w:cs="仿宋"/>
          <w:sz w:val="32"/>
          <w:szCs w:val="32"/>
        </w:rPr>
        <w:t>万元，占政府采购支出总额的</w:t>
      </w:r>
      <w:r>
        <w:rPr>
          <w:rFonts w:ascii="仿宋" w:hAnsi="仿宋" w:eastAsia="仿宋" w:cs="仿宋"/>
          <w:sz w:val="32"/>
          <w:szCs w:val="32"/>
        </w:rPr>
        <w:t>0.00%</w:t>
      </w:r>
      <w:r>
        <w:rPr>
          <w:rFonts w:hint="eastAsia" w:ascii="仿宋" w:hAnsi="仿宋" w:eastAsia="仿宋" w:cs="仿宋"/>
          <w:sz w:val="32"/>
          <w:szCs w:val="32"/>
        </w:rPr>
        <w:t>，其中：授予小微企业合同金额</w:t>
      </w:r>
      <w:r>
        <w:rPr>
          <w:rFonts w:ascii="仿宋" w:hAnsi="仿宋" w:eastAsia="仿宋" w:cs="仿宋"/>
          <w:sz w:val="32"/>
          <w:szCs w:val="32"/>
        </w:rPr>
        <w:t>0.00</w:t>
      </w:r>
      <w:r>
        <w:rPr>
          <w:rFonts w:hint="eastAsia" w:ascii="仿宋" w:hAnsi="仿宋" w:eastAsia="仿宋" w:cs="仿宋"/>
          <w:sz w:val="32"/>
          <w:szCs w:val="32"/>
        </w:rPr>
        <w:t>万元，占授予中小企业合同金额的</w:t>
      </w:r>
      <w:r>
        <w:rPr>
          <w:rFonts w:ascii="仿宋" w:hAnsi="仿宋" w:eastAsia="仿宋" w:cs="仿宋"/>
          <w:sz w:val="32"/>
          <w:szCs w:val="32"/>
        </w:rPr>
        <w:t>0%</w:t>
      </w:r>
      <w:r>
        <w:rPr>
          <w:rFonts w:hint="eastAsia" w:ascii="仿宋" w:hAnsi="仿宋" w:eastAsia="仿宋" w:cs="仿宋"/>
          <w:sz w:val="32"/>
          <w:szCs w:val="32"/>
        </w:rPr>
        <w:t>。</w:t>
      </w:r>
    </w:p>
    <w:p>
      <w:pPr>
        <w:jc w:val="left"/>
        <w:rPr>
          <w:rFonts w:ascii="仿宋" w:hAnsi="仿宋" w:eastAsia="仿宋" w:cs="仿宋"/>
          <w:sz w:val="32"/>
          <w:szCs w:val="32"/>
        </w:rPr>
      </w:pPr>
      <w:r>
        <w:rPr>
          <w:rFonts w:hint="eastAsia" w:ascii="黑体" w:hAnsi="黑体" w:eastAsia="黑体" w:cs="黑体"/>
          <w:sz w:val="32"/>
          <w:szCs w:val="32"/>
        </w:rPr>
        <w:t>（三）国有资产占用情况说明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截至2022年12月31日，本部门共有车辆</w:t>
      </w:r>
      <w:r>
        <w:rPr>
          <w:rFonts w:ascii="仿宋" w:hAnsi="仿宋" w:eastAsia="仿宋" w:cs="仿宋"/>
          <w:sz w:val="32"/>
          <w:szCs w:val="32"/>
        </w:rPr>
        <w:t>0</w:t>
      </w:r>
      <w:r>
        <w:rPr>
          <w:rFonts w:hint="eastAsia" w:ascii="仿宋" w:hAnsi="仿宋" w:eastAsia="仿宋" w:cs="仿宋"/>
          <w:sz w:val="32"/>
          <w:szCs w:val="32"/>
        </w:rPr>
        <w:t>辆，其中：副部（省）级领导干部用车</w:t>
      </w:r>
      <w:r>
        <w:rPr>
          <w:rFonts w:ascii="仿宋" w:hAnsi="仿宋" w:eastAsia="仿宋" w:cs="仿宋"/>
          <w:sz w:val="32"/>
          <w:szCs w:val="32"/>
        </w:rPr>
        <w:t>0</w:t>
      </w:r>
      <w:r>
        <w:rPr>
          <w:rFonts w:hint="eastAsia" w:ascii="仿宋" w:hAnsi="仿宋" w:eastAsia="仿宋" w:cs="仿宋"/>
          <w:sz w:val="32"/>
          <w:szCs w:val="32"/>
        </w:rPr>
        <w:t>辆、机要通信用车</w:t>
      </w:r>
      <w:r>
        <w:rPr>
          <w:rFonts w:ascii="仿宋" w:hAnsi="仿宋" w:eastAsia="仿宋" w:cs="仿宋"/>
          <w:sz w:val="32"/>
          <w:szCs w:val="32"/>
        </w:rPr>
        <w:t>0</w:t>
      </w:r>
      <w:r>
        <w:rPr>
          <w:rFonts w:hint="eastAsia" w:ascii="仿宋" w:hAnsi="仿宋" w:eastAsia="仿宋" w:cs="仿宋"/>
          <w:sz w:val="32"/>
          <w:szCs w:val="32"/>
        </w:rPr>
        <w:t>辆、应急保障用车</w:t>
      </w:r>
      <w:r>
        <w:rPr>
          <w:rFonts w:ascii="仿宋" w:hAnsi="仿宋" w:eastAsia="仿宋" w:cs="仿宋"/>
          <w:sz w:val="32"/>
          <w:szCs w:val="32"/>
        </w:rPr>
        <w:t>0</w:t>
      </w:r>
      <w:r>
        <w:rPr>
          <w:rFonts w:hint="eastAsia" w:ascii="仿宋" w:hAnsi="仿宋" w:eastAsia="仿宋" w:cs="仿宋"/>
          <w:sz w:val="32"/>
          <w:szCs w:val="32"/>
        </w:rPr>
        <w:t>辆、执法执勤用车</w:t>
      </w:r>
      <w:r>
        <w:rPr>
          <w:rFonts w:ascii="仿宋" w:hAnsi="仿宋" w:eastAsia="仿宋" w:cs="仿宋"/>
          <w:sz w:val="32"/>
          <w:szCs w:val="32"/>
        </w:rPr>
        <w:t>0</w:t>
      </w:r>
      <w:r>
        <w:rPr>
          <w:rFonts w:hint="eastAsia" w:ascii="仿宋" w:hAnsi="仿宋" w:eastAsia="仿宋" w:cs="仿宋"/>
          <w:sz w:val="32"/>
          <w:szCs w:val="32"/>
        </w:rPr>
        <w:t>辆、特种专业技术用车</w:t>
      </w:r>
      <w:r>
        <w:rPr>
          <w:rFonts w:ascii="仿宋" w:hAnsi="仿宋" w:eastAsia="仿宋" w:cs="仿宋"/>
          <w:sz w:val="32"/>
          <w:szCs w:val="32"/>
        </w:rPr>
        <w:t>0</w:t>
      </w:r>
      <w:r>
        <w:rPr>
          <w:rFonts w:hint="eastAsia" w:ascii="仿宋" w:hAnsi="仿宋" w:eastAsia="仿宋" w:cs="仿宋"/>
          <w:sz w:val="32"/>
          <w:szCs w:val="32"/>
        </w:rPr>
        <w:t>辆、其他用车</w:t>
      </w:r>
      <w:r>
        <w:rPr>
          <w:rFonts w:ascii="仿宋" w:hAnsi="仿宋" w:eastAsia="仿宋" w:cs="仿宋"/>
          <w:sz w:val="32"/>
          <w:szCs w:val="32"/>
        </w:rPr>
        <w:t>0</w:t>
      </w:r>
      <w:r>
        <w:rPr>
          <w:rFonts w:hint="eastAsia" w:ascii="仿宋" w:hAnsi="仿宋" w:eastAsia="仿宋" w:cs="仿宋"/>
          <w:sz w:val="32"/>
          <w:szCs w:val="32"/>
        </w:rPr>
        <w:t>辆；单位价值50万元以上通用设备</w:t>
      </w:r>
      <w:r>
        <w:rPr>
          <w:rFonts w:ascii="仿宋" w:hAnsi="仿宋" w:eastAsia="仿宋" w:cs="仿宋"/>
          <w:sz w:val="32"/>
          <w:szCs w:val="32"/>
        </w:rPr>
        <w:t>0</w:t>
      </w:r>
      <w:r>
        <w:rPr>
          <w:rFonts w:hint="eastAsia" w:ascii="仿宋" w:hAnsi="仿宋" w:eastAsia="仿宋" w:cs="仿宋"/>
          <w:sz w:val="32"/>
          <w:szCs w:val="32"/>
        </w:rPr>
        <w:t>台（套）；单位价值100万元以上专用设备</w:t>
      </w:r>
      <w:r>
        <w:rPr>
          <w:rFonts w:ascii="仿宋" w:hAnsi="仿宋" w:eastAsia="仿宋" w:cs="仿宋"/>
          <w:sz w:val="32"/>
          <w:szCs w:val="32"/>
        </w:rPr>
        <w:t>0</w:t>
      </w:r>
      <w:r>
        <w:rPr>
          <w:rFonts w:hint="eastAsia" w:ascii="仿宋" w:hAnsi="仿宋" w:eastAsia="仿宋" w:cs="仿宋"/>
          <w:sz w:val="32"/>
          <w:szCs w:val="32"/>
        </w:rPr>
        <w:t>台（套）。</w:t>
      </w:r>
    </w:p>
    <w:p>
      <w:pPr>
        <w:jc w:val="left"/>
        <w:rPr>
          <w:rFonts w:ascii="仿宋" w:hAnsi="仿宋" w:eastAsia="仿宋" w:cs="仿宋"/>
          <w:sz w:val="32"/>
          <w:szCs w:val="32"/>
        </w:rPr>
      </w:pPr>
      <w:r>
        <w:rPr>
          <w:rFonts w:hint="eastAsia" w:ascii="黑体" w:hAnsi="黑体" w:eastAsia="黑体" w:cs="黑体"/>
          <w:sz w:val="32"/>
          <w:szCs w:val="32"/>
        </w:rPr>
        <w:t>（四）预算绩效管理工作开展情况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1.绩效管理工作开展情况。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根据财政预算管理要求，本部门组织对2022年度一般公共预算项目支出全面开展绩效自评。其中，一等项目12个，二等项目9个，共涉及资金931.75万元，占一般公共预算项目支出总额的53.20%。组织对2022年度1个政府性基金预算项目支出开展绩效自评，共涉及资金187.53万元，占政府性基金预算项目支出总额的100%。组织对2022年度0个国有资本经营预算项目支出开展绩效自评，共涉及资金0万元，占国有资本经营预算项目支出总额的0%</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组织对“综合项目资金、"两高、两道“及主要公路沿线示范带建设项目、2022年既有住宅加装电梯自治区本级财政补助资金”项目等3个项目进行了部门评价，涉及一般公共预算支出490万元，政府性基金预算支出187.53万元，国有资本经营预算支出0万元。从评价情况来看，一、综合项目资金的评价结果为一等项目、"两高、两道“及主要公路沿线示范带建设项目的评价结果为一等项目、2022年既有住宅加装电梯自治区本级财政补助资金”项目的评价结果为一等项目。</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组织对1个部门（单位）开展整体支出绩效评价试点，涉及一般公共预算支出1509.83万元，政府性基金预算支出187.53万元。从评价情况来看，执行率为78.26%，评价结果为四等。</w:t>
      </w:r>
    </w:p>
    <w:p>
      <w:pPr>
        <w:numPr>
          <w:ilvl w:val="0"/>
          <w:numId w:val="2"/>
        </w:numPr>
        <w:ind w:firstLine="640" w:firstLineChars="200"/>
        <w:jc w:val="left"/>
        <w:rPr>
          <w:rFonts w:ascii="仿宋" w:hAnsi="仿宋" w:eastAsia="仿宋" w:cs="仿宋"/>
          <w:sz w:val="32"/>
          <w:szCs w:val="32"/>
        </w:rPr>
      </w:pPr>
      <w:r>
        <w:rPr>
          <w:rFonts w:hint="eastAsia" w:ascii="仿宋" w:hAnsi="仿宋" w:eastAsia="仿宋" w:cs="仿宋"/>
          <w:sz w:val="32"/>
          <w:szCs w:val="32"/>
        </w:rPr>
        <w:t>部门决算中项目绩效自评结果</w:t>
      </w:r>
    </w:p>
    <w:p>
      <w:pPr>
        <w:jc w:val="left"/>
        <w:rPr>
          <w:rFonts w:ascii="仿宋" w:hAnsi="仿宋" w:eastAsia="仿宋" w:cs="仿宋"/>
          <w:sz w:val="32"/>
          <w:szCs w:val="32"/>
        </w:rPr>
      </w:pPr>
      <w:r>
        <w:rPr>
          <w:rFonts w:hint="eastAsia" w:ascii="仿宋" w:hAnsi="仿宋" w:eastAsia="仿宋" w:cs="仿宋"/>
          <w:sz w:val="32"/>
          <w:szCs w:val="32"/>
        </w:rPr>
        <w:t>我部门根据年初设定的绩效目标，项目自评得分为83.16分。发现的主要问题及原因：一是财政资金紧张；二是工作人员不及时收集项目材料。下一步改进措施：一是催促财政尽快落实资金；二是督促工作人员尽快收集材料。</w:t>
      </w:r>
    </w:p>
    <w:p>
      <w:pPr>
        <w:jc w:val="left"/>
        <w:rPr>
          <w:rFonts w:ascii="仿宋" w:hAnsi="仿宋" w:eastAsia="仿宋" w:cs="仿宋"/>
          <w:sz w:val="32"/>
          <w:szCs w:val="32"/>
        </w:rPr>
      </w:pPr>
    </w:p>
    <w:p>
      <w:pPr>
        <w:jc w:val="center"/>
        <w:rPr>
          <w:rFonts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一、财政拨款收入：指</w:t>
      </w:r>
      <w:r>
        <w:rPr>
          <w:rFonts w:hint="eastAsia" w:ascii="仿宋" w:hAnsi="仿宋" w:eastAsia="仿宋" w:cs="仿宋"/>
          <w:sz w:val="32"/>
        </w:rPr>
        <w:t>环江毛南族自治县</w:t>
      </w:r>
      <w:r>
        <w:rPr>
          <w:rFonts w:ascii="仿宋" w:hAnsi="仿宋" w:eastAsia="仿宋" w:cs="仿宋"/>
          <w:sz w:val="32"/>
        </w:rPr>
        <w:t>财政部门当年拨付的资金。</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二、事业收入：指事业单位开展专业业务活动及辅助活动所取得的收入。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四、其他收入：指除上述“财政拨款收入”“事业收入”“经营收入”等以外的收入。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六、年初结转和结余：指以前年度尚未完成、结转到本年 按有关规定继续使用的资金。</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九、基本支出：指为保障机构正常运转、完成日常工作任务而发生的人员支出和公用支出。 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十、项目支出：指在基本支出之外为完成特定行政任务和事业发展目标所发生的支出。 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十二、“三公”经费：纳入</w:t>
      </w:r>
      <w:r>
        <w:rPr>
          <w:rFonts w:hint="eastAsia" w:ascii="仿宋" w:hAnsi="仿宋" w:eastAsia="仿宋" w:cs="仿宋"/>
          <w:sz w:val="32"/>
        </w:rPr>
        <w:t>环江毛南族自治县</w:t>
      </w:r>
      <w:r>
        <w:rPr>
          <w:rFonts w:ascii="仿宋" w:hAnsi="仿宋" w:eastAsia="仿宋" w:cs="仿宋"/>
          <w:sz w:val="32"/>
        </w:rPr>
        <w:t>财政预决算管理的“三公”经费，是指</w:t>
      </w:r>
      <w:r>
        <w:rPr>
          <w:rFonts w:hint="eastAsia" w:ascii="仿宋" w:hAnsi="仿宋" w:eastAsia="仿宋" w:cs="仿宋"/>
          <w:sz w:val="32"/>
        </w:rPr>
        <w:t>环江毛南族自治县</w:t>
      </w:r>
      <w:r>
        <w:rPr>
          <w:rFonts w:ascii="仿宋" w:hAnsi="仿宋" w:eastAsia="仿宋" w:cs="仿宋"/>
          <w:sz w:val="32"/>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1726B55B"/>
    <w:multiLevelType w:val="singleLevel"/>
    <w:tmpl w:val="1726B55B"/>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62C43"/>
    <w:rsid w:val="00275CAB"/>
    <w:rsid w:val="0028709C"/>
    <w:rsid w:val="0029328F"/>
    <w:rsid w:val="002B2731"/>
    <w:rsid w:val="00371DE9"/>
    <w:rsid w:val="00382867"/>
    <w:rsid w:val="003A4973"/>
    <w:rsid w:val="003C1C96"/>
    <w:rsid w:val="003C69F8"/>
    <w:rsid w:val="003E40BA"/>
    <w:rsid w:val="003E7165"/>
    <w:rsid w:val="0041579D"/>
    <w:rsid w:val="00427074"/>
    <w:rsid w:val="00434D04"/>
    <w:rsid w:val="004C4D73"/>
    <w:rsid w:val="004D7D0E"/>
    <w:rsid w:val="005234F5"/>
    <w:rsid w:val="00531745"/>
    <w:rsid w:val="00574196"/>
    <w:rsid w:val="005E3A02"/>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C4B3F"/>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71513"/>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77144A1"/>
    <w:rsid w:val="07B0770E"/>
    <w:rsid w:val="0942143F"/>
    <w:rsid w:val="097069CA"/>
    <w:rsid w:val="0A9E3B9B"/>
    <w:rsid w:val="0C1B2876"/>
    <w:rsid w:val="0CA248CE"/>
    <w:rsid w:val="0D100297"/>
    <w:rsid w:val="0D202B45"/>
    <w:rsid w:val="0F4D36F0"/>
    <w:rsid w:val="0F8D4C87"/>
    <w:rsid w:val="10505FAA"/>
    <w:rsid w:val="105F7E7E"/>
    <w:rsid w:val="11E56B5B"/>
    <w:rsid w:val="125C77AB"/>
    <w:rsid w:val="14CB726E"/>
    <w:rsid w:val="17E92249"/>
    <w:rsid w:val="18D304F1"/>
    <w:rsid w:val="19F32577"/>
    <w:rsid w:val="19F45B80"/>
    <w:rsid w:val="1B0C078D"/>
    <w:rsid w:val="1B2B31E2"/>
    <w:rsid w:val="1B4C295A"/>
    <w:rsid w:val="1B973C63"/>
    <w:rsid w:val="1BA1001E"/>
    <w:rsid w:val="1D317259"/>
    <w:rsid w:val="1E664F5B"/>
    <w:rsid w:val="1EB34BE1"/>
    <w:rsid w:val="1F8244FF"/>
    <w:rsid w:val="215E639F"/>
    <w:rsid w:val="21EC3183"/>
    <w:rsid w:val="225E72CD"/>
    <w:rsid w:val="246E2F77"/>
    <w:rsid w:val="254B4E2B"/>
    <w:rsid w:val="283D7C94"/>
    <w:rsid w:val="28847B3E"/>
    <w:rsid w:val="28F60687"/>
    <w:rsid w:val="29480E03"/>
    <w:rsid w:val="2983634D"/>
    <w:rsid w:val="2BB02055"/>
    <w:rsid w:val="2C575A56"/>
    <w:rsid w:val="2F257714"/>
    <w:rsid w:val="2F3275E5"/>
    <w:rsid w:val="30AA08EF"/>
    <w:rsid w:val="30D23D1C"/>
    <w:rsid w:val="31221CF5"/>
    <w:rsid w:val="31400178"/>
    <w:rsid w:val="321E3342"/>
    <w:rsid w:val="327759C8"/>
    <w:rsid w:val="33185FE3"/>
    <w:rsid w:val="34EE2E36"/>
    <w:rsid w:val="36777241"/>
    <w:rsid w:val="38A951DB"/>
    <w:rsid w:val="38B31605"/>
    <w:rsid w:val="39003F4F"/>
    <w:rsid w:val="3C07002B"/>
    <w:rsid w:val="3D0D152A"/>
    <w:rsid w:val="3DF62756"/>
    <w:rsid w:val="3E91435A"/>
    <w:rsid w:val="3F1B7587"/>
    <w:rsid w:val="41311E8F"/>
    <w:rsid w:val="41E57B4F"/>
    <w:rsid w:val="432F26F6"/>
    <w:rsid w:val="43880F63"/>
    <w:rsid w:val="441C5A6F"/>
    <w:rsid w:val="44C44FCC"/>
    <w:rsid w:val="44CC7369"/>
    <w:rsid w:val="457F5108"/>
    <w:rsid w:val="459078BC"/>
    <w:rsid w:val="465929BB"/>
    <w:rsid w:val="46951B6B"/>
    <w:rsid w:val="49A34401"/>
    <w:rsid w:val="4A3E30AB"/>
    <w:rsid w:val="4A6C32C2"/>
    <w:rsid w:val="4AC14DAC"/>
    <w:rsid w:val="4D154C85"/>
    <w:rsid w:val="4EC8553A"/>
    <w:rsid w:val="508F4E24"/>
    <w:rsid w:val="510569D4"/>
    <w:rsid w:val="51461E90"/>
    <w:rsid w:val="51463753"/>
    <w:rsid w:val="52553A93"/>
    <w:rsid w:val="528B4ED9"/>
    <w:rsid w:val="53521F8B"/>
    <w:rsid w:val="53E22F47"/>
    <w:rsid w:val="54522FF8"/>
    <w:rsid w:val="55450629"/>
    <w:rsid w:val="56692963"/>
    <w:rsid w:val="568B0F48"/>
    <w:rsid w:val="5786217B"/>
    <w:rsid w:val="59337A15"/>
    <w:rsid w:val="59810274"/>
    <w:rsid w:val="5C7F2E38"/>
    <w:rsid w:val="5C81772C"/>
    <w:rsid w:val="5CA96A00"/>
    <w:rsid w:val="5CF730BC"/>
    <w:rsid w:val="5E5F0DCE"/>
    <w:rsid w:val="5FA40A7B"/>
    <w:rsid w:val="5FD56D29"/>
    <w:rsid w:val="5FEC7F3F"/>
    <w:rsid w:val="60F74BC3"/>
    <w:rsid w:val="617D3BF8"/>
    <w:rsid w:val="61841F6A"/>
    <w:rsid w:val="623007A9"/>
    <w:rsid w:val="637D7558"/>
    <w:rsid w:val="644F19AC"/>
    <w:rsid w:val="65AA4920"/>
    <w:rsid w:val="67694F1E"/>
    <w:rsid w:val="68322380"/>
    <w:rsid w:val="69597934"/>
    <w:rsid w:val="6B964DDC"/>
    <w:rsid w:val="6C783074"/>
    <w:rsid w:val="6CF13496"/>
    <w:rsid w:val="6D9E65C6"/>
    <w:rsid w:val="6DA81947"/>
    <w:rsid w:val="6EB66DE2"/>
    <w:rsid w:val="6ED3075F"/>
    <w:rsid w:val="6F2A2D4B"/>
    <w:rsid w:val="6F8A0C1E"/>
    <w:rsid w:val="703F45D4"/>
    <w:rsid w:val="70527CD6"/>
    <w:rsid w:val="70C52A4C"/>
    <w:rsid w:val="715D6546"/>
    <w:rsid w:val="71BE069E"/>
    <w:rsid w:val="73953409"/>
    <w:rsid w:val="73E069A3"/>
    <w:rsid w:val="78104AA8"/>
    <w:rsid w:val="787C3AD6"/>
    <w:rsid w:val="78E257C5"/>
    <w:rsid w:val="794B35BE"/>
    <w:rsid w:val="7B0A3A31"/>
    <w:rsid w:val="7B3360ED"/>
    <w:rsid w:val="7B5319F3"/>
    <w:rsid w:val="7BDF037E"/>
    <w:rsid w:val="7BF50948"/>
    <w:rsid w:val="7CE66A78"/>
    <w:rsid w:val="7D23564C"/>
    <w:rsid w:val="7D2367D6"/>
    <w:rsid w:val="7D5E062D"/>
    <w:rsid w:val="7DAA2978"/>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hart" Target="charts/chart14.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4.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1563.83</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Sheet1!$C$1</c:f>
              <c:strCache>
                <c:ptCount val="1"/>
                <c:pt idx="0">
                  <c:v>科目代码</c:v>
                </c:pt>
              </c:strCache>
            </c:strRef>
          </c:tx>
          <c:spPr>
            <a:solidFill>
              <a:schemeClr val="accent1"/>
            </a:solidFill>
            <a:ln>
              <a:noFill/>
            </a:ln>
            <a:effectLst/>
          </c:spPr>
          <c:invertIfNegative val="0"/>
          <c:dLbls>
            <c:delete val="1"/>
          </c:dLbls>
          <c:cat>
            <c:numRef>
              <c:f>Sheet1!$A$2:$A$29</c:f>
              <c:numCache>
                <c:formatCode>General</c:formatCode>
                <c:ptCount val="28"/>
                <c:pt idx="0">
                  <c:v>302</c:v>
                </c:pt>
                <c:pt idx="1">
                  <c:v>30201</c:v>
                </c:pt>
                <c:pt idx="2">
                  <c:v>30202</c:v>
                </c:pt>
                <c:pt idx="3">
                  <c:v>30203</c:v>
                </c:pt>
                <c:pt idx="4">
                  <c:v>30204</c:v>
                </c:pt>
                <c:pt idx="5">
                  <c:v>30205</c:v>
                </c:pt>
                <c:pt idx="6">
                  <c:v>30206</c:v>
                </c:pt>
                <c:pt idx="7">
                  <c:v>30207</c:v>
                </c:pt>
                <c:pt idx="8">
                  <c:v>30208</c:v>
                </c:pt>
                <c:pt idx="9">
                  <c:v>30209</c:v>
                </c:pt>
                <c:pt idx="10">
                  <c:v>30211</c:v>
                </c:pt>
                <c:pt idx="11">
                  <c:v>30212</c:v>
                </c:pt>
                <c:pt idx="12">
                  <c:v>30213</c:v>
                </c:pt>
                <c:pt idx="13">
                  <c:v>30214</c:v>
                </c:pt>
                <c:pt idx="14">
                  <c:v>30215</c:v>
                </c:pt>
                <c:pt idx="15">
                  <c:v>30216</c:v>
                </c:pt>
                <c:pt idx="16">
                  <c:v>30217</c:v>
                </c:pt>
                <c:pt idx="17">
                  <c:v>30218</c:v>
                </c:pt>
                <c:pt idx="18">
                  <c:v>30224</c:v>
                </c:pt>
                <c:pt idx="19">
                  <c:v>30225</c:v>
                </c:pt>
                <c:pt idx="20">
                  <c:v>30226</c:v>
                </c:pt>
                <c:pt idx="21">
                  <c:v>30227</c:v>
                </c:pt>
                <c:pt idx="22">
                  <c:v>30228</c:v>
                </c:pt>
                <c:pt idx="23">
                  <c:v>30229</c:v>
                </c:pt>
                <c:pt idx="24">
                  <c:v>30231</c:v>
                </c:pt>
                <c:pt idx="25">
                  <c:v>30239</c:v>
                </c:pt>
                <c:pt idx="26">
                  <c:v>30240</c:v>
                </c:pt>
                <c:pt idx="27">
                  <c:v>30299</c:v>
                </c:pt>
              </c:numCache>
            </c:numRef>
          </c:cat>
          <c:val>
            <c:numRef>
              <c:f>Sheet1!$C$2:$C$29</c:f>
              <c:numCache>
                <c:formatCode>#,##0.00</c:formatCode>
                <c:ptCount val="28"/>
                <c:pt idx="0">
                  <c:v>25.21</c:v>
                </c:pt>
                <c:pt idx="1">
                  <c:v>1.81</c:v>
                </c:pt>
                <c:pt idx="2">
                  <c:v>0</c:v>
                </c:pt>
                <c:pt idx="3">
                  <c:v>0</c:v>
                </c:pt>
                <c:pt idx="4">
                  <c:v>0</c:v>
                </c:pt>
                <c:pt idx="5">
                  <c:v>0.06</c:v>
                </c:pt>
                <c:pt idx="6">
                  <c:v>0.28</c:v>
                </c:pt>
                <c:pt idx="7">
                  <c:v>1.77</c:v>
                </c:pt>
                <c:pt idx="8">
                  <c:v>0</c:v>
                </c:pt>
                <c:pt idx="9">
                  <c:v>0</c:v>
                </c:pt>
                <c:pt idx="10">
                  <c:v>0</c:v>
                </c:pt>
                <c:pt idx="11">
                  <c:v>0</c:v>
                </c:pt>
                <c:pt idx="12">
                  <c:v>0</c:v>
                </c:pt>
                <c:pt idx="13">
                  <c:v>0</c:v>
                </c:pt>
                <c:pt idx="14">
                  <c:v>0.39</c:v>
                </c:pt>
                <c:pt idx="15">
                  <c:v>0</c:v>
                </c:pt>
                <c:pt idx="16">
                  <c:v>0</c:v>
                </c:pt>
                <c:pt idx="17">
                  <c:v>0</c:v>
                </c:pt>
                <c:pt idx="18">
                  <c:v>0</c:v>
                </c:pt>
                <c:pt idx="19">
                  <c:v>0</c:v>
                </c:pt>
                <c:pt idx="20">
                  <c:v>0</c:v>
                </c:pt>
                <c:pt idx="21">
                  <c:v>0</c:v>
                </c:pt>
                <c:pt idx="22">
                  <c:v>4.81</c:v>
                </c:pt>
                <c:pt idx="23">
                  <c:v>0</c:v>
                </c:pt>
                <c:pt idx="24">
                  <c:v>0</c:v>
                </c:pt>
                <c:pt idx="25">
                  <c:v>16.08</c:v>
                </c:pt>
                <c:pt idx="26">
                  <c:v>0</c:v>
                </c:pt>
                <c:pt idx="27">
                  <c:v>0.02</c:v>
                </c:pt>
              </c:numCache>
            </c:numRef>
          </c:val>
        </c:ser>
        <c:dLbls>
          <c:showLegendKey val="0"/>
          <c:showVal val="0"/>
          <c:showCatName val="0"/>
          <c:showSerName val="0"/>
          <c:showPercent val="0"/>
          <c:showBubbleSize val="0"/>
        </c:dLbls>
        <c:gapWidth val="219"/>
        <c:overlap val="-27"/>
        <c:axId val="206905344"/>
        <c:axId val="206906880"/>
      </c:barChart>
      <c:catAx>
        <c:axId val="20690534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6906880"/>
        <c:crosses val="autoZero"/>
        <c:auto val="1"/>
        <c:lblAlgn val="ctr"/>
        <c:lblOffset val="100"/>
        <c:noMultiLvlLbl val="0"/>
      </c:catAx>
      <c:valAx>
        <c:axId val="2069068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69053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manualLayout>
          <c:layoutTarget val="inner"/>
          <c:xMode val="edge"/>
          <c:yMode val="edge"/>
          <c:x val="0.0592592592592593"/>
          <c:y val="0.169431279620853"/>
          <c:w val="0.895683022686188"/>
          <c:h val="0.598815165876777"/>
        </c:manualLayout>
      </c:layout>
      <c:barChart>
        <c:barDir val="col"/>
        <c:grouping val="clustered"/>
        <c:varyColors val="0"/>
        <c:ser>
          <c:idx val="0"/>
          <c:order val="0"/>
          <c:tx>
            <c:strRef>
              <c:f>Sheet1!$C$1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303</c:v>
                </c:pt>
                <c:pt idx="1">
                  <c:v>30301</c:v>
                </c:pt>
                <c:pt idx="2">
                  <c:v>30302</c:v>
                </c:pt>
                <c:pt idx="3">
                  <c:v>30303</c:v>
                </c:pt>
                <c:pt idx="4">
                  <c:v>30304</c:v>
                </c:pt>
                <c:pt idx="5">
                  <c:v>30305</c:v>
                </c:pt>
                <c:pt idx="6">
                  <c:v>30306</c:v>
                </c:pt>
                <c:pt idx="7">
                  <c:v>30307</c:v>
                </c:pt>
                <c:pt idx="8">
                  <c:v>30308</c:v>
                </c:pt>
                <c:pt idx="9">
                  <c:v>30309</c:v>
                </c:pt>
                <c:pt idx="10">
                  <c:v>30310</c:v>
                </c:pt>
                <c:pt idx="11">
                  <c:v>30311</c:v>
                </c:pt>
                <c:pt idx="12">
                  <c:v>30399</c:v>
                </c:pt>
              </c:numCache>
            </c:numRef>
          </c:cat>
          <c:val>
            <c:numRef>
              <c:f>Sheet1!$C$2:$C$14</c:f>
              <c:numCache>
                <c:formatCode>#,##0.00</c:formatCode>
                <c:ptCount val="13"/>
                <c:pt idx="0">
                  <c:v>12.26</c:v>
                </c:pt>
                <c:pt idx="1">
                  <c:v>0</c:v>
                </c:pt>
                <c:pt idx="2">
                  <c:v>0</c:v>
                </c:pt>
                <c:pt idx="3">
                  <c:v>0</c:v>
                </c:pt>
                <c:pt idx="4">
                  <c:v>0.76</c:v>
                </c:pt>
                <c:pt idx="5">
                  <c:v>11.49</c:v>
                </c:pt>
                <c:pt idx="6">
                  <c:v>0</c:v>
                </c:pt>
                <c:pt idx="7">
                  <c:v>0</c:v>
                </c:pt>
                <c:pt idx="8">
                  <c:v>0</c:v>
                </c:pt>
                <c:pt idx="9">
                  <c:v>0.01</c:v>
                </c:pt>
                <c:pt idx="10">
                  <c:v>0</c:v>
                </c:pt>
                <c:pt idx="11">
                  <c:v>0</c:v>
                </c:pt>
                <c:pt idx="12">
                  <c:v>0</c:v>
                </c:pt>
              </c:numCache>
            </c:numRef>
          </c:val>
        </c:ser>
        <c:dLbls>
          <c:showLegendKey val="0"/>
          <c:showVal val="0"/>
          <c:showCatName val="0"/>
          <c:showSerName val="0"/>
          <c:showPercent val="0"/>
          <c:showBubbleSize val="0"/>
        </c:dLbls>
        <c:gapWidth val="219"/>
        <c:overlap val="-27"/>
        <c:axId val="206894592"/>
        <c:axId val="206896128"/>
      </c:barChart>
      <c:catAx>
        <c:axId val="20689459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6896128"/>
        <c:crosses val="autoZero"/>
        <c:auto val="1"/>
        <c:lblAlgn val="ctr"/>
        <c:lblOffset val="100"/>
        <c:noMultiLvlLbl val="0"/>
      </c:catAx>
      <c:valAx>
        <c:axId val="2068961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68945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207731712"/>
        <c:axId val="207741696"/>
      </c:barChart>
      <c:catAx>
        <c:axId val="20773171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7741696"/>
        <c:crosses val="autoZero"/>
        <c:auto val="1"/>
        <c:lblAlgn val="ctr"/>
        <c:lblOffset val="100"/>
        <c:noMultiLvlLbl val="0"/>
      </c:catAx>
      <c:valAx>
        <c:axId val="20774169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77317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207377152"/>
        <c:axId val="207378688"/>
      </c:barChart>
      <c:catAx>
        <c:axId val="2073771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7378688"/>
        <c:crosses val="autoZero"/>
        <c:auto val="1"/>
        <c:lblAlgn val="ctr"/>
        <c:lblOffset val="100"/>
        <c:noMultiLvlLbl val="0"/>
      </c:catAx>
      <c:valAx>
        <c:axId val="20737868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73771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2299</c:v>
                </c:pt>
                <c:pt idx="1">
                  <c:v>22999</c:v>
                </c:pt>
                <c:pt idx="2">
                  <c:v>2299999</c:v>
                </c:pt>
              </c:numCache>
            </c:numRef>
          </c:cat>
          <c:val>
            <c:numRef>
              <c:f>Sheet1!$B$2:$B$6</c:f>
              <c:numCache>
                <c:formatCode>General</c:formatCode>
                <c:ptCount val="5"/>
                <c:pt idx="0">
                  <c:v>136.97</c:v>
                </c:pt>
                <c:pt idx="1">
                  <c:v>136.97</c:v>
                </c:pt>
                <c:pt idx="2">
                  <c:v>136.97</c:v>
                </c:pt>
                <c:pt idx="3">
                  <c:v>0</c:v>
                </c:pt>
                <c:pt idx="4">
                  <c:v>0</c:v>
                </c:pt>
              </c:numCache>
            </c:numRef>
          </c:val>
        </c:ser>
        <c:dLbls>
          <c:showLegendKey val="0"/>
          <c:showVal val="0"/>
          <c:showCatName val="0"/>
          <c:showSerName val="0"/>
          <c:showPercent val="0"/>
          <c:showBubbleSize val="0"/>
        </c:dLbls>
        <c:gapWidth val="219"/>
        <c:overlap val="-27"/>
        <c:axId val="207857920"/>
        <c:axId val="207867904"/>
      </c:barChart>
      <c:catAx>
        <c:axId val="207857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7867904"/>
        <c:crosses val="autoZero"/>
        <c:auto val="1"/>
        <c:lblAlgn val="ctr"/>
        <c:lblOffset val="100"/>
        <c:noMultiLvlLbl val="0"/>
      </c:catAx>
      <c:valAx>
        <c:axId val="20786790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7857920"/>
        <c:crosses val="autoZero"/>
        <c:crossBetween val="between"/>
      </c:valAx>
      <c:spPr>
        <a:noFill/>
        <a:ln w="25400">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教育支出</c:v>
                </c:pt>
                <c:pt idx="1">
                  <c:v>社会保障和就业支出</c:v>
                </c:pt>
                <c:pt idx="2">
                  <c:v>卫生健康支出</c:v>
                </c:pt>
                <c:pt idx="3">
                  <c:v>农林水支出</c:v>
                </c:pt>
                <c:pt idx="4">
                  <c:v>住房保障支出</c:v>
                </c:pt>
              </c:strCache>
            </c:strRef>
          </c:cat>
          <c:val>
            <c:numRef>
              <c:f>Sheet1!$B$2:$B$6</c:f>
              <c:numCache>
                <c:formatCode>General</c:formatCode>
                <c:ptCount val="5"/>
                <c:pt idx="0">
                  <c:v>0</c:v>
                </c:pt>
                <c:pt idx="1">
                  <c:v>40.5</c:v>
                </c:pt>
                <c:pt idx="2">
                  <c:v>0</c:v>
                </c:pt>
                <c:pt idx="3">
                  <c:v>0</c:v>
                </c:pt>
                <c:pt idx="4">
                  <c:v>42.57</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教育支出</c:v>
                </c:pt>
                <c:pt idx="1">
                  <c:v>社会保障和就业支出</c:v>
                </c:pt>
                <c:pt idx="2">
                  <c:v>卫生健康支出</c:v>
                </c:pt>
                <c:pt idx="3">
                  <c:v>农林水支出</c:v>
                </c:pt>
                <c:pt idx="4">
                  <c:v>住房保障支出</c:v>
                </c:pt>
              </c:strCache>
            </c:strRef>
          </c:cat>
          <c:val>
            <c:numRef>
              <c:f>Sheet1!$C$2:$C$6</c:f>
              <c:numCache>
                <c:formatCode>General</c:formatCode>
                <c:ptCount val="5"/>
                <c:pt idx="0">
                  <c:v>0</c:v>
                </c:pt>
                <c:pt idx="1">
                  <c:v>41.99</c:v>
                </c:pt>
                <c:pt idx="2">
                  <c:v>0</c:v>
                </c:pt>
                <c:pt idx="3">
                  <c:v>0</c:v>
                </c:pt>
                <c:pt idx="4">
                  <c:v>120.84</c:v>
                </c:pt>
              </c:numCache>
            </c:numRef>
          </c:val>
        </c:ser>
        <c:dLbls>
          <c:showLegendKey val="0"/>
          <c:showVal val="0"/>
          <c:showCatName val="0"/>
          <c:showSerName val="0"/>
          <c:showPercent val="0"/>
          <c:showBubbleSize val="0"/>
        </c:dLbls>
        <c:gapWidth val="219"/>
        <c:overlap val="-27"/>
        <c:axId val="200348032"/>
        <c:axId val="200349568"/>
      </c:barChart>
      <c:catAx>
        <c:axId val="20034803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0349568"/>
        <c:crosses val="autoZero"/>
        <c:auto val="1"/>
        <c:lblAlgn val="ctr"/>
        <c:lblOffset val="100"/>
        <c:noMultiLvlLbl val="0"/>
      </c:catAx>
      <c:valAx>
        <c:axId val="20034956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03480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20129</c:v>
                </c:pt>
                <c:pt idx="1">
                  <c:v>2012999</c:v>
                </c:pt>
              </c:numCache>
            </c:numRef>
          </c:cat>
          <c:val>
            <c:numRef>
              <c:f>Sheet1!$B$2:$B$3</c:f>
              <c:numCache>
                <c:formatCode>General</c:formatCode>
                <c:ptCount val="2"/>
                <c:pt idx="0">
                  <c:v>4.81</c:v>
                </c:pt>
                <c:pt idx="1">
                  <c:v>4.81</c:v>
                </c:pt>
              </c:numCache>
            </c:numRef>
          </c:val>
        </c:ser>
        <c:dLbls>
          <c:showLegendKey val="0"/>
          <c:showVal val="0"/>
          <c:showCatName val="0"/>
          <c:showSerName val="0"/>
          <c:showPercent val="0"/>
          <c:showBubbleSize val="0"/>
        </c:dLbls>
        <c:gapWidth val="219"/>
        <c:overlap val="-27"/>
        <c:axId val="200378240"/>
        <c:axId val="200379776"/>
      </c:barChart>
      <c:catAx>
        <c:axId val="20037824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0379776"/>
        <c:crosses val="autoZero"/>
        <c:auto val="1"/>
        <c:lblAlgn val="ctr"/>
        <c:lblOffset val="100"/>
        <c:noMultiLvlLbl val="0"/>
      </c:catAx>
      <c:valAx>
        <c:axId val="2003797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03782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科目代码</c:v>
                </c:pt>
              </c:strCache>
            </c:strRef>
          </c:tx>
          <c:invertIfNegative val="0"/>
          <c:dLbls>
            <c:delete val="1"/>
          </c:dLbls>
          <c:cat>
            <c:numRef>
              <c:f>Sheet1!$A$2:$A$3</c:f>
              <c:numCache>
                <c:formatCode>General</c:formatCode>
                <c:ptCount val="2"/>
                <c:pt idx="0">
                  <c:v>203</c:v>
                </c:pt>
                <c:pt idx="1">
                  <c:v>20306</c:v>
                </c:pt>
              </c:numCache>
            </c:numRef>
          </c:cat>
          <c:val>
            <c:numRef>
              <c:f>Sheet1!$B$2:$B$3</c:f>
              <c:numCache>
                <c:formatCode>General</c:formatCode>
                <c:ptCount val="2"/>
                <c:pt idx="0">
                  <c:v>27.61</c:v>
                </c:pt>
                <c:pt idx="1">
                  <c:v>27.61</c:v>
                </c:pt>
              </c:numCache>
            </c:numRef>
          </c:val>
        </c:ser>
        <c:dLbls>
          <c:showLegendKey val="0"/>
          <c:showVal val="0"/>
          <c:showCatName val="0"/>
          <c:showSerName val="0"/>
          <c:showPercent val="0"/>
          <c:showBubbleSize val="0"/>
        </c:dLbls>
        <c:gapWidth val="150"/>
        <c:axId val="201594368"/>
        <c:axId val="201595904"/>
      </c:barChart>
      <c:catAx>
        <c:axId val="201594368"/>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1595904"/>
        <c:crosses val="autoZero"/>
        <c:auto val="1"/>
        <c:lblAlgn val="ctr"/>
        <c:lblOffset val="100"/>
        <c:noMultiLvlLbl val="0"/>
      </c:catAx>
      <c:valAx>
        <c:axId val="20159590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159436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manualLayout>
          <c:layoutTarget val="inner"/>
          <c:xMode val="edge"/>
          <c:yMode val="edge"/>
          <c:x val="0.06990208599404"/>
          <c:y val="0.169431279620853"/>
          <c:w val="0.905264651624805"/>
          <c:h val="0.645616113744076"/>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Sheet1!$A$2:$A$4</c:f>
              <c:numCache>
                <c:formatCode>General</c:formatCode>
                <c:ptCount val="3"/>
                <c:pt idx="0">
                  <c:v>208</c:v>
                </c:pt>
                <c:pt idx="1">
                  <c:v>20805</c:v>
                </c:pt>
                <c:pt idx="2">
                  <c:v>2080505</c:v>
                </c:pt>
              </c:numCache>
            </c:numRef>
          </c:cat>
          <c:val>
            <c:numRef>
              <c:f>Sheet1!$B$2:$B$4</c:f>
              <c:numCache>
                <c:formatCode>General</c:formatCode>
                <c:ptCount val="3"/>
                <c:pt idx="0">
                  <c:v>41.99</c:v>
                </c:pt>
                <c:pt idx="1">
                  <c:v>41.99</c:v>
                </c:pt>
                <c:pt idx="2">
                  <c:v>41.99</c:v>
                </c:pt>
              </c:numCache>
            </c:numRef>
          </c:val>
        </c:ser>
        <c:dLbls>
          <c:showLegendKey val="0"/>
          <c:showVal val="0"/>
          <c:showCatName val="0"/>
          <c:showSerName val="0"/>
          <c:showPercent val="0"/>
          <c:showBubbleSize val="0"/>
        </c:dLbls>
        <c:gapWidth val="219"/>
        <c:overlap val="-27"/>
        <c:axId val="154235264"/>
        <c:axId val="154236800"/>
      </c:barChart>
      <c:catAx>
        <c:axId val="15423526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4236800"/>
        <c:crosses val="autoZero"/>
        <c:auto val="1"/>
        <c:lblAlgn val="ctr"/>
        <c:lblOffset val="100"/>
        <c:noMultiLvlLbl val="0"/>
      </c:catAx>
      <c:valAx>
        <c:axId val="1542368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42352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43011210444161"/>
          <c:y val="0.0404818325434439"/>
          <c:w val="0.892351355186604"/>
          <c:h val="0.771603475513428"/>
        </c:manualLayout>
      </c:layout>
      <c:barChart>
        <c:barDir val="col"/>
        <c:grouping val="clustered"/>
        <c:varyColors val="0"/>
        <c:ser>
          <c:idx val="0"/>
          <c:order val="0"/>
          <c:tx>
            <c:strRef>
              <c:f>Sheet1!$C$1</c:f>
              <c:strCache>
                <c:ptCount val="1"/>
                <c:pt idx="0">
                  <c:v>科目代码</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Sheet1!$A$2:$A$6</c:f>
              <c:numCache>
                <c:formatCode>General</c:formatCode>
                <c:ptCount val="5"/>
                <c:pt idx="0">
                  <c:v>212</c:v>
                </c:pt>
                <c:pt idx="1">
                  <c:v>21201</c:v>
                </c:pt>
                <c:pt idx="2">
                  <c:v>2120101</c:v>
                </c:pt>
                <c:pt idx="3">
                  <c:v>2120199</c:v>
                </c:pt>
                <c:pt idx="4">
                  <c:v>21206</c:v>
                </c:pt>
              </c:numCache>
            </c:numRef>
          </c:cat>
          <c:val>
            <c:numRef>
              <c:f>Sheet1!$C$2:$C$6</c:f>
              <c:numCache>
                <c:formatCode>General</c:formatCode>
                <c:ptCount val="5"/>
                <c:pt idx="0">
                  <c:v>297.29</c:v>
                </c:pt>
                <c:pt idx="1">
                  <c:v>76.556</c:v>
                </c:pt>
                <c:pt idx="2">
                  <c:v>216.74</c:v>
                </c:pt>
                <c:pt idx="3">
                  <c:v>76.55</c:v>
                </c:pt>
                <c:pt idx="4">
                  <c:v>4</c:v>
                </c:pt>
              </c:numCache>
            </c:numRef>
          </c:val>
        </c:ser>
        <c:dLbls>
          <c:showLegendKey val="0"/>
          <c:showVal val="1"/>
          <c:showCatName val="0"/>
          <c:showSerName val="0"/>
          <c:showPercent val="0"/>
          <c:showBubbleSize val="0"/>
        </c:dLbls>
        <c:gapWidth val="219"/>
        <c:overlap val="-27"/>
        <c:axId val="206284672"/>
        <c:axId val="206286208"/>
      </c:barChart>
      <c:catAx>
        <c:axId val="20628467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6286208"/>
        <c:crosses val="autoZero"/>
        <c:auto val="1"/>
        <c:lblAlgn val="ctr"/>
        <c:lblOffset val="100"/>
        <c:noMultiLvlLbl val="0"/>
      </c:catAx>
      <c:valAx>
        <c:axId val="2062862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62846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农林水支出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2130599</c:v>
                </c:pt>
                <c:pt idx="1">
                  <c:v>213x</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206253056"/>
        <c:axId val="206258944"/>
      </c:barChart>
      <c:catAx>
        <c:axId val="20625305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6258944"/>
        <c:crosses val="autoZero"/>
        <c:auto val="1"/>
        <c:lblAlgn val="ctr"/>
        <c:lblOffset val="100"/>
        <c:noMultiLvlLbl val="0"/>
      </c:catAx>
      <c:valAx>
        <c:axId val="2062589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62530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Sheet1!$D$1</c:f>
              <c:strCache>
                <c:ptCount val="1"/>
                <c:pt idx="0">
                  <c:v>科目代码</c:v>
                </c:pt>
              </c:strCache>
            </c:strRef>
          </c:tx>
          <c:spPr>
            <a:solidFill>
              <a:schemeClr val="accent1"/>
            </a:solidFill>
            <a:ln>
              <a:noFill/>
            </a:ln>
            <a:effectLst/>
          </c:spPr>
          <c:invertIfNegative val="0"/>
          <c:dLbls>
            <c:delete val="1"/>
          </c:dLbls>
          <c:cat>
            <c:numRef>
              <c:f>Sheet1!$A$2:$A$12</c:f>
              <c:numCache>
                <c:formatCode>General</c:formatCode>
                <c:ptCount val="11"/>
                <c:pt idx="0">
                  <c:v>221</c:v>
                </c:pt>
                <c:pt idx="1">
                  <c:v>22101</c:v>
                </c:pt>
                <c:pt idx="2">
                  <c:v>2210101</c:v>
                </c:pt>
                <c:pt idx="3">
                  <c:v>2210103</c:v>
                </c:pt>
                <c:pt idx="4">
                  <c:v>2210105</c:v>
                </c:pt>
                <c:pt idx="5">
                  <c:v>2210106</c:v>
                </c:pt>
                <c:pt idx="6">
                  <c:v>2210107</c:v>
                </c:pt>
                <c:pt idx="7">
                  <c:v>2210108</c:v>
                </c:pt>
                <c:pt idx="8">
                  <c:v>2210199</c:v>
                </c:pt>
                <c:pt idx="9">
                  <c:v>22102</c:v>
                </c:pt>
                <c:pt idx="10">
                  <c:v>2210201</c:v>
                </c:pt>
              </c:numCache>
            </c:numRef>
          </c:cat>
          <c:val>
            <c:numRef>
              <c:f>Sheet1!$D$2:$D$12</c:f>
              <c:numCache>
                <c:formatCode>General</c:formatCode>
                <c:ptCount val="11"/>
                <c:pt idx="0">
                  <c:v>120.84</c:v>
                </c:pt>
                <c:pt idx="1">
                  <c:v>92</c:v>
                </c:pt>
                <c:pt idx="2">
                  <c:v>5.46</c:v>
                </c:pt>
                <c:pt idx="3">
                  <c:v>32.76</c:v>
                </c:pt>
                <c:pt idx="4">
                  <c:v>14.62</c:v>
                </c:pt>
                <c:pt idx="5">
                  <c:v>9</c:v>
                </c:pt>
                <c:pt idx="6">
                  <c:v>13</c:v>
                </c:pt>
                <c:pt idx="7">
                  <c:v>10.08</c:v>
                </c:pt>
                <c:pt idx="8">
                  <c:v>7.08</c:v>
                </c:pt>
                <c:pt idx="9">
                  <c:v>28.84</c:v>
                </c:pt>
                <c:pt idx="10">
                  <c:v>28.84</c:v>
                </c:pt>
              </c:numCache>
            </c:numRef>
          </c:val>
        </c:ser>
        <c:dLbls>
          <c:showLegendKey val="0"/>
          <c:showVal val="0"/>
          <c:showCatName val="0"/>
          <c:showSerName val="0"/>
          <c:showPercent val="0"/>
          <c:showBubbleSize val="0"/>
        </c:dLbls>
        <c:gapWidth val="219"/>
        <c:overlap val="-27"/>
        <c:axId val="206066432"/>
        <c:axId val="206067968"/>
      </c:barChart>
      <c:catAx>
        <c:axId val="20606643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6067968"/>
        <c:crosses val="autoZero"/>
        <c:auto val="1"/>
        <c:lblAlgn val="ctr"/>
        <c:lblOffset val="100"/>
        <c:noMultiLvlLbl val="0"/>
      </c:catAx>
      <c:valAx>
        <c:axId val="20606796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60664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Sheet1!$C$1</c:f>
              <c:strCache>
                <c:ptCount val="1"/>
                <c:pt idx="0">
                  <c:v>系列 2</c:v>
                </c:pt>
              </c:strCache>
            </c:strRef>
          </c:tx>
          <c:spPr>
            <a:solidFill>
              <a:schemeClr val="accent1"/>
            </a:solidFill>
            <a:ln>
              <a:noFill/>
            </a:ln>
            <a:effectLst/>
          </c:spPr>
          <c:invertIfNegative val="0"/>
          <c:dLbls>
            <c:delete val="1"/>
          </c:dLbls>
          <c:cat>
            <c:numRef>
              <c:f>Sheet1!$A$2:$A$13</c:f>
              <c:numCache>
                <c:formatCode>General</c:formatCode>
                <c:ptCount val="12"/>
                <c:pt idx="0">
                  <c:v>301</c:v>
                </c:pt>
                <c:pt idx="1">
                  <c:v>30101</c:v>
                </c:pt>
                <c:pt idx="2">
                  <c:v>30102</c:v>
                </c:pt>
                <c:pt idx="3">
                  <c:v>30103</c:v>
                </c:pt>
                <c:pt idx="4">
                  <c:v>30106</c:v>
                </c:pt>
                <c:pt idx="5">
                  <c:v>30107</c:v>
                </c:pt>
                <c:pt idx="6">
                  <c:v>30108</c:v>
                </c:pt>
                <c:pt idx="7">
                  <c:v>30109</c:v>
                </c:pt>
                <c:pt idx="8">
                  <c:v>30110</c:v>
                </c:pt>
                <c:pt idx="9">
                  <c:v>30111</c:v>
                </c:pt>
                <c:pt idx="10">
                  <c:v>30112</c:v>
                </c:pt>
                <c:pt idx="11">
                  <c:v>30113</c:v>
                </c:pt>
              </c:numCache>
            </c:numRef>
          </c:cat>
          <c:val>
            <c:numRef>
              <c:f>Sheet1!$C$2:$C$13</c:f>
              <c:numCache>
                <c:formatCode>#,##0.00</c:formatCode>
                <c:ptCount val="12"/>
                <c:pt idx="0">
                  <c:v>388.16</c:v>
                </c:pt>
                <c:pt idx="1">
                  <c:v>89.17</c:v>
                </c:pt>
                <c:pt idx="2">
                  <c:v>29</c:v>
                </c:pt>
                <c:pt idx="3">
                  <c:v>119.7</c:v>
                </c:pt>
                <c:pt idx="4">
                  <c:v>5.83</c:v>
                </c:pt>
                <c:pt idx="5">
                  <c:v>35.53</c:v>
                </c:pt>
                <c:pt idx="6">
                  <c:v>41.41</c:v>
                </c:pt>
                <c:pt idx="7">
                  <c:v>1.27</c:v>
                </c:pt>
                <c:pt idx="8">
                  <c:v>18.63</c:v>
                </c:pt>
                <c:pt idx="9">
                  <c:v>0</c:v>
                </c:pt>
                <c:pt idx="10">
                  <c:v>1.1</c:v>
                </c:pt>
                <c:pt idx="11">
                  <c:v>29.02</c:v>
                </c:pt>
              </c:numCache>
            </c:numRef>
          </c:val>
        </c:ser>
        <c:dLbls>
          <c:showLegendKey val="0"/>
          <c:showVal val="0"/>
          <c:showCatName val="0"/>
          <c:showSerName val="0"/>
          <c:showPercent val="0"/>
          <c:showBubbleSize val="0"/>
        </c:dLbls>
        <c:gapWidth val="219"/>
        <c:overlap val="-27"/>
        <c:axId val="206108928"/>
        <c:axId val="206270464"/>
      </c:barChart>
      <c:catAx>
        <c:axId val="20610892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6270464"/>
        <c:crosses val="autoZero"/>
        <c:auto val="1"/>
        <c:lblAlgn val="ctr"/>
        <c:lblOffset val="100"/>
        <c:noMultiLvlLbl val="0"/>
      </c:catAx>
      <c:valAx>
        <c:axId val="2062704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61089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E021F-3841-4ED5-914B-DC08A31C4EA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3248</Words>
  <Characters>18515</Characters>
  <Lines>154</Lines>
  <Paragraphs>43</Paragraphs>
  <TotalTime>2</TotalTime>
  <ScaleCrop>false</ScaleCrop>
  <LinksUpToDate>false</LinksUpToDate>
  <CharactersWithSpaces>21720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2023-11-23T09:02:08Z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A2334DB5BE3A4AE582659E40390CFF8B</vt:lpwstr>
  </property>
</Properties>
</file>