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环江毛南族自治县房地产管理所</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环江毛南族自治县房地产管理所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环江毛南族自治县房地产管理所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环江毛南族自治县房地产管理所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环江毛南族自治县房地产管理所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480" w:firstLineChars="150"/>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环江毛南族自治县房地产管理所</w:t>
      </w:r>
      <w:r>
        <w:rPr>
          <w:rFonts w:hint="eastAsia" w:ascii="仿宋" w:hAnsi="仿宋" w:eastAsia="仿宋" w:cs="仿宋"/>
          <w:color w:val="auto"/>
          <w:sz w:val="32"/>
          <w:szCs w:val="32"/>
        </w:rPr>
        <w:t>的主要职能是：</w:t>
      </w:r>
      <w:r>
        <w:rPr>
          <w:rFonts w:hint="eastAsia" w:ascii="仿宋_GB2312" w:hAnsi="仿宋_GB2312" w:eastAsia="仿宋_GB2312" w:cs="仿宋_GB2312"/>
          <w:color w:val="auto"/>
          <w:spacing w:val="0"/>
          <w:w w:val="100"/>
          <w:kern w:val="0"/>
          <w:position w:val="0"/>
          <w:sz w:val="32"/>
          <w:szCs w:val="32"/>
          <w:highlight w:val="none"/>
          <w:lang w:val="en-US" w:eastAsia="zh-CN"/>
        </w:rPr>
        <w:t>受住建局委托开展商品房预售许可审批、指导和监督物业管理相关工作、白蚁防治、房地产开发、房屋交易管理、房屋租赁、房地产估价与经纪</w:t>
      </w:r>
      <w:r>
        <w:rPr>
          <w:rFonts w:hint="eastAsia" w:ascii="仿宋_GB2312" w:eastAsia="仿宋_GB2312"/>
          <w:color w:val="auto"/>
          <w:sz w:val="32"/>
          <w:szCs w:val="32"/>
          <w:highlight w:val="none"/>
        </w:rPr>
        <w:t>管理、危房鉴定、房屋征收拆迁</w:t>
      </w:r>
      <w:r>
        <w:rPr>
          <w:rFonts w:hint="eastAsia" w:ascii="仿宋_GB2312" w:eastAsia="仿宋_GB2312"/>
          <w:color w:val="auto"/>
          <w:sz w:val="32"/>
          <w:szCs w:val="32"/>
          <w:highlight w:val="none"/>
          <w:lang w:eastAsia="zh-CN"/>
        </w:rPr>
        <w:t>、商品房预售资金</w:t>
      </w:r>
      <w:r>
        <w:rPr>
          <w:rFonts w:hint="eastAsia" w:ascii="仿宋_GB2312" w:eastAsia="仿宋_GB2312"/>
          <w:color w:val="auto"/>
          <w:sz w:val="32"/>
          <w:szCs w:val="32"/>
          <w:highlight w:val="none"/>
        </w:rPr>
        <w:t>监督</w:t>
      </w:r>
      <w:r>
        <w:rPr>
          <w:rFonts w:hint="eastAsia" w:ascii="仿宋_GB2312" w:eastAsia="仿宋_GB2312"/>
          <w:color w:val="auto"/>
          <w:sz w:val="32"/>
          <w:szCs w:val="32"/>
          <w:highlight w:val="none"/>
          <w:lang w:eastAsia="zh-CN"/>
        </w:rPr>
        <w:t>管理、住宅专项维修资金监督管理等工作；</w:t>
      </w:r>
      <w:r>
        <w:rPr>
          <w:rFonts w:hint="eastAsia" w:ascii="仿宋_GB2312" w:eastAsia="仿宋_GB2312"/>
          <w:color w:val="222222"/>
          <w:sz w:val="32"/>
          <w:szCs w:val="32"/>
          <w:shd w:val="clear" w:color="auto" w:fill="FFFFFF"/>
        </w:rPr>
        <w:t>完成自治县</w:t>
      </w:r>
      <w:r>
        <w:rPr>
          <w:rFonts w:hint="eastAsia" w:ascii="仿宋_GB2312" w:eastAsia="仿宋_GB2312"/>
          <w:color w:val="222222"/>
          <w:sz w:val="32"/>
          <w:szCs w:val="32"/>
          <w:shd w:val="clear" w:color="auto" w:fill="FFFFFF"/>
          <w:lang w:eastAsia="zh-CN"/>
        </w:rPr>
        <w:t>住房和城乡建设局</w:t>
      </w:r>
      <w:r>
        <w:rPr>
          <w:rFonts w:hint="eastAsia" w:ascii="仿宋_GB2312" w:eastAsia="仿宋_GB2312"/>
          <w:color w:val="222222"/>
          <w:sz w:val="32"/>
          <w:szCs w:val="32"/>
          <w:shd w:val="clear" w:color="auto" w:fill="FFFFFF"/>
        </w:rPr>
        <w:t>交办的其他任务。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根据上述职责，</w:t>
      </w:r>
      <w:r>
        <w:rPr>
          <w:rFonts w:hint="eastAsia" w:ascii="仿宋_GB2312" w:eastAsia="仿宋_GB2312"/>
          <w:sz w:val="32"/>
          <w:szCs w:val="32"/>
          <w:lang w:val="en-US" w:eastAsia="zh-CN"/>
        </w:rPr>
        <w:t>房管所</w:t>
      </w:r>
      <w:r>
        <w:rPr>
          <w:rFonts w:hint="eastAsia" w:ascii="仿宋_GB2312" w:eastAsia="仿宋_GB2312"/>
          <w:sz w:val="32"/>
          <w:szCs w:val="32"/>
        </w:rPr>
        <w:t>设</w:t>
      </w:r>
      <w:r>
        <w:rPr>
          <w:rFonts w:hint="eastAsia" w:ascii="仿宋_GB2312" w:eastAsia="仿宋_GB2312"/>
          <w:sz w:val="32"/>
          <w:szCs w:val="32"/>
          <w:lang w:val="en-US" w:eastAsia="zh-CN"/>
        </w:rPr>
        <w:t>3</w:t>
      </w:r>
      <w:r>
        <w:rPr>
          <w:rFonts w:hint="eastAsia" w:ascii="仿宋_GB2312" w:eastAsia="仿宋_GB2312"/>
          <w:sz w:val="32"/>
          <w:szCs w:val="32"/>
        </w:rPr>
        <w:t>个</w:t>
      </w:r>
      <w:r>
        <w:rPr>
          <w:rFonts w:hint="eastAsia" w:ascii="仿宋_GB2312" w:eastAsia="仿宋_GB2312"/>
          <w:sz w:val="32"/>
          <w:szCs w:val="32"/>
          <w:lang w:val="en-US" w:eastAsia="zh-CN"/>
        </w:rPr>
        <w:t>办公室</w:t>
      </w:r>
      <w:r>
        <w:rPr>
          <w:rFonts w:hint="eastAsia" w:ascii="仿宋_GB2312" w:eastAsia="仿宋_GB2312"/>
          <w:sz w:val="32"/>
          <w:szCs w:val="32"/>
        </w:rPr>
        <w:t>。</w:t>
      </w:r>
    </w:p>
    <w:p>
      <w:pPr>
        <w:numPr>
          <w:ilvl w:val="0"/>
          <w:numId w:val="2"/>
        </w:numPr>
        <w:spacing w:line="56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所长办公室</w:t>
      </w:r>
    </w:p>
    <w:p>
      <w:pPr>
        <w:numPr>
          <w:ilvl w:val="0"/>
          <w:numId w:val="2"/>
        </w:numPr>
        <w:spacing w:line="56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财务室</w:t>
      </w:r>
    </w:p>
    <w:p>
      <w:pPr>
        <w:numPr>
          <w:ilvl w:val="0"/>
          <w:numId w:val="2"/>
        </w:numPr>
        <w:spacing w:line="560" w:lineRule="exact"/>
        <w:ind w:firstLine="1920" w:firstLineChars="600"/>
        <w:rPr>
          <w:rFonts w:hint="eastAsia" w:ascii="仿宋_GB2312" w:eastAsia="仿宋_GB2312"/>
          <w:sz w:val="32"/>
          <w:szCs w:val="32"/>
          <w:lang w:val="en-US" w:eastAsia="zh-CN"/>
        </w:rPr>
      </w:pPr>
      <w:r>
        <w:rPr>
          <w:rFonts w:hint="eastAsia" w:ascii="仿宋_GB2312" w:eastAsia="仿宋_GB2312"/>
          <w:sz w:val="32"/>
          <w:szCs w:val="32"/>
          <w:lang w:val="en-US" w:eastAsia="zh-CN"/>
        </w:rPr>
        <w:t>白蚁防治办公室</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人员构成情况</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人员编制总数为6人，其中行政编制</w:t>
      </w:r>
      <w:r>
        <w:rPr>
          <w:rFonts w:hint="eastAsia" w:ascii="仿宋_GB2312" w:eastAsia="仿宋_GB2312"/>
          <w:sz w:val="32"/>
          <w:szCs w:val="32"/>
          <w:lang w:val="en-US" w:eastAsia="zh-CN"/>
        </w:rPr>
        <w:t>0</w:t>
      </w:r>
      <w:r>
        <w:rPr>
          <w:rFonts w:hint="eastAsia" w:ascii="仿宋_GB2312" w:eastAsia="仿宋_GB2312"/>
          <w:sz w:val="32"/>
          <w:szCs w:val="32"/>
        </w:rPr>
        <w:t>人，事业编制</w:t>
      </w:r>
      <w:r>
        <w:rPr>
          <w:rFonts w:hint="eastAsia" w:ascii="仿宋_GB2312" w:eastAsia="仿宋_GB2312"/>
          <w:sz w:val="32"/>
          <w:szCs w:val="32"/>
          <w:lang w:val="en-US" w:eastAsia="zh-CN"/>
        </w:rPr>
        <w:t>6</w:t>
      </w:r>
      <w:r>
        <w:rPr>
          <w:rFonts w:hint="eastAsia" w:ascii="仿宋_GB2312" w:eastAsia="仿宋_GB2312"/>
          <w:sz w:val="32"/>
          <w:szCs w:val="32"/>
        </w:rPr>
        <w:t>人，机关后勤服务中心聘用人员控制数</w:t>
      </w:r>
      <w:r>
        <w:rPr>
          <w:rFonts w:hint="eastAsia" w:ascii="仿宋_GB2312" w:eastAsia="仿宋_GB2312"/>
          <w:sz w:val="32"/>
          <w:szCs w:val="32"/>
          <w:lang w:val="en-US" w:eastAsia="zh-CN"/>
        </w:rPr>
        <w:t>0</w:t>
      </w:r>
      <w:r>
        <w:rPr>
          <w:rFonts w:hint="eastAsia" w:ascii="仿宋_GB2312" w:eastAsia="仿宋_GB2312"/>
          <w:sz w:val="32"/>
          <w:szCs w:val="32"/>
        </w:rPr>
        <w:t>人。实有财政供养人数</w:t>
      </w:r>
      <w:r>
        <w:rPr>
          <w:rFonts w:hint="eastAsia" w:ascii="仿宋_GB2312" w:eastAsia="仿宋_GB2312"/>
          <w:sz w:val="32"/>
          <w:szCs w:val="32"/>
          <w:lang w:val="en-US" w:eastAsia="zh-CN"/>
        </w:rPr>
        <w:t>6</w:t>
      </w:r>
      <w:r>
        <w:rPr>
          <w:rFonts w:hint="eastAsia" w:ascii="仿宋_GB2312" w:eastAsia="仿宋_GB2312"/>
          <w:sz w:val="32"/>
          <w:szCs w:val="32"/>
        </w:rPr>
        <w:t>人，其中行政在职</w:t>
      </w:r>
      <w:r>
        <w:rPr>
          <w:rFonts w:hint="eastAsia" w:ascii="仿宋_GB2312" w:eastAsia="仿宋_GB2312"/>
          <w:sz w:val="32"/>
          <w:szCs w:val="32"/>
          <w:lang w:val="en-US" w:eastAsia="zh-CN"/>
        </w:rPr>
        <w:t>0</w:t>
      </w:r>
      <w:r>
        <w:rPr>
          <w:rFonts w:hint="eastAsia" w:ascii="仿宋_GB2312" w:eastAsia="仿宋_GB2312"/>
          <w:sz w:val="32"/>
          <w:szCs w:val="32"/>
        </w:rPr>
        <w:t>人，事业在职</w:t>
      </w:r>
      <w:r>
        <w:rPr>
          <w:rFonts w:hint="eastAsia" w:ascii="仿宋_GB2312" w:eastAsia="仿宋_GB2312"/>
          <w:sz w:val="32"/>
          <w:szCs w:val="32"/>
          <w:lang w:val="en-US" w:eastAsia="zh-CN"/>
        </w:rPr>
        <w:t>6</w:t>
      </w:r>
      <w:r>
        <w:rPr>
          <w:rFonts w:hint="eastAsia" w:ascii="仿宋_GB2312" w:eastAsia="仿宋_GB2312"/>
          <w:sz w:val="32"/>
          <w:szCs w:val="32"/>
        </w:rPr>
        <w:t>人，离退休人员</w:t>
      </w:r>
      <w:r>
        <w:rPr>
          <w:rFonts w:hint="eastAsia" w:ascii="仿宋_GB2312" w:eastAsia="仿宋_GB2312"/>
          <w:sz w:val="32"/>
          <w:szCs w:val="32"/>
          <w:lang w:val="en-US" w:eastAsia="zh-CN"/>
        </w:rPr>
        <w:t>5</w:t>
      </w:r>
      <w:r>
        <w:rPr>
          <w:rFonts w:hint="eastAsia" w:ascii="仿宋_GB2312" w:eastAsia="仿宋_GB2312"/>
          <w:sz w:val="32"/>
          <w:szCs w:val="32"/>
        </w:rPr>
        <w:t>人（其中离休</w:t>
      </w:r>
      <w:r>
        <w:rPr>
          <w:rFonts w:hint="eastAsia" w:ascii="仿宋_GB2312" w:eastAsia="仿宋_GB2312"/>
          <w:sz w:val="32"/>
          <w:szCs w:val="32"/>
          <w:lang w:val="en-US" w:eastAsia="zh-CN"/>
        </w:rPr>
        <w:t>0</w:t>
      </w:r>
      <w:r>
        <w:rPr>
          <w:rFonts w:hint="eastAsia" w:ascii="仿宋_GB2312" w:eastAsia="仿宋_GB2312"/>
          <w:sz w:val="32"/>
          <w:szCs w:val="32"/>
        </w:rPr>
        <w:t>人）。</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环江毛南族自治县房地产管理所</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8.87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72.13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85.24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85.24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290"/>
        <w:gridCol w:w="1550"/>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129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5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636"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85.24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85.24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val="en-US" w:eastAsia="zh-CN"/>
              </w:rPr>
              <w:t>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val="en-US" w:eastAsia="zh-CN"/>
              </w:rPr>
              <w:t>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72.13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城乡社区住宅</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65.31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65.31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65.31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85.24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77.04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63.93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城乡社区住宅</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65.31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2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在·</w:t>
            </w:r>
          </w:p>
        </w:tc>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7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8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8.87</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72.13</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72.13</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85.24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b/>
                <w:bCs/>
                <w:i w:val="0"/>
                <w:iCs w:val="0"/>
                <w:color w:val="000000"/>
                <w:kern w:val="0"/>
                <w:sz w:val="22"/>
                <w:szCs w:val="22"/>
                <w:u w:val="none"/>
                <w:lang w:val="en-US" w:eastAsia="zh-CN"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rPr>
            </w:pPr>
            <w:r>
              <w:rPr>
                <w:rFonts w:hint="default" w:ascii="宋体" w:hAnsi="宋体" w:eastAsia="宋体" w:cs="宋体"/>
                <w:i w:val="0"/>
                <w:iCs w:val="0"/>
                <w:color w:val="000000"/>
                <w:kern w:val="0"/>
                <w:sz w:val="22"/>
                <w:szCs w:val="22"/>
                <w:u w:val="none"/>
                <w:lang w:val="en-US" w:eastAsia="zh-CN" w:bidi="ar"/>
              </w:rPr>
              <w:t>32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i w:val="0"/>
                <w:iCs w:val="0"/>
                <w:color w:val="000000"/>
                <w:kern w:val="0"/>
                <w:sz w:val="22"/>
                <w:szCs w:val="22"/>
                <w:u w:val="none"/>
                <w:lang w:val="en-US" w:eastAsia="zh-CN" w:bidi="ar"/>
              </w:rPr>
              <w:t>85.24</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b/>
                <w:bCs/>
                <w:i w:val="0"/>
                <w:iCs w:val="0"/>
                <w:color w:val="000000"/>
                <w:kern w:val="0"/>
                <w:sz w:val="22"/>
                <w:szCs w:val="22"/>
                <w:u w:val="none"/>
                <w:lang w:val="en-US" w:eastAsia="zh-CN"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rPr>
            </w:pPr>
            <w:r>
              <w:rPr>
                <w:rFonts w:hint="default" w:ascii="宋体" w:hAnsi="宋体" w:eastAsia="宋体" w:cs="宋体"/>
                <w:i w:val="0"/>
                <w:iCs w:val="0"/>
                <w:color w:val="000000"/>
                <w:kern w:val="0"/>
                <w:sz w:val="22"/>
                <w:szCs w:val="22"/>
                <w:u w:val="none"/>
                <w:lang w:val="en-US" w:eastAsia="zh-CN" w:bidi="ar"/>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i w:val="0"/>
                <w:iCs w:val="0"/>
                <w:color w:val="000000"/>
                <w:kern w:val="0"/>
                <w:sz w:val="22"/>
                <w:szCs w:val="22"/>
                <w:u w:val="none"/>
                <w:lang w:val="en-US" w:eastAsia="zh-CN" w:bidi="ar"/>
              </w:rPr>
              <w:t>85.24</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i w:val="0"/>
                <w:iCs w:val="0"/>
                <w:color w:val="000000"/>
                <w:kern w:val="0"/>
                <w:sz w:val="22"/>
                <w:szCs w:val="22"/>
                <w:u w:val="none"/>
                <w:lang w:val="en-US" w:eastAsia="zh-CN" w:bidi="ar"/>
              </w:rPr>
              <w:t>85.24</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default"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85.24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77.04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8.20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72.13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城乡社区住宅</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其他城乡社区住宅支出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65.31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555"/>
        <w:gridCol w:w="552"/>
        <w:gridCol w:w="2115"/>
        <w:gridCol w:w="256"/>
        <w:gridCol w:w="1106"/>
        <w:gridCol w:w="559"/>
        <w:gridCol w:w="721"/>
        <w:gridCol w:w="1393"/>
        <w:gridCol w:w="954"/>
        <w:gridCol w:w="417"/>
        <w:gridCol w:w="560"/>
        <w:gridCol w:w="183"/>
        <w:gridCol w:w="1173"/>
        <w:gridCol w:w="2084"/>
        <w:gridCol w:w="63"/>
        <w:gridCol w:w="1309"/>
      </w:tblGrid>
      <w:tr>
        <w:tblPrEx>
          <w:tblCellMar>
            <w:top w:w="0" w:type="dxa"/>
            <w:left w:w="108" w:type="dxa"/>
            <w:bottom w:w="0" w:type="dxa"/>
            <w:right w:w="108" w:type="dxa"/>
          </w:tblCellMar>
        </w:tblPrEx>
        <w:trPr>
          <w:trHeight w:val="614" w:hRule="atLeast"/>
        </w:trPr>
        <w:tc>
          <w:tcPr>
            <w:tcW w:w="14000" w:type="dxa"/>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1160"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941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1237" w:hRule="atLeast"/>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69.86</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2.68</w:t>
            </w:r>
          </w:p>
        </w:tc>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 xml:space="preserve">  基本工资</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26.52</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1.44</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8.64</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13.65</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8.87</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3.43</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0.26</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1.24</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66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5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3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44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322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74.36</w:t>
            </w:r>
          </w:p>
        </w:tc>
        <w:tc>
          <w:tcPr>
            <w:tcW w:w="8044"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2.68</w:t>
            </w:r>
          </w:p>
        </w:tc>
      </w:tr>
      <w:bookmarkEnd w:id="0"/>
      <w:bookmarkEnd w:id="1"/>
      <w:tr>
        <w:tblPrEx>
          <w:tblCellMar>
            <w:top w:w="0" w:type="dxa"/>
            <w:left w:w="108" w:type="dxa"/>
            <w:bottom w:w="0" w:type="dxa"/>
            <w:right w:w="108" w:type="dxa"/>
          </w:tblCellMar>
        </w:tblPrEx>
        <w:trPr>
          <w:trHeight w:val="319" w:hRule="atLeast"/>
        </w:trPr>
        <w:tc>
          <w:tcPr>
            <w:tcW w:w="14000" w:type="dxa"/>
            <w:gridSpan w:val="16"/>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广西河池市环江毛南族自治县房地产管理所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广西河池市环江毛南族自治县房地产管理所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highlight w:val="none"/>
              </w:rPr>
            </w:pPr>
            <w:r>
              <w:rPr>
                <w:rFonts w:hint="eastAsia"/>
                <w:highlight w:val="none"/>
                <w:lang w:val="en-US" w:eastAsia="zh-CN"/>
              </w:rPr>
              <w:t xml:space="preserve"> </w:t>
            </w: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both"/>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 xml:space="preserve">年度没有一般公共预算财政拨款“三公”经费收入，也没有一般公共预算财政拨款“三公”经费安排的支出，故本表无数据”。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环江毛南族自治县房地产管理所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85.24</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10.8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14.5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85.24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319" w:leftChars="152" w:right="0" w:firstLine="320" w:firstLineChars="100"/>
        <w:jc w:val="left"/>
        <w:rPr>
          <w:rFonts w:hint="eastAsia" w:ascii="仿宋_GB2312" w:eastAsia="仿宋_GB2312"/>
          <w:sz w:val="32"/>
          <w:szCs w:val="32"/>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85.24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增长10.8</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highlight w:val="none"/>
          <w:lang w:val="en-US" w:eastAsia="zh-CN"/>
        </w:rPr>
        <w:t>增长</w:t>
      </w:r>
      <w:r>
        <w:rPr>
          <w:rFonts w:hint="eastAsia" w:ascii="仿宋" w:hAnsi="仿宋" w:eastAsia="仿宋" w:cs="仿宋"/>
          <w:sz w:val="32"/>
          <w:u w:color="auto"/>
          <w:lang w:val="en-US" w:eastAsia="zh-CN"/>
        </w:rPr>
        <w:t>14.5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eastAsia="仿宋_GB2312"/>
          <w:sz w:val="32"/>
          <w:szCs w:val="32"/>
        </w:rPr>
        <w:t>2022年工资增加及</w:t>
      </w:r>
      <w:r>
        <w:rPr>
          <w:rFonts w:hint="eastAsia" w:ascii="仿宋_GB2312" w:eastAsia="仿宋_GB2312"/>
          <w:sz w:val="32"/>
          <w:szCs w:val="32"/>
          <w:lang w:val="en-US" w:eastAsia="zh-CN"/>
        </w:rPr>
        <w:t>社会</w:t>
      </w:r>
      <w:r>
        <w:rPr>
          <w:rFonts w:hint="eastAsia" w:ascii="仿宋_GB2312" w:eastAsia="仿宋_GB2312"/>
          <w:sz w:val="32"/>
          <w:szCs w:val="32"/>
        </w:rPr>
        <w:t>保障费增加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pacing w:val="3"/>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w:t>
      </w:r>
      <w:r>
        <w:rPr>
          <w:rFonts w:hint="eastAsia" w:ascii="仿宋_GB2312" w:hAnsi="仿宋_GB2312" w:eastAsia="仿宋_GB2312" w:cs="仿宋_GB2312"/>
          <w:spacing w:val="3"/>
          <w:kern w:val="0"/>
          <w:sz w:val="32"/>
          <w:szCs w:val="32"/>
        </w:rPr>
        <w:t>单位2021年没有</w:t>
      </w:r>
      <w:r>
        <w:rPr>
          <w:rFonts w:hint="eastAsia" w:ascii="仿宋" w:hAnsi="仿宋" w:eastAsia="仿宋" w:cs="仿宋"/>
          <w:kern w:val="2"/>
          <w:sz w:val="32"/>
          <w:szCs w:val="32"/>
          <w:highlight w:val="none"/>
          <w:lang w:val="en-US" w:eastAsia="zh-CN" w:bidi="ar"/>
        </w:rPr>
        <w:t>政府性基金预算财政拨款收入</w:t>
      </w:r>
      <w:r>
        <w:rPr>
          <w:rFonts w:hint="eastAsia" w:ascii="仿宋_GB2312" w:hAnsi="仿宋_GB2312" w:eastAsia="仿宋_GB2312" w:cs="仿宋_GB2312"/>
          <w:spacing w:val="3"/>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pacing w:val="3"/>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w:t>
      </w:r>
      <w:r>
        <w:rPr>
          <w:rFonts w:hint="eastAsia" w:ascii="仿宋_GB2312" w:hAnsi="仿宋_GB2312" w:eastAsia="仿宋_GB2312" w:cs="仿宋_GB2312"/>
          <w:spacing w:val="3"/>
          <w:kern w:val="0"/>
          <w:sz w:val="32"/>
          <w:szCs w:val="32"/>
        </w:rPr>
        <w:t>单位2021年没有国有资本经营预算财政拨款收入。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w:t>
      </w:r>
      <w:r>
        <w:rPr>
          <w:rFonts w:hint="eastAsia" w:ascii="仿宋_GB2312" w:hAnsi="仿宋_GB2312" w:eastAsia="仿宋_GB2312" w:cs="仿宋_GB2312"/>
          <w:color w:val="000000" w:themeColor="text1"/>
          <w:spacing w:val="3"/>
          <w:kern w:val="0"/>
          <w:sz w:val="32"/>
          <w:szCs w:val="32"/>
          <w14:textFill>
            <w14:solidFill>
              <w14:schemeClr w14:val="tx1"/>
            </w14:solidFill>
          </w14:textFill>
        </w:rPr>
        <w:t>单位2021年没有</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主要原因是：本单位2021年没有事业收入。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主要原因是：本单位2021年没有经营性收入。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主要原因是：本单位2021年无附属单位上缴收入。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主要原因是：本单位2021年没有其他收入。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上年结转和结余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1035" cy="2295525"/>
            <wp:effectExtent l="4445" t="4445" r="20320"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85.24</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85.24</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增长10.8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增长14.5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_GB2312" w:hAnsi="仿宋_GB2312" w:eastAsia="仿宋_GB2312" w:cs="仿宋_GB2312"/>
          <w:spacing w:val="3"/>
          <w:kern w:val="0"/>
          <w:sz w:val="32"/>
          <w:szCs w:val="32"/>
        </w:rPr>
        <w:t>一般公共</w:t>
      </w:r>
      <w:r>
        <w:rPr>
          <w:rFonts w:hint="eastAsia" w:ascii="仿宋_GB2312" w:hAnsi="仿宋_GB2312" w:eastAsia="仿宋_GB2312" w:cs="仿宋_GB2312"/>
          <w:spacing w:val="3"/>
          <w:kern w:val="0"/>
          <w:sz w:val="32"/>
          <w:szCs w:val="32"/>
          <w:lang w:val="en-US" w:eastAsia="zh-CN"/>
        </w:rPr>
        <w:t>服务</w:t>
      </w:r>
      <w:r>
        <w:rPr>
          <w:rFonts w:hint="eastAsia" w:ascii="仿宋_GB2312" w:hAnsi="仿宋_GB2312" w:eastAsia="仿宋_GB2312" w:cs="仿宋_GB2312"/>
          <w:spacing w:val="3"/>
          <w:kern w:val="0"/>
          <w:sz w:val="32"/>
          <w:szCs w:val="32"/>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1.24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rPr>
        <w:t>根据国家规定对全额拨款事业单位人员的工会经费支出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2021年度决算数，</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主要原因是：因2021年的工会经费与建设局合并</w:t>
      </w:r>
      <w:r>
        <w:rPr>
          <w:rFonts w:hint="eastAsia" w:ascii="仿宋" w:hAnsi="仿宋" w:eastAsia="仿宋" w:cs="仿宋"/>
          <w:sz w:val="32"/>
          <w:szCs w:val="32"/>
          <w:highlight w:val="none"/>
        </w:rPr>
        <w:t>决算</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8.87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pacing w:val="3"/>
          <w:kern w:val="0"/>
          <w:sz w:val="32"/>
          <w:szCs w:val="32"/>
        </w:rPr>
        <w:t>本部门为保证日常运转发生的用于在职人员养老保险支出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增长1.37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增长18.26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sz w:val="32"/>
          <w:szCs w:val="32"/>
        </w:rPr>
        <w:t>2022年工资增加及</w:t>
      </w:r>
      <w:r>
        <w:rPr>
          <w:rFonts w:hint="eastAsia" w:ascii="仿宋_GB2312" w:eastAsia="仿宋_GB2312"/>
          <w:sz w:val="32"/>
          <w:szCs w:val="32"/>
          <w:lang w:val="en-US" w:eastAsia="zh-CN"/>
        </w:rPr>
        <w:t>社会</w:t>
      </w:r>
      <w:r>
        <w:rPr>
          <w:rFonts w:hint="eastAsia" w:ascii="仿宋_GB2312" w:eastAsia="仿宋_GB2312"/>
          <w:sz w:val="32"/>
          <w:szCs w:val="32"/>
        </w:rPr>
        <w:t>保障费增加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城乡社区</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pacing w:val="3"/>
          <w:kern w:val="0"/>
          <w:sz w:val="32"/>
          <w:szCs w:val="32"/>
        </w:rPr>
        <w:t>本部门</w:t>
      </w:r>
      <w:r>
        <w:rPr>
          <w:rFonts w:hint="eastAsia" w:ascii="仿宋_GB2312" w:hAnsi="仿宋_GB2312" w:eastAsia="仿宋_GB2312" w:cs="仿宋_GB2312"/>
          <w:color w:val="auto"/>
          <w:spacing w:val="3"/>
          <w:kern w:val="0"/>
          <w:sz w:val="32"/>
          <w:szCs w:val="32"/>
          <w:lang w:val="en-US" w:eastAsia="zh-CN"/>
        </w:rPr>
        <w:t>退休</w:t>
      </w:r>
      <w:r>
        <w:rPr>
          <w:rFonts w:hint="eastAsia" w:ascii="仿宋_GB2312" w:hAnsi="仿宋_GB2312" w:eastAsia="仿宋_GB2312" w:cs="仿宋_GB2312"/>
          <w:color w:val="auto"/>
          <w:spacing w:val="3"/>
          <w:kern w:val="0"/>
          <w:sz w:val="32"/>
          <w:szCs w:val="32"/>
        </w:rPr>
        <w:t>人员根据国家及自治区规定</w:t>
      </w:r>
      <w:r>
        <w:rPr>
          <w:rFonts w:hint="eastAsia" w:ascii="仿宋_GB2312" w:hAnsi="仿宋_GB2312" w:eastAsia="仿宋_GB2312" w:cs="仿宋_GB2312"/>
          <w:color w:val="auto"/>
          <w:spacing w:val="3"/>
          <w:kern w:val="0"/>
          <w:sz w:val="32"/>
          <w:szCs w:val="32"/>
          <w:lang w:val="en-US" w:eastAsia="zh-CN"/>
        </w:rPr>
        <w:t>的</w:t>
      </w:r>
      <w:r>
        <w:rPr>
          <w:rFonts w:hint="eastAsia" w:ascii="仿宋_GB2312" w:hAnsi="仿宋_GB2312" w:eastAsia="仿宋_GB2312" w:cs="仿宋_GB2312"/>
          <w:color w:val="auto"/>
          <w:spacing w:val="3"/>
          <w:kern w:val="0"/>
          <w:sz w:val="32"/>
          <w:szCs w:val="32"/>
        </w:rPr>
        <w:t>津补贴标准等安排的</w:t>
      </w:r>
      <w:r>
        <w:rPr>
          <w:rFonts w:hint="eastAsia" w:ascii="仿宋_GB2312" w:hAnsi="仿宋_GB2312" w:eastAsia="仿宋_GB2312" w:cs="仿宋_GB2312"/>
          <w:color w:val="auto"/>
          <w:spacing w:val="3"/>
          <w:kern w:val="0"/>
          <w:sz w:val="32"/>
          <w:szCs w:val="32"/>
          <w:lang w:val="en-US" w:eastAsia="zh-CN"/>
        </w:rPr>
        <w:t>退休生活补助</w:t>
      </w:r>
      <w:r>
        <w:rPr>
          <w:rFonts w:hint="eastAsia" w:ascii="仿宋_GB2312" w:hAnsi="仿宋_GB2312" w:eastAsia="仿宋_GB2312" w:cs="仿宋_GB2312"/>
          <w:color w:val="auto"/>
          <w:spacing w:val="3"/>
          <w:kern w:val="0"/>
          <w:sz w:val="32"/>
          <w:szCs w:val="32"/>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持平</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72.13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pacing w:val="3"/>
          <w:kern w:val="0"/>
          <w:sz w:val="32"/>
          <w:szCs w:val="32"/>
        </w:rPr>
        <w:t>本部门事业人员根据国家及自治区规定的基本工资和津补贴标准</w:t>
      </w:r>
      <w:r>
        <w:rPr>
          <w:rFonts w:hint="eastAsia" w:ascii="仿宋_GB2312" w:hAnsi="仿宋_GB2312" w:eastAsia="仿宋_GB2312" w:cs="仿宋_GB2312"/>
          <w:color w:val="auto"/>
          <w:spacing w:val="3"/>
          <w:kern w:val="0"/>
          <w:sz w:val="32"/>
          <w:szCs w:val="32"/>
          <w:lang w:eastAsia="zh-CN"/>
        </w:rPr>
        <w:t>、</w:t>
      </w:r>
      <w:r>
        <w:rPr>
          <w:rFonts w:hint="eastAsia" w:ascii="仿宋_GB2312" w:hAnsi="仿宋_GB2312" w:eastAsia="仿宋_GB2312" w:cs="仿宋_GB2312"/>
          <w:spacing w:val="3"/>
          <w:kern w:val="0"/>
          <w:sz w:val="32"/>
          <w:szCs w:val="32"/>
        </w:rPr>
        <w:t>住房公积金</w:t>
      </w:r>
      <w:r>
        <w:rPr>
          <w:rFonts w:hint="eastAsia" w:ascii="仿宋_GB2312" w:hAnsi="仿宋_GB2312" w:eastAsia="仿宋_GB2312" w:cs="仿宋_GB2312"/>
          <w:color w:val="auto"/>
          <w:spacing w:val="3"/>
          <w:kern w:val="0"/>
          <w:sz w:val="32"/>
          <w:szCs w:val="32"/>
        </w:rPr>
        <w:t>等安排的人员经费工资福利费支出和日常公用经费支出及业务费支出。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增长5.19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增长7.75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sz w:val="32"/>
          <w:szCs w:val="32"/>
        </w:rPr>
        <w:t>2022年工资增加及</w:t>
      </w:r>
      <w:r>
        <w:rPr>
          <w:rFonts w:hint="eastAsia" w:ascii="仿宋_GB2312" w:eastAsia="仿宋_GB2312"/>
          <w:sz w:val="32"/>
          <w:szCs w:val="32"/>
          <w:lang w:val="en-US" w:eastAsia="zh-CN"/>
        </w:rPr>
        <w:t>社会</w:t>
      </w:r>
      <w:r>
        <w:rPr>
          <w:rFonts w:hint="eastAsia" w:ascii="仿宋_GB2312" w:eastAsia="仿宋_GB2312"/>
          <w:sz w:val="32"/>
          <w:szCs w:val="32"/>
        </w:rPr>
        <w:t>保障费增加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right="0" w:firstLine="930" w:firstLineChars="3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上年结转和结余</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156075" cy="2317750"/>
            <wp:effectExtent l="4445" t="5080" r="11430" b="2032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房管所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85.24</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增长10.8</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增长14.5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77.04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8.2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房管所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82.04</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85.24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103.9</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1.24</w:t>
      </w:r>
      <w:r>
        <w:rPr>
          <w:rFonts w:hint="eastAsia" w:ascii="仿宋" w:hAnsi="仿宋" w:eastAsia="仿宋"/>
          <w:sz w:val="32"/>
          <w:szCs w:val="32"/>
          <w:highlight w:val="none"/>
        </w:rPr>
        <w:t>万元，完成年初预算的</w:t>
      </w:r>
      <w:r>
        <w:rPr>
          <w:rFonts w:ascii="仿宋" w:hAnsi="仿宋" w:eastAsia="仿宋"/>
          <w:sz w:val="32"/>
          <w:szCs w:val="32"/>
          <w:highlight w:val="none"/>
        </w:rPr>
        <w:t>10</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无差异持平。</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根据国家规定对全额拨款事业单位人员的工会经费支出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kern w:val="2"/>
                <w:sz w:val="18"/>
                <w:szCs w:val="18"/>
                <w:highlight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094480" cy="2806065"/>
            <wp:effectExtent l="4445" t="4445" r="15875" b="889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9.94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8.87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89.23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pacing w:val="3"/>
          <w:kern w:val="0"/>
          <w:sz w:val="32"/>
          <w:szCs w:val="32"/>
        </w:rPr>
        <w:t>年初预算</w:t>
      </w:r>
      <w:r>
        <w:rPr>
          <w:rFonts w:hint="eastAsia" w:ascii="仿宋" w:hAnsi="仿宋" w:eastAsia="仿宋" w:cs="仿宋"/>
          <w:color w:val="auto"/>
          <w:spacing w:val="3"/>
          <w:kern w:val="0"/>
          <w:sz w:val="32"/>
          <w:szCs w:val="32"/>
          <w:lang w:eastAsia="zh-CN"/>
        </w:rPr>
        <w:t>基数大。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89.23%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pacing w:val="3"/>
                <w:kern w:val="0"/>
                <w:sz w:val="18"/>
                <w:szCs w:val="18"/>
              </w:rPr>
              <w:t>本部门为保证日常运转发生的基本支出，用于在职人员养老保险支出</w:t>
            </w:r>
            <w:r>
              <w:rPr>
                <w:rFonts w:hint="eastAsia" w:asciiTheme="minorEastAsia" w:hAnsiTheme="minorEastAsia" w:cstheme="minorEastAsia"/>
                <w:color w:val="auto"/>
                <w:spacing w:val="3"/>
                <w:kern w:val="0"/>
                <w:sz w:val="18"/>
                <w:szCs w:val="18"/>
                <w:lang w:eastAsia="zh-CN"/>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pacing w:val="3"/>
                <w:kern w:val="0"/>
                <w:sz w:val="18"/>
                <w:szCs w:val="18"/>
              </w:rPr>
              <w:t>年初预算</w:t>
            </w:r>
            <w:r>
              <w:rPr>
                <w:rFonts w:hint="eastAsia" w:asciiTheme="minorEastAsia" w:hAnsiTheme="minorEastAsia" w:eastAsiaTheme="minorEastAsia" w:cstheme="minorEastAsia"/>
                <w:color w:val="auto"/>
                <w:spacing w:val="3"/>
                <w:kern w:val="0"/>
                <w:sz w:val="18"/>
                <w:szCs w:val="18"/>
                <w:lang w:eastAsia="zh-CN"/>
              </w:rPr>
              <w:t>基数大</w:t>
            </w:r>
            <w:r>
              <w:rPr>
                <w:rFonts w:hint="eastAsia" w:asciiTheme="minorEastAsia" w:hAnsiTheme="minorEastAsia" w:cstheme="minorEastAsia"/>
                <w:color w:val="auto"/>
                <w:spacing w:val="3"/>
                <w:kern w:val="0"/>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城乡社区</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2</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pacing w:val="3"/>
                <w:kern w:val="0"/>
                <w:sz w:val="18"/>
                <w:szCs w:val="18"/>
                <w:lang w:val="en-US" w:eastAsia="zh-CN"/>
              </w:rPr>
              <w:t>退休生活补助</w:t>
            </w:r>
            <w:r>
              <w:rPr>
                <w:rFonts w:hint="eastAsia" w:asciiTheme="minorEastAsia" w:hAnsiTheme="minorEastAsia" w:eastAsiaTheme="minorEastAsia" w:cstheme="minorEastAsia"/>
                <w:color w:val="auto"/>
                <w:spacing w:val="3"/>
                <w:kern w:val="0"/>
                <w:sz w:val="18"/>
                <w:szCs w:val="18"/>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3"/>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67.85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72.13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106.29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原因是：2022年工资增加及社会保障费增加。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91.54%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在职在编人员住房公积金单位部分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pacing w:val="3"/>
                <w:kern w:val="0"/>
                <w:sz w:val="18"/>
                <w:szCs w:val="18"/>
              </w:rPr>
              <w:t>年初预算</w:t>
            </w:r>
            <w:r>
              <w:rPr>
                <w:rFonts w:hint="eastAsia" w:asciiTheme="minorEastAsia" w:hAnsiTheme="minorEastAsia" w:eastAsiaTheme="minorEastAsia" w:cstheme="minorEastAsia"/>
                <w:color w:val="auto"/>
                <w:spacing w:val="3"/>
                <w:kern w:val="0"/>
                <w:sz w:val="18"/>
                <w:szCs w:val="18"/>
                <w:lang w:eastAsia="zh-CN"/>
              </w:rPr>
              <w:t>基数大</w:t>
            </w:r>
            <w:r>
              <w:rPr>
                <w:rFonts w:hint="eastAsia" w:asciiTheme="minorEastAsia" w:hAnsiTheme="minorEastAsia" w:cstheme="minorEastAsia"/>
                <w:color w:val="auto"/>
                <w:spacing w:val="3"/>
                <w:kern w:val="0"/>
                <w:sz w:val="18"/>
                <w:szCs w:val="18"/>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2210399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其他城乡社区住宅支出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108.12%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pacing w:val="3"/>
                <w:kern w:val="0"/>
                <w:sz w:val="18"/>
                <w:szCs w:val="18"/>
              </w:rPr>
              <w:t>本部门事业人员根据国家及自治区规定的基本工资和津补贴标准等安排的人员经费工资福利费支出和日常公用经费支出及业务费支出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2022年工资增加及社会保障费增加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67.85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sz w:val="32"/>
          <w:szCs w:val="32"/>
          <w:highlight w:val="none"/>
          <w:lang w:val="en-US" w:eastAsia="zh-CN"/>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房管所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77.04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74.36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2.68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69.86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97.02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主要原因是：2022年工资增加及社会保障费增加。</w:t>
      </w:r>
    </w:p>
    <w:p>
      <w:pPr>
        <w:jc w:val="lef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30101基本工资26.52万元，30102津贴补贴1.69万元，30103奖金8.64万元，30106伙食补助费0万元，30107绩效工资13.65万元，30108机关事业单位基本养老保险缴费8.87万元，30110职工基本医疗保险缴费3.43万元，30111公务员医疗补助缴费0万元，30112其他社会保障缴费0.26万元，30113住房公积金6.82万元，30305生活补助支出4.5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2.68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30201办公费1.44万元，30207邮电费0万元，30211差旅费0万元，30215会议费0万元，30216培训费0万元，30226劳务费0万元，30228工会经费1.24万元，30299其他商品和服务支出0万元。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74795" cy="25781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4.5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108.43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主要原因是：退休人员生活补助3641.4元用于支付在职人员工资。</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30301离休费0万元，30302退休费0万元，30305生活补助4.5万元。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主要原因：无。</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742055" cy="2216150"/>
            <wp:effectExtent l="4445" t="4445" r="635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主要原因：无。</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84955" cy="2454275"/>
            <wp:effectExtent l="4445" t="4445" r="635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主要原因：无。</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3922395" cy="240601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房管所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房管所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房管所</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房管所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房管所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bookmarkStart w:id="4" w:name="PO_part3A5B1C1DiffReason1"/>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房管所</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安排的支出</w:t>
      </w:r>
      <w:bookmarkStart w:id="6" w:name="_GoBack"/>
      <w:bookmarkEnd w:id="6"/>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spacing w:val="3"/>
          <w:kern w:val="0"/>
          <w:sz w:val="32"/>
          <w:szCs w:val="32"/>
        </w:rPr>
        <w:t>认真贯彻落实中央“八项规定”精神和厉行节约要求，严控和压缩“三公”经费相关支出</w:t>
      </w:r>
      <w:r>
        <w:rPr>
          <w:rFonts w:hint="eastAsia" w:ascii="仿宋_GB2312" w:hAnsi="仿宋_GB2312" w:eastAsia="仿宋_GB2312" w:cs="仿宋_GB2312"/>
          <w:color w:val="auto"/>
          <w:spacing w:val="3"/>
          <w:kern w:val="0"/>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5"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5"/>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u w:color="auto"/>
          <w:lang w:eastAsia="zh-CN"/>
        </w:rPr>
        <w:t>环江毛南族自治县</w:t>
      </w:r>
      <w:r>
        <w:rPr>
          <w:rFonts w:hint="eastAsia" w:ascii="仿宋" w:hAnsi="仿宋" w:eastAsia="仿宋" w:cs="仿宋"/>
          <w:sz w:val="32"/>
          <w:u w:color="auto"/>
          <w:lang w:val="en-US" w:eastAsia="zh-CN"/>
        </w:rPr>
        <w:t>房地产管理所</w:t>
      </w:r>
      <w:r>
        <w:rPr>
          <w:rFonts w:hint="eastAsia" w:ascii="仿宋" w:hAnsi="仿宋" w:eastAsia="仿宋" w:cs="仿宋"/>
          <w:sz w:val="32"/>
          <w:u w:color="auto"/>
          <w:lang w:eastAsia="zh-CN"/>
        </w:rPr>
        <w:t>单位</w:t>
      </w:r>
      <w:r>
        <w:rPr>
          <w:rFonts w:hint="eastAsia" w:ascii="仿宋" w:hAnsi="仿宋" w:eastAsia="仿宋" w:cs="仿宋"/>
          <w:sz w:val="32"/>
          <w:szCs w:val="32"/>
          <w:highlight w:val="none"/>
        </w:rPr>
        <w:t>开支财政拨款的公务用车保有量为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本部门本年度无公务接待。</w:t>
      </w:r>
      <w:r>
        <w:rPr>
          <w:rFonts w:hint="eastAsia" w:ascii="仿宋" w:hAnsi="仿宋" w:eastAsia="仿宋" w:cs="仿宋"/>
          <w:sz w:val="32"/>
          <w:szCs w:val="32"/>
        </w:rPr>
        <w:t>国内公务接待批次</w:t>
      </w:r>
      <w:r>
        <w:rPr>
          <w:rFonts w:hint="eastAsia" w:ascii="仿宋" w:hAnsi="仿宋" w:eastAsia="仿宋" w:cs="仿宋"/>
          <w:sz w:val="32"/>
          <w:szCs w:val="32"/>
          <w:lang w:val="en-US" w:eastAsia="zh-CN"/>
        </w:rPr>
        <w:t>0</w:t>
      </w:r>
      <w:r>
        <w:rPr>
          <w:rFonts w:hint="eastAsia" w:ascii="仿宋" w:hAnsi="仿宋" w:eastAsia="仿宋" w:cs="仿宋"/>
          <w:sz w:val="32"/>
          <w:szCs w:val="32"/>
        </w:rPr>
        <w:t>次，人次</w:t>
      </w:r>
      <w:r>
        <w:rPr>
          <w:rFonts w:hint="eastAsia" w:ascii="仿宋" w:hAnsi="仿宋" w:eastAsia="仿宋" w:cs="仿宋"/>
          <w:sz w:val="32"/>
          <w:szCs w:val="32"/>
          <w:lang w:val="en-US" w:eastAsia="zh-CN"/>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2.68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个，涉及资金</w:t>
      </w:r>
      <w:r>
        <w:rPr>
          <w:rFonts w:hint="eastAsia" w:ascii="仿宋" w:hAnsi="仿宋" w:eastAsia="仿宋" w:cs="仿宋"/>
          <w:color w:val="000000" w:themeColor="text1"/>
          <w:sz w:val="32"/>
          <w:szCs w:val="32"/>
          <w:lang w:val="en-US" w:eastAsia="zh-CN"/>
          <w14:textFill>
            <w14:solidFill>
              <w14:schemeClr w14:val="tx1"/>
            </w14:solidFill>
          </w14:textFill>
        </w:rPr>
        <w:t>8.2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9.61</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2022年度本单位无</w:t>
      </w:r>
      <w:r>
        <w:rPr>
          <w:rFonts w:hint="eastAsia" w:ascii="仿宋" w:hAnsi="仿宋" w:eastAsia="仿宋" w:cs="仿宋"/>
          <w:color w:val="000000" w:themeColor="text1"/>
          <w:sz w:val="32"/>
          <w:szCs w:val="32"/>
          <w14:textFill>
            <w14:solidFill>
              <w14:schemeClr w14:val="tx1"/>
            </w14:solidFill>
          </w14:textFill>
        </w:rPr>
        <w:t>政府性基金预算项目，</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本单位无</w:t>
      </w:r>
      <w:r>
        <w:rPr>
          <w:rFonts w:hint="eastAsia" w:ascii="仿宋" w:hAnsi="仿宋" w:eastAsia="仿宋" w:cs="仿宋"/>
          <w:color w:val="000000" w:themeColor="text1"/>
          <w:sz w:val="32"/>
          <w:szCs w:val="32"/>
          <w14:textFill>
            <w14:solidFill>
              <w14:schemeClr w14:val="tx1"/>
            </w14:solidFill>
          </w14:textFill>
        </w:rPr>
        <w:t>国有资本经营预算项目</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本单位通过产出指标、效益指标和满意度指标对单位总体进行绩效自评，预算执行率86.27%，自评结论一等。我单位2022年为</w:t>
      </w:r>
      <w:r>
        <w:rPr>
          <w:rFonts w:hint="eastAsia" w:ascii="仿宋" w:hAnsi="仿宋" w:eastAsia="仿宋" w:cs="仿宋"/>
          <w:color w:val="auto"/>
          <w:sz w:val="32"/>
          <w:szCs w:val="32"/>
        </w:rPr>
        <w:t>保障</w:t>
      </w:r>
      <w:r>
        <w:rPr>
          <w:rFonts w:hint="eastAsia" w:ascii="仿宋_GB2312" w:hAnsi="仿宋_GB2312" w:eastAsia="仿宋_GB2312" w:cs="仿宋_GB2312"/>
          <w:color w:val="auto"/>
          <w:spacing w:val="0"/>
          <w:w w:val="100"/>
          <w:kern w:val="0"/>
          <w:position w:val="0"/>
          <w:sz w:val="32"/>
          <w:szCs w:val="32"/>
          <w:highlight w:val="none"/>
          <w:lang w:val="en-US" w:eastAsia="zh-CN"/>
        </w:rPr>
        <w:t>开展商品房预售许可审批、指导和监督物业管理相关工作、白蚁防治、房地产开发、房屋交易管理、房屋租赁、房地产估价与经纪</w:t>
      </w:r>
      <w:r>
        <w:rPr>
          <w:rFonts w:hint="eastAsia" w:ascii="仿宋_GB2312" w:eastAsia="仿宋_GB2312"/>
          <w:color w:val="auto"/>
          <w:sz w:val="32"/>
          <w:szCs w:val="32"/>
          <w:highlight w:val="none"/>
        </w:rPr>
        <w:t>管理、危房鉴定、房屋征收拆迁</w:t>
      </w:r>
      <w:r>
        <w:rPr>
          <w:rFonts w:hint="eastAsia" w:ascii="仿宋_GB2312" w:eastAsia="仿宋_GB2312"/>
          <w:color w:val="auto"/>
          <w:sz w:val="32"/>
          <w:szCs w:val="32"/>
          <w:highlight w:val="none"/>
          <w:lang w:eastAsia="zh-CN"/>
        </w:rPr>
        <w:t>、商品房预售资金</w:t>
      </w:r>
      <w:r>
        <w:rPr>
          <w:rFonts w:hint="eastAsia" w:ascii="仿宋_GB2312" w:eastAsia="仿宋_GB2312"/>
          <w:color w:val="auto"/>
          <w:sz w:val="32"/>
          <w:szCs w:val="32"/>
          <w:highlight w:val="none"/>
        </w:rPr>
        <w:t>监督</w:t>
      </w:r>
      <w:r>
        <w:rPr>
          <w:rFonts w:hint="eastAsia" w:ascii="仿宋_GB2312" w:eastAsia="仿宋_GB2312"/>
          <w:color w:val="auto"/>
          <w:sz w:val="32"/>
          <w:szCs w:val="32"/>
          <w:highlight w:val="none"/>
          <w:lang w:eastAsia="zh-CN"/>
        </w:rPr>
        <w:t>管理、住宅专项维修资金监督管理等工作</w:t>
      </w:r>
      <w:r>
        <w:rPr>
          <w:rFonts w:hint="eastAsia" w:ascii="仿宋" w:hAnsi="仿宋" w:eastAsia="仿宋" w:cs="仿宋"/>
          <w:color w:val="auto"/>
          <w:sz w:val="32"/>
          <w:szCs w:val="32"/>
          <w:lang w:val="en-US" w:eastAsia="zh-CN"/>
        </w:rPr>
        <w:t>，绩效自评结果理想。</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我部门根据年初设定的绩效目标，房管所工作经费项目自评得分为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98.63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EC8FAB4"/>
    <w:multiLevelType w:val="singleLevel"/>
    <w:tmpl w:val="CEC8FAB4"/>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E8C58864"/>
    <w:multiLevelType w:val="singleLevel"/>
    <w:tmpl w:val="E8C58864"/>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wZTE1MTkyY2M3NTkwZjJhNDhhN2FiOTBjMWIwODI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814DD"/>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C90768"/>
    <w:rsid w:val="02E0291A"/>
    <w:rsid w:val="04E54546"/>
    <w:rsid w:val="05992762"/>
    <w:rsid w:val="07B0770E"/>
    <w:rsid w:val="0942143F"/>
    <w:rsid w:val="0C0E631F"/>
    <w:rsid w:val="0D100297"/>
    <w:rsid w:val="0D202B45"/>
    <w:rsid w:val="0E897E9D"/>
    <w:rsid w:val="0F673C0E"/>
    <w:rsid w:val="0F8D4C87"/>
    <w:rsid w:val="10505FAA"/>
    <w:rsid w:val="105F7E7E"/>
    <w:rsid w:val="11E56B5B"/>
    <w:rsid w:val="125C77AB"/>
    <w:rsid w:val="139D4544"/>
    <w:rsid w:val="140064FA"/>
    <w:rsid w:val="14CB726E"/>
    <w:rsid w:val="16483E1A"/>
    <w:rsid w:val="17E92249"/>
    <w:rsid w:val="18D304F1"/>
    <w:rsid w:val="19F32577"/>
    <w:rsid w:val="19F45B80"/>
    <w:rsid w:val="1AC96A75"/>
    <w:rsid w:val="1B0C078D"/>
    <w:rsid w:val="1B2B31E2"/>
    <w:rsid w:val="1B4C295A"/>
    <w:rsid w:val="1B973C63"/>
    <w:rsid w:val="1BA1001E"/>
    <w:rsid w:val="1D317259"/>
    <w:rsid w:val="1E664F5B"/>
    <w:rsid w:val="1EB34BE1"/>
    <w:rsid w:val="215E639F"/>
    <w:rsid w:val="21E0151C"/>
    <w:rsid w:val="21EC3183"/>
    <w:rsid w:val="21F901D7"/>
    <w:rsid w:val="222D54DF"/>
    <w:rsid w:val="225E72CD"/>
    <w:rsid w:val="238529B4"/>
    <w:rsid w:val="246E2F77"/>
    <w:rsid w:val="254B4E2B"/>
    <w:rsid w:val="283D7C94"/>
    <w:rsid w:val="29480E03"/>
    <w:rsid w:val="2983634D"/>
    <w:rsid w:val="2BB02055"/>
    <w:rsid w:val="2C575A56"/>
    <w:rsid w:val="2CB6282F"/>
    <w:rsid w:val="2EF67098"/>
    <w:rsid w:val="2F257714"/>
    <w:rsid w:val="2F3275E5"/>
    <w:rsid w:val="30AA08EF"/>
    <w:rsid w:val="30D23D1C"/>
    <w:rsid w:val="31221CF5"/>
    <w:rsid w:val="31400178"/>
    <w:rsid w:val="321E3342"/>
    <w:rsid w:val="327759C8"/>
    <w:rsid w:val="33185FE3"/>
    <w:rsid w:val="34EE2E36"/>
    <w:rsid w:val="36777241"/>
    <w:rsid w:val="37C95891"/>
    <w:rsid w:val="38A951DB"/>
    <w:rsid w:val="38B31605"/>
    <w:rsid w:val="39003F4F"/>
    <w:rsid w:val="391F6B2D"/>
    <w:rsid w:val="3AB1477A"/>
    <w:rsid w:val="3BDB6487"/>
    <w:rsid w:val="3C07002B"/>
    <w:rsid w:val="3D0D152A"/>
    <w:rsid w:val="3D3D365F"/>
    <w:rsid w:val="3DF62756"/>
    <w:rsid w:val="3F1B7587"/>
    <w:rsid w:val="418D4C98"/>
    <w:rsid w:val="41E57B4F"/>
    <w:rsid w:val="432F26F6"/>
    <w:rsid w:val="43880F63"/>
    <w:rsid w:val="441C5A6F"/>
    <w:rsid w:val="44C44FCC"/>
    <w:rsid w:val="44CC7369"/>
    <w:rsid w:val="457F5108"/>
    <w:rsid w:val="45F8417E"/>
    <w:rsid w:val="46656890"/>
    <w:rsid w:val="46951B6B"/>
    <w:rsid w:val="47015137"/>
    <w:rsid w:val="49A34401"/>
    <w:rsid w:val="4A3E30AB"/>
    <w:rsid w:val="4AC14DAC"/>
    <w:rsid w:val="4D154C85"/>
    <w:rsid w:val="4EC8553A"/>
    <w:rsid w:val="50331ABD"/>
    <w:rsid w:val="508F4E24"/>
    <w:rsid w:val="51461E90"/>
    <w:rsid w:val="51463753"/>
    <w:rsid w:val="521C7A55"/>
    <w:rsid w:val="52553A93"/>
    <w:rsid w:val="53521F8B"/>
    <w:rsid w:val="53E22F47"/>
    <w:rsid w:val="541A5839"/>
    <w:rsid w:val="54522FF8"/>
    <w:rsid w:val="54645881"/>
    <w:rsid w:val="55450629"/>
    <w:rsid w:val="56692963"/>
    <w:rsid w:val="568B0F48"/>
    <w:rsid w:val="5786217B"/>
    <w:rsid w:val="59337A15"/>
    <w:rsid w:val="59810274"/>
    <w:rsid w:val="5CA96A00"/>
    <w:rsid w:val="5CF730BC"/>
    <w:rsid w:val="5E5F0DCE"/>
    <w:rsid w:val="5ED82947"/>
    <w:rsid w:val="5EF721FF"/>
    <w:rsid w:val="5FA40A7B"/>
    <w:rsid w:val="5FD56D29"/>
    <w:rsid w:val="5FEC7F3F"/>
    <w:rsid w:val="60F74BC3"/>
    <w:rsid w:val="617D3BF8"/>
    <w:rsid w:val="61841F6A"/>
    <w:rsid w:val="623007A9"/>
    <w:rsid w:val="63593415"/>
    <w:rsid w:val="637D7558"/>
    <w:rsid w:val="644F19AC"/>
    <w:rsid w:val="64CB0DF9"/>
    <w:rsid w:val="65AA4920"/>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5396903"/>
    <w:rsid w:val="76E37763"/>
    <w:rsid w:val="78104AA8"/>
    <w:rsid w:val="78E257C5"/>
    <w:rsid w:val="794B35BE"/>
    <w:rsid w:val="7A111CA8"/>
    <w:rsid w:val="7B0A3A31"/>
    <w:rsid w:val="7B3360ED"/>
    <w:rsid w:val="7B5319F3"/>
    <w:rsid w:val="7BDF037E"/>
    <w:rsid w:val="7BF50948"/>
    <w:rsid w:val="7C5D1135"/>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4164.54</c:v>
                </c:pt>
                <c:pt idx="1">
                  <c:v>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6545"/>
          <c:y val="0.160084033613445"/>
          <c:w val="0.905175"/>
          <c:h val="0.643151260504202"/>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城乡社区支出</c:v>
                </c:pt>
                <c:pt idx="4">
                  <c:v>住房保障支出</c:v>
                </c:pt>
              </c:strCache>
            </c:strRef>
          </c:cat>
          <c:val>
            <c:numRef>
              <c:f>Sheet1!$B$2:$B$6</c:f>
              <c:numCache>
                <c:formatCode>General</c:formatCode>
                <c:ptCount val="5"/>
                <c:pt idx="0">
                  <c:v>1.24</c:v>
                </c:pt>
                <c:pt idx="1">
                  <c:v>7.5</c:v>
                </c:pt>
                <c:pt idx="2">
                  <c:v>3</c:v>
                </c:pt>
                <c:pt idx="3">
                  <c:v>0</c:v>
                </c:pt>
                <c:pt idx="4">
                  <c:v>66.94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城乡社区支出</c:v>
                </c:pt>
                <c:pt idx="4">
                  <c:v>住房保障支出</c:v>
                </c:pt>
              </c:strCache>
            </c:strRef>
          </c:cat>
          <c:val>
            <c:numRef>
              <c:f>Sheet1!$C$2:$C$6</c:f>
              <c:numCache>
                <c:formatCode>General</c:formatCode>
                <c:ptCount val="5"/>
                <c:pt idx="0">
                  <c:v>1.24</c:v>
                </c:pt>
                <c:pt idx="1">
                  <c:v>8.87</c:v>
                </c:pt>
                <c:pt idx="2">
                  <c:v>3</c:v>
                </c:pt>
                <c:pt idx="3">
                  <c:v>0</c:v>
                </c:pt>
                <c:pt idx="4">
                  <c:v>72.13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600" b="1" i="0" u="none" strike="noStrike" kern="1200" baseline="0">
                <a:solidFill>
                  <a:schemeClr val="tx2"/>
                </a:solidFill>
                <a:latin typeface="+mn-lt"/>
                <a:ea typeface="+mn-ea"/>
                <a:cs typeface="+mn-cs"/>
              </a:defRPr>
            </a:pPr>
            <a:r>
              <a:t>其他群众团体事务支出</a:t>
            </a:r>
          </a:p>
        </c:rich>
      </c:tx>
      <c:layout>
        <c:manualLayout>
          <c:xMode val="edge"/>
          <c:yMode val="edge"/>
          <c:x val="0.288704413225486"/>
          <c:y val="0.023696682464455"/>
        </c:manualLayout>
      </c:layout>
      <c:overlay val="0"/>
      <c:spPr>
        <a:noFill/>
        <a:ln>
          <a:noFill/>
        </a:ln>
        <a:effectLst/>
      </c:spPr>
    </c:title>
    <c:autoTitleDeleted val="0"/>
    <c:plotArea>
      <c:layout>
        <c:manualLayout>
          <c:layoutTarget val="inner"/>
          <c:xMode val="edge"/>
          <c:yMode val="edge"/>
          <c:x val="0.0850858521356606"/>
          <c:y val="0.180687203791469"/>
          <c:w val="0.879438058748404"/>
          <c:h val="0.655094786729858"/>
        </c:manualLayout>
      </c:layout>
      <c:barChart>
        <c:barDir val="col"/>
        <c:grouping val="clustered"/>
        <c:varyColors val="0"/>
        <c:ser>
          <c:idx val="0"/>
          <c:order val="0"/>
          <c:tx>
            <c:strRef>
              <c:f>Sheet1!$B$1</c:f>
              <c:strCache>
                <c:ptCount val="1"/>
                <c:pt idx="0">
                  <c:v>科目代码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elete val="1"/>
          </c:dLbls>
          <c:cat>
            <c:numRef>
              <c:f>Sheet1!$A$2:$A$10</c:f>
              <c:numCache>
                <c:formatCode>General</c:formatCode>
                <c:ptCount val="9"/>
                <c:pt idx="0">
                  <c:v>2012999</c:v>
                </c:pt>
              </c:numCache>
            </c:numRef>
          </c:cat>
          <c:val>
            <c:numRef>
              <c:f>Sheet1!$B$2:$B$10</c:f>
              <c:numCache>
                <c:formatCode>General</c:formatCode>
                <c:ptCount val="9"/>
                <c:pt idx="0">
                  <c:v>1.24</c:v>
                </c:pt>
              </c:numCache>
            </c:numRef>
          </c:val>
        </c:ser>
        <c:dLbls>
          <c:showLegendKey val="0"/>
          <c:showVal val="0"/>
          <c:showCatName val="0"/>
          <c:showSerName val="0"/>
          <c:showPercent val="0"/>
          <c:showBubbleSize val="0"/>
        </c:dLbls>
        <c:gapWidth val="100"/>
        <c:overlap val="-24"/>
        <c:axId val="-172443008"/>
        <c:axId val="-172445728"/>
      </c:barChart>
      <c:catAx>
        <c:axId val="-172443008"/>
        <c:scaling>
          <c:orientation val="minMax"/>
        </c:scaling>
        <c:delete val="0"/>
        <c:axPos val="b"/>
        <c:numFmt formatCode="General" sourceLinked="0"/>
        <c:majorTickMark val="out"/>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785582517383284"/>
          <c:y val="0.166469194312796"/>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numCache>
            </c:numRef>
          </c:cat>
          <c:val>
            <c:numRef>
              <c:f>Sheet1!$B$2:$B$5</c:f>
              <c:numCache>
                <c:formatCode>General</c:formatCode>
                <c:ptCount val="4"/>
                <c:pt idx="0">
                  <c:v>8.87</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城乡社区</a:t>
            </a:r>
            <a:r>
              <a:rPr lang="en-US"/>
              <a:t>支出</a:t>
            </a:r>
            <a:endParaRPr lang="en-US" sz="1100"/>
          </a:p>
        </c:rich>
      </c:tx>
      <c:layout>
        <c:manualLayout>
          <c:xMode val="edge"/>
          <c:yMode val="edge"/>
          <c:x val="0.337945224918405"/>
          <c:y val="0.020734597156398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2120101</c:v>
                </c:pt>
              </c:numCache>
            </c:numRef>
          </c:cat>
          <c:val>
            <c:numRef>
              <c:f>Sheet1!$B$2:$B$5</c:f>
              <c:numCache>
                <c:formatCode>General</c:formatCode>
                <c:ptCount val="4"/>
                <c:pt idx="0">
                  <c:v>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pt idx="1">
                  <c:v>2210399</c:v>
                </c:pt>
              </c:numCache>
            </c:numRef>
          </c:cat>
          <c:val>
            <c:numRef>
              <c:f>Sheet1!$B$2:$B$3</c:f>
              <c:numCache>
                <c:formatCode>General</c:formatCode>
                <c:ptCount val="2"/>
                <c:pt idx="0">
                  <c:v>6.82</c:v>
                </c:pt>
                <c:pt idx="1">
                  <c:v>65.31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manualLayout>
          <c:layoutTarget val="inner"/>
          <c:xMode val="edge"/>
          <c:yMode val="edge"/>
          <c:x val="0.0764296863913722"/>
          <c:y val="0.166469194312796"/>
          <c:w val="0.879733219809848"/>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30305</c:v>
                </c:pt>
              </c:numCache>
            </c:numRef>
          </c:cat>
          <c:val>
            <c:numRef>
              <c:f>Sheet1!$B$2:$B$14</c:f>
              <c:numCache>
                <c:formatCode>General</c:formatCode>
                <c:ptCount val="13"/>
                <c:pt idx="0">
                  <c:v>26.52</c:v>
                </c:pt>
                <c:pt idx="1">
                  <c:v>1.69</c:v>
                </c:pt>
                <c:pt idx="2">
                  <c:v>8.64</c:v>
                </c:pt>
                <c:pt idx="3">
                  <c:v>0</c:v>
                </c:pt>
                <c:pt idx="4">
                  <c:v>13.65</c:v>
                </c:pt>
                <c:pt idx="5">
                  <c:v>8.87</c:v>
                </c:pt>
                <c:pt idx="6">
                  <c:v>0</c:v>
                </c:pt>
                <c:pt idx="7">
                  <c:v>3.43</c:v>
                </c:pt>
                <c:pt idx="8">
                  <c:v>0</c:v>
                </c:pt>
                <c:pt idx="9">
                  <c:v>0.26</c:v>
                </c:pt>
                <c:pt idx="10">
                  <c:v>6.82</c:v>
                </c:pt>
                <c:pt idx="11">
                  <c:v>0</c:v>
                </c:pt>
                <c:pt idx="12">
                  <c:v>4.5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1.44</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1.24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30305</c:v>
                </c:pt>
              </c:numCache>
            </c:numRef>
          </c:cat>
          <c:val>
            <c:numRef>
              <c:f>Sheet1!$B$2:$B$13</c:f>
              <c:numCache>
                <c:formatCode>General</c:formatCode>
                <c:ptCount val="12"/>
                <c:pt idx="0">
                  <c:v>0</c:v>
                </c:pt>
                <c:pt idx="1">
                  <c:v>0</c:v>
                </c:pt>
                <c:pt idx="2">
                  <c:v>4.5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2023-11-23T09:04:00Z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905009900D974109960342E376E51271</vt:lpwstr>
  </property>
</Properties>
</file>