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河池市环江生态环境局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河池市环江生态环境局部门</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河池市环江生态环境局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河池市环江生态环境局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河池市环江生态环境局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before="100" w:beforeAutospacing="1" w:after="100" w:afterAutospacing="1" w:line="380" w:lineRule="exact"/>
        <w:ind w:firstLine="629"/>
        <w:rPr>
          <w:rFonts w:hint="eastAsia" w:ascii="仿宋_GB2312" w:eastAsia="仿宋_GB2312"/>
          <w:color w:val="000000"/>
          <w:sz w:val="32"/>
          <w:szCs w:val="32"/>
        </w:rPr>
      </w:pPr>
      <w:r>
        <w:rPr>
          <w:rFonts w:hint="eastAsia" w:ascii="仿宋_GB2312" w:eastAsia="仿宋_GB2312"/>
          <w:color w:val="000000"/>
          <w:sz w:val="24"/>
        </w:rPr>
        <w:t>（</w:t>
      </w:r>
      <w:r>
        <w:rPr>
          <w:rFonts w:hint="eastAsia" w:ascii="仿宋_GB2312" w:eastAsia="仿宋_GB2312"/>
          <w:color w:val="000000"/>
          <w:sz w:val="32"/>
          <w:szCs w:val="32"/>
        </w:rPr>
        <w:t>一）负责贯彻执行国家、自治区环境保护法律法规、方针、政策和规章制度。组织实施环境保护地方性法规、规章和规范性文件以及环境保护政策和规划，组织编制环境功能区划，组织拟订重点区域、流域污染防治规划和饮用水水源地环境保护规划并监督实施，参与制订全县主体功能区划。</w:t>
      </w:r>
    </w:p>
    <w:p>
      <w:pPr>
        <w:spacing w:before="100" w:beforeAutospacing="1" w:after="100" w:afterAutospacing="1" w:line="380" w:lineRule="exact"/>
        <w:ind w:firstLine="629"/>
        <w:rPr>
          <w:rFonts w:hint="eastAsia" w:ascii="仿宋_GB2312" w:eastAsia="仿宋_GB2312"/>
          <w:color w:val="666666"/>
          <w:sz w:val="32"/>
          <w:szCs w:val="32"/>
        </w:rPr>
      </w:pPr>
      <w:r>
        <w:rPr>
          <w:rFonts w:hint="eastAsia" w:ascii="仿宋_GB2312" w:eastAsia="仿宋_GB2312"/>
          <w:color w:val="000000"/>
          <w:sz w:val="32"/>
          <w:szCs w:val="32"/>
        </w:rPr>
        <w:t xml:space="preserve">（二）负责全县重大环境问题的统筹协调和监督管理，牵头协调重大环境事故和生态破坏事件的调查处理，指导协调重特大突发环境事件的应急、预警工作，协调解决境内环境污染纠纷，统筹协调全县污染防治工作。   </w:t>
      </w:r>
    </w:p>
    <w:p>
      <w:pPr>
        <w:spacing w:before="100" w:beforeAutospacing="1" w:after="100" w:afterAutospacing="1" w:line="380" w:lineRule="exact"/>
        <w:ind w:firstLine="629"/>
        <w:rPr>
          <w:rFonts w:hint="eastAsia" w:ascii="仿宋_GB2312" w:eastAsia="仿宋_GB2312"/>
          <w:color w:val="666666"/>
          <w:sz w:val="32"/>
          <w:szCs w:val="32"/>
        </w:rPr>
      </w:pPr>
      <w:r>
        <w:rPr>
          <w:rFonts w:hint="eastAsia" w:ascii="仿宋_GB2312" w:eastAsia="仿宋_GB2312"/>
          <w:color w:val="000000"/>
          <w:sz w:val="32"/>
          <w:szCs w:val="32"/>
        </w:rPr>
        <w:t>（三）负责协调和组织实施主要污染物减排工作。组织实施主要污染物排放总量控制和排污许可证制度，牵头实施环境保护目标责任制、主要污染物总量减排考核上报等。</w:t>
      </w:r>
    </w:p>
    <w:p>
      <w:pPr>
        <w:spacing w:before="100" w:beforeAutospacing="1" w:after="100" w:afterAutospacing="1" w:line="380" w:lineRule="exact"/>
        <w:ind w:firstLine="629"/>
        <w:rPr>
          <w:rFonts w:hint="eastAsia" w:ascii="仿宋_GB2312" w:eastAsia="仿宋_GB2312"/>
          <w:color w:val="666666"/>
          <w:sz w:val="32"/>
          <w:szCs w:val="32"/>
        </w:rPr>
      </w:pPr>
      <w:r>
        <w:rPr>
          <w:rFonts w:hint="eastAsia" w:ascii="仿宋_GB2312" w:eastAsia="仿宋_GB2312"/>
          <w:color w:val="000000"/>
          <w:sz w:val="32"/>
          <w:szCs w:val="32"/>
        </w:rPr>
        <w:t>（四）负责提出全县环境保护领域固定资产投资规模和方向、财政性环保专项资金安排的建议，按照自治县人民政府规定权限、配合有关部门对环保领域计划规模内固定资产投资项目实施监督工作。参与指导和推动循环经济和环境保护产业发展，参与应对气候变化工作。</w:t>
      </w:r>
    </w:p>
    <w:p>
      <w:pPr>
        <w:spacing w:before="100" w:beforeAutospacing="1" w:after="100" w:afterAutospacing="1" w:line="380" w:lineRule="exact"/>
        <w:ind w:firstLine="629"/>
        <w:rPr>
          <w:rFonts w:hint="eastAsia" w:ascii="仿宋_GB2312" w:eastAsia="仿宋_GB2312"/>
          <w:color w:val="666666"/>
          <w:sz w:val="32"/>
          <w:szCs w:val="32"/>
        </w:rPr>
      </w:pPr>
      <w:r>
        <w:rPr>
          <w:rFonts w:hint="eastAsia" w:ascii="仿宋_GB2312" w:eastAsia="仿宋_GB2312"/>
          <w:color w:val="000000"/>
          <w:sz w:val="32"/>
          <w:szCs w:val="32"/>
        </w:rPr>
        <w:t>（五）承担全县从源头上预防、控制环境污染和生态破坏的责任。受自治县人民政府委托对重大经济和技术政策、发展规划以及重大经济开发计划进行环境影响评价，对涉及环境保护的地方性法规、规章、规范性文件草案提出有关环境影响方面的意见，按规定权限组织审查重大建设领域环境影响评价文件和审批项目环境影响评价文件。</w:t>
      </w:r>
    </w:p>
    <w:p>
      <w:pPr>
        <w:spacing w:before="100" w:beforeAutospacing="1" w:after="100" w:afterAutospacing="1" w:line="380" w:lineRule="exact"/>
        <w:ind w:firstLine="629"/>
        <w:rPr>
          <w:rFonts w:hint="eastAsia" w:ascii="仿宋_GB2312" w:eastAsia="仿宋_GB2312"/>
          <w:color w:val="666666"/>
          <w:sz w:val="32"/>
          <w:szCs w:val="32"/>
        </w:rPr>
      </w:pPr>
      <w:r>
        <w:rPr>
          <w:rFonts w:hint="eastAsia" w:ascii="仿宋_GB2312" w:eastAsia="仿宋_GB2312"/>
          <w:color w:val="000000"/>
          <w:sz w:val="32"/>
          <w:szCs w:val="32"/>
        </w:rPr>
        <w:t>（六）负责全县环境污染防治的监督管理。组织实施大气、水体、土壤、噪声、光、恶臭、固体废物、化学品、机动车污染防治管理制度，会同有关部门监督管理饮用水水源地环境保护工作，组织指导乡镇和农村的环境综合整治工作。</w:t>
      </w:r>
    </w:p>
    <w:p>
      <w:pPr>
        <w:spacing w:before="100" w:beforeAutospacing="1" w:after="100" w:afterAutospacing="1" w:line="380" w:lineRule="exact"/>
        <w:ind w:firstLine="629"/>
        <w:rPr>
          <w:rFonts w:hint="eastAsia" w:ascii="仿宋_GB2312" w:eastAsia="仿宋_GB2312"/>
          <w:color w:val="666666"/>
          <w:sz w:val="32"/>
          <w:szCs w:val="32"/>
        </w:rPr>
      </w:pPr>
      <w:r>
        <w:rPr>
          <w:rFonts w:hint="eastAsia" w:ascii="仿宋_GB2312" w:eastAsia="仿宋_GB2312"/>
          <w:color w:val="000000"/>
          <w:sz w:val="32"/>
          <w:szCs w:val="32"/>
        </w:rPr>
        <w:t>（七）指导、协调、监督全县生态保护工作。拟订生态保护规划，组织评估生态环境质量状况，监督对生态环境有影响的自然资源开发利用活动，重要生态环境建设和生态破坏恢复工作。指导、协调、监督各种类型的自然保护区、风景名胜区、森林公园环境保护工作，协调和监督野生动植物保护、湿地环境保护、石漠化防治工作，协调、指导农村生态环境保护、生态示范建设、协调和组织实施生态县建设工作。</w:t>
      </w:r>
    </w:p>
    <w:p>
      <w:pPr>
        <w:spacing w:before="100" w:beforeAutospacing="1" w:after="100" w:afterAutospacing="1" w:line="380" w:lineRule="exact"/>
        <w:ind w:firstLine="629"/>
        <w:rPr>
          <w:rFonts w:hint="eastAsia" w:ascii="仿宋_GB2312" w:eastAsia="仿宋_GB2312"/>
          <w:color w:val="666666"/>
          <w:sz w:val="32"/>
          <w:szCs w:val="32"/>
        </w:rPr>
      </w:pPr>
      <w:r>
        <w:rPr>
          <w:rFonts w:hint="eastAsia" w:ascii="仿宋_GB2312" w:eastAsia="仿宋_GB2312"/>
          <w:color w:val="000000"/>
          <w:sz w:val="32"/>
          <w:szCs w:val="32"/>
        </w:rPr>
        <w:t>（八）协助上级环保部门监督管理核设施安全、放射源安全，参与核事故、辐射环境事故的应急处理，参与反生物、反化学、反核与辐射恐怖袭击工作。</w:t>
      </w:r>
    </w:p>
    <w:p>
      <w:pPr>
        <w:spacing w:line="3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九）负责全县环境监测、统计和信息发布工作。组织实施环境监测制度和规范，组织实施环境质量监测和污染源监督性监测，组织对环境质量状况进行调查评估、预测预警、组织建设和管理环境监测网和环境信息网。</w:t>
      </w:r>
    </w:p>
    <w:p>
      <w:pPr>
        <w:spacing w:before="100" w:beforeAutospacing="1" w:after="100" w:afterAutospacing="1" w:line="380" w:lineRule="exact"/>
        <w:ind w:firstLine="629"/>
        <w:rPr>
          <w:rFonts w:hint="eastAsia" w:ascii="仿宋_GB2312" w:eastAsia="仿宋_GB2312"/>
          <w:color w:val="000000"/>
          <w:sz w:val="32"/>
          <w:szCs w:val="32"/>
        </w:rPr>
      </w:pPr>
      <w:r>
        <w:rPr>
          <w:rFonts w:hint="eastAsia" w:ascii="仿宋_GB2312" w:eastAsia="仿宋_GB2312"/>
          <w:color w:val="000000"/>
          <w:sz w:val="32"/>
          <w:szCs w:val="32"/>
        </w:rPr>
        <w:t>（十）组织开展环境保护科学研究和技术工程示范，推动环境技术管理体系建设，受理上市企业环保核查申请，推动循环经济建设，协助相关部门做好企业清洁生产核查工作。</w:t>
      </w:r>
    </w:p>
    <w:p>
      <w:pPr>
        <w:spacing w:before="100" w:beforeAutospacing="1" w:after="100" w:afterAutospacing="1" w:line="380" w:lineRule="exact"/>
        <w:ind w:firstLine="629"/>
        <w:rPr>
          <w:rFonts w:hint="eastAsia" w:ascii="仿宋_GB2312" w:eastAsia="仿宋_GB2312"/>
          <w:color w:val="000000"/>
          <w:sz w:val="32"/>
          <w:szCs w:val="32"/>
        </w:rPr>
      </w:pPr>
      <w:r>
        <w:rPr>
          <w:rFonts w:hint="eastAsia" w:ascii="仿宋_GB2312" w:eastAsia="仿宋_GB2312"/>
          <w:color w:val="000000"/>
          <w:sz w:val="32"/>
          <w:szCs w:val="32"/>
        </w:rPr>
        <w:t>（十一）协助上级环境保护部门开展环境保护方面的国际合作与交流，参与协调受市环保局和自治县人民政府委托处理涉外环境保护事务。</w:t>
      </w:r>
    </w:p>
    <w:p>
      <w:pPr>
        <w:spacing w:before="100" w:beforeAutospacing="1" w:after="100" w:afterAutospacing="1" w:line="380" w:lineRule="exact"/>
        <w:ind w:firstLine="629"/>
        <w:rPr>
          <w:rFonts w:hint="eastAsia" w:ascii="仿宋_GB2312" w:eastAsia="仿宋_GB2312"/>
          <w:color w:val="000000"/>
          <w:sz w:val="32"/>
          <w:szCs w:val="32"/>
        </w:rPr>
      </w:pPr>
      <w:r>
        <w:rPr>
          <w:rFonts w:hint="eastAsia" w:ascii="仿宋_GB2312" w:eastAsia="仿宋_GB2312"/>
          <w:color w:val="000000"/>
          <w:sz w:val="32"/>
          <w:szCs w:val="32"/>
        </w:rPr>
        <w:t>（十二）、组织、指导和协调全县环境保护宣传教育工作，制定全县环境保护宣传教育纲要并组织实施，开展生态文明建设和环境友好型社会建设的有关宣传教育工作，推动社会公众和社会组织参与环境保护。</w:t>
      </w:r>
    </w:p>
    <w:p>
      <w:pPr>
        <w:spacing w:before="100" w:beforeAutospacing="1" w:after="100" w:afterAutospacing="1" w:line="380" w:lineRule="exact"/>
        <w:ind w:firstLine="629"/>
        <w:rPr>
          <w:rFonts w:hint="eastAsia" w:ascii="仿宋_GB2312" w:eastAsia="仿宋_GB2312"/>
          <w:color w:val="000000"/>
          <w:sz w:val="32"/>
          <w:szCs w:val="32"/>
        </w:rPr>
      </w:pPr>
      <w:r>
        <w:rPr>
          <w:rFonts w:hint="eastAsia" w:ascii="仿宋_GB2312" w:eastAsia="仿宋_GB2312"/>
          <w:color w:val="000000"/>
          <w:sz w:val="32"/>
          <w:szCs w:val="32"/>
        </w:rPr>
        <w:t>（十三）承办自治县人民政府交办的其他事项。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left"/>
        <w:rPr>
          <w:rFonts w:hint="default" w:ascii="仿宋_GB2312" w:eastAsia="仿宋_GB2312" w:hAnsiTheme="minorHAnsi" w:cstheme="minorBidi"/>
          <w:color w:val="000000"/>
          <w:kern w:val="2"/>
          <w:sz w:val="32"/>
          <w:szCs w:val="32"/>
          <w:lang w:val="en-US" w:eastAsia="zh-CN" w:bidi="ar-SA"/>
        </w:rPr>
      </w:pPr>
      <w:r>
        <w:rPr>
          <w:rFonts w:hint="eastAsia" w:ascii="仿宋_GB2312" w:eastAsia="仿宋_GB2312" w:hAnsiTheme="minorHAnsi" w:cstheme="minorBidi"/>
          <w:color w:val="000000"/>
          <w:kern w:val="2"/>
          <w:sz w:val="32"/>
          <w:szCs w:val="32"/>
          <w:lang w:val="en-US" w:eastAsia="zh-CN" w:bidi="ar-SA"/>
        </w:rPr>
        <w:t>河池市环江生态环境局由机关本级（行政）、3个二层机构组成，分别是：生态环境保护综合行政执法大队（参公）、生态环境监测站（参公）、环境应急和固体废物技术中心（事业）。</w:t>
      </w:r>
    </w:p>
    <w:p>
      <w:pPr>
        <w:ind w:firstLine="640" w:firstLineChars="200"/>
        <w:jc w:val="left"/>
        <w:rPr>
          <w:rFonts w:hint="eastAsia" w:ascii="仿宋_GB2312" w:eastAsia="仿宋_GB2312" w:hAnsiTheme="minorHAnsi" w:cstheme="minorBidi"/>
          <w:color w:val="000000"/>
          <w:kern w:val="2"/>
          <w:sz w:val="32"/>
          <w:szCs w:val="32"/>
          <w:lang w:val="en-US" w:eastAsia="zh-CN" w:bidi="ar-SA"/>
        </w:rPr>
      </w:pPr>
      <w:r>
        <w:rPr>
          <w:rFonts w:hint="default" w:ascii="仿宋_GB2312" w:eastAsia="仿宋_GB2312" w:hAnsiTheme="minorHAnsi" w:cstheme="minorBidi"/>
          <w:color w:val="000000"/>
          <w:kern w:val="2"/>
          <w:sz w:val="32"/>
          <w:szCs w:val="32"/>
          <w:lang w:val="en-US" w:eastAsia="zh-CN" w:bidi="ar-SA"/>
        </w:rPr>
        <w:t>目前，全局核定编制数共计</w:t>
      </w:r>
      <w:r>
        <w:rPr>
          <w:rFonts w:hint="eastAsia" w:ascii="仿宋_GB2312" w:eastAsia="仿宋_GB2312" w:hAnsiTheme="minorHAnsi" w:cstheme="minorBidi"/>
          <w:color w:val="000000"/>
          <w:kern w:val="2"/>
          <w:sz w:val="32"/>
          <w:szCs w:val="32"/>
          <w:lang w:val="en-US" w:eastAsia="zh-CN" w:bidi="ar-SA"/>
        </w:rPr>
        <w:t>38</w:t>
      </w:r>
      <w:r>
        <w:rPr>
          <w:rFonts w:hint="default" w:ascii="仿宋_GB2312" w:eastAsia="仿宋_GB2312" w:hAnsiTheme="minorHAnsi" w:cstheme="minorBidi"/>
          <w:color w:val="000000"/>
          <w:kern w:val="2"/>
          <w:sz w:val="32"/>
          <w:szCs w:val="32"/>
          <w:lang w:val="en-US" w:eastAsia="zh-CN" w:bidi="ar-SA"/>
        </w:rPr>
        <w:t>个，实有在编在岗28人，空编10个，抽调驻村工作队、市生态环境局共5人。</w:t>
      </w: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河池市环江生态环境局单位 2022年</w:t>
      </w:r>
      <w:r>
        <w:rPr>
          <w:rFonts w:hint="eastAsia" w:ascii="黑体" w:hAnsi="黑体" w:eastAsia="黑体" w:cs="黑体"/>
          <w:sz w:val="32"/>
          <w:szCs w:val="32"/>
          <w:highlight w:val="none"/>
        </w:rPr>
        <w:t>度部门决算报表</w:t>
      </w:r>
    </w:p>
    <w:tbl>
      <w:tblPr>
        <w:tblStyle w:val="8"/>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河池市环江生态环境局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1027.52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0.00</w:t>
            </w: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974.17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53.35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default" w:ascii="宋体" w:hAnsi="宋体" w:eastAsia="宋体" w:cs="宋体"/>
                <w:color w:val="000000"/>
                <w:kern w:val="0"/>
                <w:sz w:val="22"/>
                <w:szCs w:val="22"/>
                <w:highlight w:val="none"/>
                <w:lang w:val="en-US"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1027.52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1027.52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1027.52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1027.52</w:t>
            </w:r>
          </w:p>
        </w:tc>
      </w:tr>
    </w:tbl>
    <w:p>
      <w:pPr>
        <w:rPr>
          <w:rFonts w:hint="eastAsia" w:ascii="宋体" w:hAnsi="宋体" w:eastAsia="宋体" w:cs="宋体"/>
          <w:color w:val="000000"/>
          <w:kern w:val="0"/>
          <w:sz w:val="30"/>
          <w:szCs w:val="30"/>
          <w:highlight w:val="none"/>
          <w:lang w:bidi="ar"/>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000000"/>
          <w:kern w:val="0"/>
          <w:sz w:val="30"/>
          <w:szCs w:val="30"/>
          <w:highlight w:val="none"/>
          <w:lang w:bidi="ar"/>
        </w:rPr>
        <w:br w:type="page"/>
      </w:r>
    </w:p>
    <w:tbl>
      <w:tblPr>
        <w:tblStyle w:val="8"/>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河池市环江生态环境局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1,027.52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1,027.52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2.80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节能环保支出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974.17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974.17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环境保护管理事务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机关服务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环境监测与监察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其他环境监测与监察支出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污染防治</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857.29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857.29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水体</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106.32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106.32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2110307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土壤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750.97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750.97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hint="eastAsia" w:ascii="宋体" w:hAnsi="宋体" w:eastAsia="宋体" w:cs="宋体"/>
          <w:color w:val="000000"/>
          <w:kern w:val="0"/>
          <w:sz w:val="30"/>
          <w:szCs w:val="30"/>
          <w:highlight w:val="none"/>
          <w:lang w:bidi="ar"/>
        </w:rPr>
        <w:sectPr>
          <w:pgSz w:w="16838" w:h="11906" w:orient="landscape"/>
          <w:pgMar w:top="1800" w:right="1440" w:bottom="1800" w:left="1440" w:header="851" w:footer="992" w:gutter="0"/>
          <w:cols w:space="425" w:num="1"/>
          <w:docGrid w:type="lines" w:linePitch="312" w:charSpace="0"/>
        </w:sectPr>
      </w:pPr>
      <w:r>
        <w:rPr>
          <w:rFonts w:ascii="仿宋" w:hAnsi="仿宋" w:eastAsia="仿宋" w:cs="仿宋"/>
          <w:sz w:val="24"/>
          <w:highlight w:val="none"/>
        </w:rPr>
        <w:br w:type="page"/>
      </w:r>
    </w:p>
    <w:p>
      <w:pPr>
        <w:jc w:val="both"/>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8"/>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河池市环江生态环境局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1,027.52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67.80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959.72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节能环保支出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974.17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959.72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环境保护管理事务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机关服务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环境监测与监察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其他环境监测与监察支出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污染防治</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857.29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857.29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水体</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106.32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106.32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2110307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土壤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750.97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750.97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8"/>
        <w:tblW w:w="14077" w:type="dxa"/>
        <w:tblInd w:w="0" w:type="dxa"/>
        <w:tblLayout w:type="fixed"/>
        <w:tblCellMar>
          <w:top w:w="0" w:type="dxa"/>
          <w:left w:w="108" w:type="dxa"/>
          <w:bottom w:w="0" w:type="dxa"/>
          <w:right w:w="108" w:type="dxa"/>
        </w:tblCellMar>
      </w:tblPr>
      <w:tblGrid>
        <w:gridCol w:w="2214"/>
        <w:gridCol w:w="785"/>
        <w:gridCol w:w="1307"/>
        <w:gridCol w:w="2360"/>
        <w:gridCol w:w="769"/>
        <w:gridCol w:w="1172"/>
        <w:gridCol w:w="1773"/>
        <w:gridCol w:w="1803"/>
        <w:gridCol w:w="1894"/>
      </w:tblGrid>
      <w:tr>
        <w:trPr>
          <w:trHeight w:val="520" w:hRule="atLeast"/>
        </w:trPr>
        <w:tc>
          <w:tcPr>
            <w:tcW w:w="14077"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22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9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8607"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河池市环江生态环境局</w:t>
            </w:r>
          </w:p>
        </w:tc>
        <w:tc>
          <w:tcPr>
            <w:tcW w:w="17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94"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430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977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2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3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7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1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18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22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1,027.52</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974.17</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974.17</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53.35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1,027.52</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1,027.52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1,027.52</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1,027.52</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1,027.52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1,027.52</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83"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1894" w:type="dxa"/>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8"/>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河池市环江生态环境局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1,027.52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67.80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959.72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节能环保支出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974.17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14.45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959.72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环境保护管理事务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14.45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14.45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2110101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12.16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12.16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2110103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机关服务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环境监测与监察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102.43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102.43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2110299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其他环境监测与监察支出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102.43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102.43</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污染防治</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857.29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857.29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2110302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水体</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106.32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106.32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2110307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土壤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750.97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750.97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53.35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53.35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53.35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53.35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53.35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53.35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8"/>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河池市环江生态环境局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67.80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62.82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67.80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r>
      <w:tr>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8"/>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河池市环江生态环境局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8"/>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河池市环江生态环境局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8"/>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河池市环江生态环境局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1.35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1.35</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1.35</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1.35</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
      <w:pPr>
        <w:jc w:val="left"/>
        <w:rPr>
          <w:rFonts w:ascii="仿宋" w:hAnsi="仿宋" w:eastAsia="仿宋" w:cs="仿宋"/>
          <w:sz w:val="24"/>
          <w:highlight w:val="none"/>
        </w:rPr>
      </w:pPr>
    </w:p>
    <w:p>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河池市环江生态环境局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1027.52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269.79</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20.8</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1027.52</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1027.52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环江毛南族自治县本级</w:t>
      </w:r>
      <w:r>
        <w:rPr>
          <w:rFonts w:hint="eastAsia" w:ascii="仿宋" w:hAnsi="仿宋" w:eastAsia="仿宋" w:cs="仿宋"/>
          <w:kern w:val="2"/>
          <w:sz w:val="32"/>
          <w:szCs w:val="32"/>
          <w:highlight w:val="none"/>
          <w:lang w:val="en-US" w:eastAsia="zh-CN" w:bidi="ar"/>
        </w:rPr>
        <w:t>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269.79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20.8</w:t>
      </w:r>
      <w:r>
        <w:rPr>
          <w:rFonts w:ascii="仿宋" w:hAnsi="仿宋" w:eastAsia="仿宋" w:cs="仿宋"/>
          <w:sz w:val="32"/>
          <w:u w:color="auto"/>
        </w:rPr>
        <w:t>%</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val="en-US"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val="en-US"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hint="eastAsia" w:ascii="仿宋" w:hAnsi="仿宋" w:eastAsia="仿宋" w:cs="仿宋"/>
          <w:sz w:val="32"/>
          <w:u w:color="auto"/>
          <w:lang w:val="en-US"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hint="eastAsia" w:ascii="仿宋" w:hAnsi="仿宋" w:eastAsia="仿宋" w:cs="仿宋"/>
          <w:sz w:val="32"/>
          <w:u w:color="auto"/>
          <w:lang w:val="en-US"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hint="eastAsia" w:ascii="仿宋" w:hAnsi="仿宋" w:eastAsia="仿宋" w:cs="仿宋"/>
          <w:sz w:val="32"/>
          <w:u w:color="auto"/>
          <w:lang w:val="en-US"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hint="eastAsia" w:ascii="仿宋" w:hAnsi="仿宋" w:eastAsia="仿宋" w:cs="仿宋"/>
          <w:sz w:val="32"/>
          <w:u w:color="auto"/>
          <w:lang w:val="en-US"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hint="eastAsia" w:ascii="仿宋" w:hAnsi="仿宋" w:eastAsia="仿宋" w:cs="仿宋"/>
          <w:sz w:val="32"/>
          <w:u w:color="auto"/>
          <w:lang w:val="en-US" w:eastAsia="zh-CN"/>
        </w:rPr>
        <w:t>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sz w:val="32"/>
          <w:szCs w:val="32"/>
          <w:highlight w:val="none"/>
        </w:rPr>
        <w:drawing>
          <wp:inline distT="0" distB="0" distL="114300" distR="114300">
            <wp:extent cx="4784725" cy="2438400"/>
            <wp:effectExtent l="4445" t="5080" r="11430"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（二）本部门2022年度总支出1027.52万元，其中本年支出1027.52万元，较2021年度决算数减少269.79万元，下降20.8%。支出具体情况如下：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1.节能环保支出（211类）974.17万元：</w:t>
      </w:r>
      <w:r>
        <w:rPr>
          <w:rFonts w:hint="default" w:ascii="仿宋" w:hAnsi="仿宋" w:eastAsia="仿宋" w:cs="仿宋"/>
          <w:kern w:val="2"/>
          <w:sz w:val="32"/>
          <w:szCs w:val="32"/>
          <w:highlight w:val="none"/>
          <w:lang w:val="en-US" w:eastAsia="zh-CN" w:bidi="ar"/>
        </w:rPr>
        <w:t>主要用于</w:t>
      </w:r>
      <w:r>
        <w:rPr>
          <w:rFonts w:hint="eastAsia" w:ascii="仿宋" w:hAnsi="仿宋" w:eastAsia="仿宋" w:cs="仿宋"/>
          <w:kern w:val="2"/>
          <w:sz w:val="32"/>
          <w:szCs w:val="32"/>
          <w:highlight w:val="none"/>
          <w:lang w:val="en-US" w:eastAsia="zh-CN" w:bidi="ar"/>
        </w:rPr>
        <w:t>污染防治项目、环境监测项目及农村环境保护项目方面的支出。较2021年度决算数减少130.29万元。</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2.其他支出（229类）53.35万元：主要用于年度绩效奖金支出。较2021年决算数减少49.36万元。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default" w:ascii="仿宋" w:hAnsi="仿宋" w:eastAsia="仿宋" w:cs="仿宋"/>
          <w:kern w:val="2"/>
          <w:sz w:val="32"/>
          <w:szCs w:val="32"/>
          <w:highlight w:val="none"/>
          <w:lang w:val="en-US" w:eastAsia="zh-CN" w:bidi="ar"/>
        </w:rPr>
        <w:t>结余分配</w:t>
      </w:r>
      <w:r>
        <w:rPr>
          <w:rFonts w:hint="eastAsia" w:ascii="仿宋" w:hAnsi="仿宋" w:eastAsia="仿宋" w:cs="仿宋"/>
          <w:kern w:val="2"/>
          <w:sz w:val="32"/>
          <w:szCs w:val="32"/>
          <w:highlight w:val="none"/>
          <w:lang w:val="en-US" w:eastAsia="zh-CN" w:bidi="ar"/>
        </w:rPr>
        <w:t>0.00</w:t>
      </w:r>
      <w:r>
        <w:rPr>
          <w:rFonts w:hint="default" w:ascii="仿宋" w:hAnsi="仿宋" w:eastAsia="仿宋" w:cs="仿宋"/>
          <w:kern w:val="2"/>
          <w:sz w:val="32"/>
          <w:szCs w:val="32"/>
          <w:highlight w:val="none"/>
          <w:lang w:val="en-US" w:eastAsia="zh-CN" w:bidi="ar"/>
        </w:rPr>
        <w:t>万元，为事业单位按规定提取的专用结余、缴纳所得税和转入非财政拨款结余等。</w:t>
      </w:r>
      <w:r>
        <w:rPr>
          <w:rFonts w:hint="eastAsia" w:ascii="仿宋" w:hAnsi="仿宋" w:eastAsia="仿宋" w:cs="仿宋"/>
          <w:kern w:val="2"/>
          <w:sz w:val="32"/>
          <w:szCs w:val="32"/>
          <w:highlight w:val="none"/>
          <w:lang w:val="en-US" w:eastAsia="zh-CN" w:bidi="ar"/>
        </w:rPr>
        <w:t>较2021年度决算数持平。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年末结转和结余0万元，为本年度或以前年度预算安排、因客观条件发生变化无法按原计划实施，需要延迟到以后年度按有关规定继续使用的资金。较2021年度决算数持平。</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河池市环江生态环境局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1027.52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269.79</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20.8</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67.8</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959.72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河池市环江生态环境局</w:t>
      </w:r>
      <w:r>
        <w:rPr>
          <w:rFonts w:hint="eastAsia" w:ascii="仿宋" w:hAnsi="仿宋" w:eastAsia="仿宋" w:cs="仿宋"/>
          <w:sz w:val="32"/>
          <w:szCs w:val="32"/>
          <w:highlight w:val="none"/>
        </w:rPr>
        <w:t>2022年度一般公共预算财政拨款支出年初预算为</w:t>
      </w:r>
      <w:r>
        <w:rPr>
          <w:rFonts w:hint="eastAsia" w:ascii="仿宋" w:hAnsi="仿宋" w:eastAsia="仿宋" w:cs="仿宋"/>
          <w:sz w:val="32"/>
          <w:u w:color="auto"/>
          <w:lang w:val="en-US" w:eastAsia="zh-CN"/>
        </w:rPr>
        <w:t>211.33</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1027.52</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161.6</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节能环保支出（211类）年初预算为157.12万元，支出决算为974.17万元，完成年初预算的193.8%。</w:t>
      </w:r>
      <w:r>
        <w:rPr>
          <w:rFonts w:hint="default" w:ascii="仿宋" w:hAnsi="仿宋" w:eastAsia="仿宋" w:cs="仿宋"/>
          <w:kern w:val="2"/>
          <w:sz w:val="32"/>
          <w:szCs w:val="32"/>
          <w:highlight w:val="none"/>
          <w:lang w:val="en-US" w:eastAsia="zh-CN" w:bidi="ar"/>
        </w:rPr>
        <w:t>主要用于</w:t>
      </w:r>
      <w:r>
        <w:rPr>
          <w:rFonts w:hint="eastAsia" w:ascii="仿宋" w:hAnsi="仿宋" w:eastAsia="仿宋" w:cs="仿宋"/>
          <w:kern w:val="2"/>
          <w:sz w:val="32"/>
          <w:szCs w:val="32"/>
          <w:highlight w:val="none"/>
          <w:lang w:val="en-US" w:eastAsia="zh-CN" w:bidi="ar"/>
        </w:rPr>
        <w:t>污染防治项目、环境监测项目及农村环境保护项目方面的支出。</w:t>
      </w:r>
      <w:r>
        <w:rPr>
          <w:rFonts w:hint="eastAsia" w:ascii="仿宋" w:hAnsi="仿宋" w:eastAsia="仿宋"/>
          <w:sz w:val="32"/>
          <w:szCs w:val="32"/>
          <w:highlight w:val="none"/>
          <w:lang w:val="en-US" w:eastAsia="zh-CN"/>
        </w:rPr>
        <w:t>差异原因在于本年度增加土壤污染风险管控与修复项目。</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节能环保支出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157.12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974.17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193.8%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主要用于</w:t>
            </w:r>
            <w:r>
              <w:rPr>
                <w:rFonts w:hint="eastAsia" w:ascii="宋体" w:hAnsi="宋体" w:eastAsia="宋体" w:cs="宋体"/>
                <w:i w:val="0"/>
                <w:iCs w:val="0"/>
                <w:color w:val="000000"/>
                <w:sz w:val="18"/>
                <w:szCs w:val="18"/>
                <w:highlight w:val="none"/>
                <w:u w:val="none"/>
                <w:lang w:val="en-US" w:eastAsia="zh-CN"/>
              </w:rPr>
              <w:t>污染防治项目、环境监测项目及农村环境保护项目方面的支出。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本年度增加土壤污染风险管控与修复项目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环境保护管理事务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157.12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环境监测与监察</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21103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污染防治</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857.29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157.12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974.17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265930" cy="3149600"/>
            <wp:effectExtent l="4445" t="4445" r="15875" b="825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其他支出（229类）年初预算为5.39万元，支出决算为53.35万元，完成年初预算的13.6%。</w:t>
      </w:r>
      <w:r>
        <w:rPr>
          <w:rFonts w:hint="eastAsia" w:ascii="仿宋" w:hAnsi="仿宋" w:eastAsia="仿宋" w:cs="仿宋"/>
          <w:kern w:val="2"/>
          <w:sz w:val="32"/>
          <w:szCs w:val="32"/>
          <w:highlight w:val="none"/>
          <w:lang w:val="en-US" w:eastAsia="zh-CN" w:bidi="ar"/>
        </w:rPr>
        <w:t>主要用于年度绩效奖金支出。差异原因在于我局于2022年上收河池市生态环境局，人员经费由市局统一发放，而2021年人员绩效仍由我局在2022年发放。</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主要用于年度绩效奖金支出。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我局于2022年上收河池市生态环境局，人员经费由市局统一发放，而2021年人员绩效仍由我局在2022年发放。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河池市环江生态环境局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1027.52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67.8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67.8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31.6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在于我局于2022年上收河池市生态环境局，人员经费由市局统一发放，而2021年人员绩效仍由我局在2022年发放。</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30101基本工资3.25万元，30102津贴补贴1.73万元，30103奖金62.82万元。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jc w:val="left"/>
        <w:rPr>
          <w:rFonts w:hint="eastAsia" w:ascii="仿宋" w:hAnsi="仿宋" w:eastAsia="仿宋" w:cs="仿宋"/>
          <w:sz w:val="32"/>
          <w:szCs w:val="32"/>
          <w:highlight w:val="none"/>
          <w:lang w:val="en-US" w:eastAsia="zh-CN"/>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河池市环江生态环境局</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lang w:val="en-US" w:eastAsia="zh-CN"/>
        </w:rPr>
        <w:t>河池市环江生态环境局</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河池市环江生态环境局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lang w:val="en-US" w:eastAsia="zh-CN"/>
        </w:rPr>
        <w:t>河池市环江生态环境局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eastAsia="仿宋_GB2312"/>
          <w:sz w:val="32"/>
          <w:szCs w:val="32"/>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1.35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93.8</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0.99</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主要原因在于</w:t>
      </w:r>
      <w:r>
        <w:rPr>
          <w:rFonts w:hint="eastAsia" w:ascii="仿宋_GB2312" w:eastAsia="仿宋_GB2312"/>
          <w:sz w:val="32"/>
          <w:szCs w:val="32"/>
          <w:lang w:val="en-US" w:eastAsia="zh-CN"/>
        </w:rPr>
        <w:t>当前严格按照中央八项规定，严禁铺张浪费。</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Times New Roman" w:hAnsi="Times New Roman" w:eastAsia="仿宋_GB2312" w:cs="Times New Roman"/>
          <w:kern w:val="0"/>
          <w:sz w:val="32"/>
          <w:szCs w:val="32"/>
          <w:lang w:val="en-US" w:eastAsia="zh-CN"/>
        </w:rPr>
        <w:t>无</w:t>
      </w:r>
      <w:r>
        <w:rPr>
          <w:rFonts w:hint="default" w:ascii="Times New Roman" w:hAnsi="Times New Roman" w:eastAsia="仿宋_GB2312" w:cs="Times New Roman"/>
          <w:kern w:val="0"/>
          <w:sz w:val="32"/>
          <w:szCs w:val="32"/>
        </w:rPr>
        <w:t>因公出国（境）。</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ind w:firstLine="640" w:firstLineChars="200"/>
        <w:jc w:val="left"/>
        <w:rPr>
          <w:rFonts w:hint="eastAsia" w:ascii="仿宋" w:hAnsi="仿宋" w:eastAsia="仿宋" w:cs="仿宋"/>
          <w:color w:val="FF0000"/>
          <w:sz w:val="32"/>
          <w:szCs w:val="32"/>
        </w:rPr>
      </w:pPr>
      <w:bookmarkStart w:id="5" w:name="_GoBack"/>
      <w:bookmarkEnd w:id="5"/>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bookmarkStart w:id="4" w:name="PO_part3A6B2IncReason1"/>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为本部门无公务用车购置</w:t>
      </w:r>
      <w:bookmarkEnd w:id="4"/>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w:t>
      </w:r>
      <w:r>
        <w:rPr>
          <w:rFonts w:hint="eastAsia" w:ascii="Times New Roman" w:hAnsi="Times New Roman" w:eastAsia="仿宋_GB2312" w:cs="Times New Roman"/>
          <w:kern w:val="0"/>
          <w:sz w:val="32"/>
          <w:szCs w:val="32"/>
          <w:lang w:val="en-US" w:eastAsia="zh-CN"/>
        </w:rPr>
        <w:t>无</w:t>
      </w:r>
      <w:r>
        <w:rPr>
          <w:rFonts w:hint="default" w:ascii="Times New Roman" w:hAnsi="Times New Roman" w:eastAsia="仿宋_GB2312" w:cs="Times New Roman"/>
          <w:kern w:val="0"/>
          <w:sz w:val="32"/>
          <w:szCs w:val="32"/>
        </w:rPr>
        <w:t>公</w:t>
      </w:r>
      <w:r>
        <w:rPr>
          <w:rFonts w:hint="default" w:ascii="Times New Roman" w:hAnsi="Times New Roman" w:eastAsia="仿宋_GB2312" w:cs="Times New Roman"/>
          <w:color w:val="auto"/>
          <w:kern w:val="0"/>
          <w:sz w:val="32"/>
          <w:szCs w:val="32"/>
        </w:rPr>
        <w:t>务用车</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本</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bidi w:val="0"/>
        <w:snapToGrid/>
        <w:spacing w:line="54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93.8</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0.99</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主要原因在于</w:t>
      </w:r>
      <w:r>
        <w:rPr>
          <w:rFonts w:hint="eastAsia" w:ascii="仿宋_GB2312" w:eastAsia="仿宋_GB2312"/>
          <w:sz w:val="32"/>
          <w:szCs w:val="32"/>
          <w:lang w:val="en-US" w:eastAsia="zh-CN"/>
        </w:rPr>
        <w:t>2021年财政紧张，一些公务接待报账于2022年完成。国内公务接待批次26次，人次113次，国（境）外公务接待批次0次，人次0次。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Times New Roman" w:hAnsi="Times New Roman" w:eastAsia="仿宋_GB2312" w:cs="Times New Roman"/>
          <w:b w:val="0"/>
          <w:bCs w:val="0"/>
          <w:kern w:val="0"/>
          <w:sz w:val="32"/>
          <w:szCs w:val="32"/>
          <w:lang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14.45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与年初预算持平。</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减少31.12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下降68.3</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default" w:ascii="Times New Roman" w:hAnsi="Times New Roman" w:eastAsia="仿宋_GB2312" w:cs="Times New Roman"/>
          <w:b w:val="0"/>
          <w:bCs w:val="0"/>
          <w:kern w:val="0"/>
          <w:sz w:val="32"/>
          <w:szCs w:val="32"/>
        </w:rPr>
        <w:t>主要原因是：</w:t>
      </w:r>
      <w:r>
        <w:rPr>
          <w:rFonts w:hint="eastAsia" w:ascii="Times New Roman" w:hAnsi="Times New Roman" w:eastAsia="仿宋_GB2312" w:cs="Times New Roman"/>
          <w:b w:val="0"/>
          <w:bCs w:val="0"/>
          <w:kern w:val="0"/>
          <w:sz w:val="32"/>
          <w:szCs w:val="32"/>
          <w:lang w:eastAsia="zh-CN"/>
        </w:rPr>
        <w:t>压减公用经费支出，</w:t>
      </w:r>
      <w:r>
        <w:rPr>
          <w:rFonts w:hint="default" w:ascii="Times New Roman" w:hAnsi="Times New Roman" w:eastAsia="仿宋_GB2312" w:cs="Times New Roman"/>
          <w:b w:val="0"/>
          <w:bCs w:val="0"/>
          <w:kern w:val="0"/>
          <w:sz w:val="32"/>
          <w:szCs w:val="32"/>
        </w:rPr>
        <w:t>落实过紧日子要求压减</w:t>
      </w:r>
      <w:r>
        <w:rPr>
          <w:rFonts w:hint="eastAsia" w:ascii="Times New Roman" w:hAnsi="Times New Roman" w:eastAsia="仿宋_GB2312" w:cs="Times New Roman"/>
          <w:b w:val="0"/>
          <w:bCs w:val="0"/>
          <w:kern w:val="0"/>
          <w:sz w:val="32"/>
          <w:szCs w:val="32"/>
          <w:lang w:eastAsia="zh-CN"/>
        </w:rPr>
        <w:t>公用经费</w:t>
      </w:r>
      <w:r>
        <w:rPr>
          <w:rFonts w:hint="default" w:ascii="Times New Roman" w:hAnsi="Times New Roman" w:eastAsia="仿宋_GB2312" w:cs="Times New Roman"/>
          <w:b w:val="0"/>
          <w:bCs w:val="0"/>
          <w:kern w:val="0"/>
          <w:sz w:val="32"/>
          <w:szCs w:val="32"/>
        </w:rPr>
        <w:t>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本部门202</w:t>
      </w:r>
      <w:r>
        <w:rPr>
          <w:rFonts w:hint="eastAsia"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年度政府采购支出总额</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万元，其中：政府采购货物支出</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万元、政府采购工程支出</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万元、政府采购服务支出</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w:t>
      </w:r>
      <w:r>
        <w:rPr>
          <w:rFonts w:hint="eastAsia" w:ascii="Times New Roman" w:hAnsi="Times New Roman" w:eastAsia="仿宋_GB2312" w:cs="Times New Roman"/>
          <w:b w:val="0"/>
          <w:bCs w:val="0"/>
          <w:kern w:val="0"/>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231.3639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22.5</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度政府性基金预算项目支出开展绩效自评，共涉及</w:t>
      </w:r>
      <w:r>
        <w:rPr>
          <w:rFonts w:hint="eastAsia" w:ascii="仿宋" w:hAnsi="仿宋" w:eastAsia="仿宋" w:cs="仿宋"/>
          <w:color w:val="000000" w:themeColor="text1"/>
          <w:sz w:val="32"/>
          <w:szCs w:val="32"/>
          <w:lang w:val="en-US" w:eastAsia="zh-CN"/>
          <w14:textFill>
            <w14:solidFill>
              <w14:schemeClr w14:val="tx1"/>
            </w14:solidFill>
          </w14:textFill>
        </w:rPr>
        <w:t>项目0个，</w:t>
      </w:r>
      <w:r>
        <w:rPr>
          <w:rFonts w:hint="eastAsia" w:ascii="仿宋" w:hAnsi="仿宋" w:eastAsia="仿宋" w:cs="仿宋"/>
          <w:color w:val="000000" w:themeColor="text1"/>
          <w:sz w:val="32"/>
          <w:szCs w:val="32"/>
          <w14:textFill>
            <w14:solidFill>
              <w14:schemeClr w14:val="tx1"/>
            </w14:solidFill>
          </w14:textFill>
        </w:rPr>
        <w:t>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度国有资本经营预算项目支出开展绩效自评，共涉及</w:t>
      </w:r>
      <w:r>
        <w:rPr>
          <w:rFonts w:hint="eastAsia" w:ascii="仿宋" w:hAnsi="仿宋" w:eastAsia="仿宋" w:cs="仿宋"/>
          <w:color w:val="000000" w:themeColor="text1"/>
          <w:sz w:val="32"/>
          <w:szCs w:val="32"/>
          <w:lang w:val="en-US" w:eastAsia="zh-CN"/>
          <w14:textFill>
            <w14:solidFill>
              <w14:schemeClr w14:val="tx1"/>
            </w14:solidFill>
          </w14:textFill>
        </w:rPr>
        <w:t>项目0个，</w:t>
      </w:r>
      <w:r>
        <w:rPr>
          <w:rFonts w:hint="eastAsia" w:ascii="仿宋" w:hAnsi="仿宋" w:eastAsia="仿宋" w:cs="仿宋"/>
          <w:color w:val="000000" w:themeColor="text1"/>
          <w:sz w:val="32"/>
          <w:szCs w:val="32"/>
          <w14:textFill>
            <w14:solidFill>
              <w14:schemeClr w14:val="tx1"/>
            </w14:solidFill>
          </w14:textFill>
        </w:rPr>
        <w:t>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组织对“拨土壤污染防治资金项目”等</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231.3639</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231.3639</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从评价情况来看，</w:t>
      </w:r>
      <w:r>
        <w:rPr>
          <w:rFonts w:hint="eastAsia" w:ascii="仿宋" w:hAnsi="仿宋" w:eastAsia="仿宋" w:cs="仿宋"/>
          <w:color w:val="000000" w:themeColor="text1"/>
          <w:sz w:val="32"/>
          <w:szCs w:val="32"/>
          <w:lang w:val="en-US" w:eastAsia="zh-CN"/>
          <w14:textFill>
            <w14:solidFill>
              <w14:schemeClr w14:val="tx1"/>
            </w14:solidFill>
          </w14:textFill>
        </w:rPr>
        <w:t>2022年部门各项工作顺利完成，达到了预期目标，整体支出绩效评价自评得分96.5分，自评为“一等”。</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生态环境局工作经费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项目自评平均分为98.54分。确保了年度工作顺利完成。</w:t>
      </w:r>
      <w:r>
        <w:rPr>
          <w:rFonts w:hint="eastAsia" w:ascii="仿宋" w:hAnsi="仿宋" w:eastAsia="仿宋" w:cs="仿宋"/>
          <w:color w:val="000000" w:themeColor="text1"/>
          <w:sz w:val="32"/>
          <w:szCs w:val="32"/>
          <w14:textFill>
            <w14:solidFill>
              <w14:schemeClr w14:val="tx1"/>
            </w14:solidFill>
          </w14:textFill>
        </w:rPr>
        <w:t>此项目按照绩效目标开展工作，达到项目申请时设定的各项绩效目标。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拨付2021年生态环境监测费用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98.71</w:t>
      </w:r>
      <w:r>
        <w:rPr>
          <w:rFonts w:hint="eastAsia" w:ascii="仿宋" w:hAnsi="仿宋" w:eastAsia="仿宋" w:cs="仿宋"/>
          <w:color w:val="000000" w:themeColor="text1"/>
          <w:sz w:val="32"/>
          <w:szCs w:val="32"/>
          <w14:textFill>
            <w14:solidFill>
              <w14:schemeClr w14:val="tx1"/>
            </w14:solidFill>
          </w14:textFill>
        </w:rPr>
        <w:t>分。已展开季度</w:t>
      </w:r>
      <w:r>
        <w:rPr>
          <w:rFonts w:hint="eastAsia" w:ascii="仿宋" w:hAnsi="仿宋" w:eastAsia="仿宋" w:cs="仿宋"/>
          <w:color w:val="000000" w:themeColor="text1"/>
          <w:sz w:val="32"/>
          <w:szCs w:val="32"/>
          <w:lang w:val="en-US" w:eastAsia="zh-CN"/>
          <w14:textFill>
            <w14:solidFill>
              <w14:schemeClr w14:val="tx1"/>
            </w14:solidFill>
          </w14:textFill>
        </w:rPr>
        <w:t>环境</w:t>
      </w:r>
      <w:r>
        <w:rPr>
          <w:rFonts w:hint="eastAsia" w:ascii="仿宋" w:hAnsi="仿宋" w:eastAsia="仿宋" w:cs="仿宋"/>
          <w:color w:val="000000" w:themeColor="text1"/>
          <w:sz w:val="32"/>
          <w:szCs w:val="32"/>
          <w14:textFill>
            <w14:solidFill>
              <w14:schemeClr w14:val="tx1"/>
            </w14:solidFill>
          </w14:textFill>
        </w:rPr>
        <w:t>监测4次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污染源企业监督性监测1次、水质监测3次。根据年初设定的绩效目标，</w:t>
      </w:r>
      <w:r>
        <w:rPr>
          <w:rFonts w:hint="eastAsia" w:ascii="仿宋" w:hAnsi="仿宋" w:eastAsia="仿宋" w:cs="仿宋"/>
          <w:color w:val="000000" w:themeColor="text1"/>
          <w:sz w:val="32"/>
          <w:szCs w:val="32"/>
          <w14:textFill>
            <w14:solidFill>
              <w14:schemeClr w14:val="tx1"/>
            </w14:solidFill>
          </w14:textFill>
        </w:rPr>
        <w:t>确保县城区集中式饮用水源地水质达标率达96%，当地群众满意度95%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此项目按照绩效目标开展工作，达到项目申请时设定的各项绩效目标。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“拨土壤污染防治资金项目”</w:t>
      </w:r>
      <w:r>
        <w:rPr>
          <w:rFonts w:hint="eastAsia" w:ascii="仿宋" w:hAnsi="仿宋" w:eastAsia="仿宋" w:cs="仿宋"/>
          <w:color w:val="000000" w:themeColor="text1"/>
          <w:sz w:val="32"/>
          <w:szCs w:val="32"/>
          <w:lang w:val="en-US" w:eastAsia="zh-CN"/>
          <w14:textFill>
            <w14:solidFill>
              <w14:schemeClr w14:val="tx1"/>
            </w14:solidFill>
          </w14:textFill>
        </w:rPr>
        <w:t>项目自评得分为98.22分。该项目仍在进行中，项目资金按照财务制度专款专用，执行过程中未出现违规行为。通过改善土壤和水质质量，提高群众生活质量。</w:t>
      </w:r>
      <w:r>
        <w:rPr>
          <w:rFonts w:hint="eastAsia" w:ascii="仿宋" w:hAnsi="仿宋" w:eastAsia="仿宋" w:cs="仿宋"/>
          <w:color w:val="000000" w:themeColor="text1"/>
          <w:sz w:val="32"/>
          <w:szCs w:val="32"/>
          <w14:textFill>
            <w14:solidFill>
              <w14:schemeClr w14:val="tx1"/>
            </w14:solidFill>
          </w14:textFill>
        </w:rPr>
        <w:t>此项目按照绩效目标开展工作，达到项目申请时设定的各项绩效目标。</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一、财政拨款收入：指环江毛南族自治县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十二、“三公”经费：纳入环江毛南族自治县</w:t>
      </w:r>
      <w:r>
        <w:rPr>
          <w:rFonts w:ascii="仿宋" w:hAnsi="仿宋" w:eastAsia="仿宋" w:cs="仿宋"/>
          <w:sz w:val="32"/>
          <w:u w:color="auto"/>
        </w:rPr>
        <w:t>财政预决算管理的“三公”经费，是指</w:t>
      </w:r>
      <w:r>
        <w:rPr>
          <w:rFonts w:hint="eastAsia" w:ascii="仿宋" w:hAnsi="仿宋" w:eastAsia="仿宋" w:cs="仿宋"/>
          <w:sz w:val="32"/>
          <w:szCs w:val="32"/>
          <w:highlight w:val="none"/>
        </w:rPr>
        <w:t>环江毛南族自治县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6838" w:h="11906" w:orient="landscape"/>
      <w:pgMar w:top="1800" w:right="1440" w:bottom="1800"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79E08BB"/>
    <w:multiLevelType w:val="singleLevel"/>
    <w:tmpl w:val="C79E08B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2C698D"/>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1D1393"/>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361B20"/>
    <w:rsid w:val="254B4E2B"/>
    <w:rsid w:val="25F0344C"/>
    <w:rsid w:val="283D7C94"/>
    <w:rsid w:val="29480E03"/>
    <w:rsid w:val="2983634D"/>
    <w:rsid w:val="2BB02055"/>
    <w:rsid w:val="2C575A56"/>
    <w:rsid w:val="2F257714"/>
    <w:rsid w:val="2F3275E5"/>
    <w:rsid w:val="30AA08EF"/>
    <w:rsid w:val="30D23D1C"/>
    <w:rsid w:val="31221CF5"/>
    <w:rsid w:val="31400178"/>
    <w:rsid w:val="321E3342"/>
    <w:rsid w:val="327759C8"/>
    <w:rsid w:val="33185FE3"/>
    <w:rsid w:val="342A3290"/>
    <w:rsid w:val="34EE2E36"/>
    <w:rsid w:val="36777241"/>
    <w:rsid w:val="3757739C"/>
    <w:rsid w:val="38A951DB"/>
    <w:rsid w:val="38B31605"/>
    <w:rsid w:val="39003F4F"/>
    <w:rsid w:val="3A353513"/>
    <w:rsid w:val="3C07002B"/>
    <w:rsid w:val="3D0D152A"/>
    <w:rsid w:val="3DF62756"/>
    <w:rsid w:val="3F1B7587"/>
    <w:rsid w:val="40C411DA"/>
    <w:rsid w:val="41E57B4F"/>
    <w:rsid w:val="432F26F6"/>
    <w:rsid w:val="43880F63"/>
    <w:rsid w:val="441C5A6F"/>
    <w:rsid w:val="44C44FCC"/>
    <w:rsid w:val="44CC7369"/>
    <w:rsid w:val="457F5108"/>
    <w:rsid w:val="46951B6B"/>
    <w:rsid w:val="4781127C"/>
    <w:rsid w:val="491379FC"/>
    <w:rsid w:val="49A34401"/>
    <w:rsid w:val="4A3E30AB"/>
    <w:rsid w:val="4AC14DAC"/>
    <w:rsid w:val="4D154C85"/>
    <w:rsid w:val="4EC8553A"/>
    <w:rsid w:val="4EE46F78"/>
    <w:rsid w:val="508F4E24"/>
    <w:rsid w:val="51461E90"/>
    <w:rsid w:val="51463753"/>
    <w:rsid w:val="52553A93"/>
    <w:rsid w:val="52A75D60"/>
    <w:rsid w:val="53386B05"/>
    <w:rsid w:val="53521F8B"/>
    <w:rsid w:val="53B6054A"/>
    <w:rsid w:val="53E22F47"/>
    <w:rsid w:val="54522FF8"/>
    <w:rsid w:val="55450629"/>
    <w:rsid w:val="561D1649"/>
    <w:rsid w:val="56391E88"/>
    <w:rsid w:val="56692963"/>
    <w:rsid w:val="568B0F48"/>
    <w:rsid w:val="5786217B"/>
    <w:rsid w:val="59337A15"/>
    <w:rsid w:val="59810274"/>
    <w:rsid w:val="5C2C63B6"/>
    <w:rsid w:val="5CA96A00"/>
    <w:rsid w:val="5CF730BC"/>
    <w:rsid w:val="5E5F0DCE"/>
    <w:rsid w:val="5FA40A7B"/>
    <w:rsid w:val="5FD56D29"/>
    <w:rsid w:val="5FEC7F3F"/>
    <w:rsid w:val="60F74BC3"/>
    <w:rsid w:val="617D3BF8"/>
    <w:rsid w:val="61841F6A"/>
    <w:rsid w:val="623007A9"/>
    <w:rsid w:val="637D7558"/>
    <w:rsid w:val="644F19AC"/>
    <w:rsid w:val="64E01F39"/>
    <w:rsid w:val="65AA4920"/>
    <w:rsid w:val="674F4321"/>
    <w:rsid w:val="67694F1E"/>
    <w:rsid w:val="69597934"/>
    <w:rsid w:val="6B964DDC"/>
    <w:rsid w:val="6C783074"/>
    <w:rsid w:val="6D9E65C6"/>
    <w:rsid w:val="6DA81947"/>
    <w:rsid w:val="6E0B26F7"/>
    <w:rsid w:val="6EB66DE2"/>
    <w:rsid w:val="6ED3075F"/>
    <w:rsid w:val="6F2A2D4B"/>
    <w:rsid w:val="6F8A0C1E"/>
    <w:rsid w:val="703F45D4"/>
    <w:rsid w:val="715D6546"/>
    <w:rsid w:val="71B565F5"/>
    <w:rsid w:val="71BE069E"/>
    <w:rsid w:val="73953409"/>
    <w:rsid w:val="73E069A3"/>
    <w:rsid w:val="78104AA8"/>
    <w:rsid w:val="78E257C5"/>
    <w:rsid w:val="794B35BE"/>
    <w:rsid w:val="7A486CA5"/>
    <w:rsid w:val="7B0A3A31"/>
    <w:rsid w:val="7B3360ED"/>
    <w:rsid w:val="7B5319F3"/>
    <w:rsid w:val="7BDF037E"/>
    <w:rsid w:val="7BF50948"/>
    <w:rsid w:val="7CE66A78"/>
    <w:rsid w:val="7D23564C"/>
    <w:rsid w:val="7D5E062D"/>
    <w:rsid w:val="7DF63E9C"/>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Emphasis"/>
    <w:basedOn w:val="9"/>
    <w:qFormat/>
    <w:uiPriority w:val="0"/>
    <w:rPr>
      <w:i/>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4164.54</c:v>
                </c:pt>
                <c:pt idx="1">
                  <c:v>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solidFill>
                  <a:sysClr val="windowText" lastClr="000000"/>
                </a:solidFill>
              </a:rPr>
              <a:t>支出决算图表</a:t>
            </a:r>
            <a:endParaRPr lang="en-US" altLang="zh-CN" b="1">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Sheet1!$A$2:$A$3</c:f>
              <c:strCache>
                <c:ptCount val="2"/>
                <c:pt idx="0">
                  <c:v>节能环保支出</c:v>
                </c:pt>
                <c:pt idx="1">
                  <c:v>其他支出</c:v>
                </c:pt>
              </c:strCache>
            </c:strRef>
          </c:cat>
          <c:val>
            <c:numRef>
              <c:f>Sheet1!$B$2:$B$3</c:f>
              <c:numCache>
                <c:formatCode>General</c:formatCode>
                <c:ptCount val="2"/>
                <c:pt idx="0">
                  <c:v>1104.46</c:v>
                </c:pt>
                <c:pt idx="1">
                  <c:v>102.71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Sheet1!$A$2:$A$3</c:f>
              <c:strCache>
                <c:ptCount val="2"/>
                <c:pt idx="0">
                  <c:v>节能环保支出</c:v>
                </c:pt>
                <c:pt idx="1">
                  <c:v>其他支出</c:v>
                </c:pt>
              </c:strCache>
            </c:strRef>
          </c:cat>
          <c:val>
            <c:numRef>
              <c:f>Sheet1!$C$2:$C$3</c:f>
              <c:numCache>
                <c:formatCode>General</c:formatCode>
                <c:ptCount val="2"/>
                <c:pt idx="0">
                  <c:v>974.17</c:v>
                </c:pt>
                <c:pt idx="1">
                  <c:v>53.35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节能环保</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21101</c:v>
                </c:pt>
                <c:pt idx="1">
                  <c:v>21102</c:v>
                </c:pt>
                <c:pt idx="2">
                  <c:v>21103</c:v>
                </c:pt>
                <c:pt idx="3">
                  <c:v>211x</c:v>
                </c:pt>
              </c:strCache>
            </c:strRef>
          </c:cat>
          <c:val>
            <c:numRef>
              <c:f>Sheet1!$B$2:$B$5</c:f>
              <c:numCache>
                <c:formatCode>General</c:formatCode>
                <c:ptCount val="4"/>
                <c:pt idx="0">
                  <c:v>14.45</c:v>
                </c:pt>
                <c:pt idx="1">
                  <c:v>102.43</c:v>
                </c:pt>
                <c:pt idx="2">
                  <c:v>857.29</c:v>
                </c:pt>
                <c:pt idx="3">
                  <c:v>974.17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c:v>
                </c:pt>
                <c:pt idx="1">
                  <c:v>229x</c:v>
                </c:pt>
              </c:strCache>
            </c:strRef>
          </c:cat>
          <c:val>
            <c:numRef>
              <c:f>Sheet1!$B$2:$B$3</c:f>
              <c:numCache>
                <c:formatCode>General</c:formatCode>
                <c:ptCount val="2"/>
                <c:pt idx="0">
                  <c:v>53.35</c:v>
                </c:pt>
                <c:pt idx="1">
                  <c:v>53.35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30101</c:v>
                </c:pt>
                <c:pt idx="1">
                  <c:v>30102</c:v>
                </c:pt>
                <c:pt idx="2">
                  <c:v>30103</c:v>
                </c:pt>
              </c:numCache>
            </c:numRef>
          </c:cat>
          <c:val>
            <c:numRef>
              <c:f>Sheet1!$B$2:$B$4</c:f>
              <c:numCache>
                <c:formatCode>General</c:formatCode>
                <c:ptCount val="3"/>
                <c:pt idx="0">
                  <c:v>3.25</c:v>
                </c:pt>
                <c:pt idx="1">
                  <c:v>1.73</c:v>
                </c:pt>
                <c:pt idx="2">
                  <c:v>62.82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2023-11-20T08:32:00Z</cp:lastPrinted>
  <dcterms:modified xsi:type="dcterms:W3CDTF">2023-11-23T04:02:52Z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