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hAnsi="黑体" w:eastAsia="黑体" w:cs="黑体"/>
          <w:b/>
          <w:bCs/>
          <w:sz w:val="48"/>
          <w:szCs w:val="48"/>
          <w:highlight w:val="none"/>
          <w:lang w:eastAsia="zh-CN"/>
        </w:rPr>
      </w:pPr>
      <w:r>
        <w:rPr>
          <w:rFonts w:hint="eastAsia" w:ascii="黑体" w:hAnsi="黑体" w:eastAsia="黑体" w:cs="黑体"/>
          <w:b/>
          <w:bCs/>
          <w:sz w:val="48"/>
          <w:szCs w:val="48"/>
          <w:highlight w:val="none"/>
          <w:lang w:eastAsia="zh-CN"/>
        </w:rPr>
        <w:t>环江毛南族自治县市场开发服务中心</w:t>
      </w:r>
    </w:p>
    <w:p>
      <w:pPr>
        <w:ind w:firstLine="1446" w:firstLineChars="300"/>
        <w:jc w:val="both"/>
        <w:rPr>
          <w:rFonts w:ascii="黑体" w:hAnsi="黑体" w:eastAsia="黑体" w:cs="黑体"/>
          <w:b/>
          <w:bCs/>
          <w:sz w:val="48"/>
          <w:szCs w:val="48"/>
          <w:highlight w:val="none"/>
        </w:rPr>
      </w:pPr>
      <w:r>
        <w:rPr>
          <w:rFonts w:hint="eastAsia" w:ascii="黑体" w:hAnsi="黑体" w:eastAsia="黑体" w:cs="黑体"/>
          <w:b/>
          <w:bCs/>
          <w:sz w:val="48"/>
          <w:szCs w:val="48"/>
          <w:highlight w:val="none"/>
        </w:rPr>
        <w:t>2022年度部门决算</w:t>
      </w:r>
    </w:p>
    <w:p>
      <w:pPr>
        <w:jc w:val="center"/>
        <w:rPr>
          <w:rFonts w:ascii="仿宋" w:hAnsi="仿宋" w:eastAsia="仿宋" w:cs="仿宋"/>
          <w:sz w:val="48"/>
          <w:szCs w:val="48"/>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环江毛南族自治县市场开发服务中心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环江毛南族自治县市场开发服务中心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环江毛南族自治县市场开发服务中心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eastAsia="zh-CN"/>
        </w:rPr>
        <w:t>环江毛南族自治县市场开发服务中心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（一）负责宣传党和国家的路线、方针、政策，保护合法经营，发挥政府与市场的桥梁纽带作用；承担繁荣市场、维护稳定的社会职责。</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对本县所有国办农贸市场进行管理，搞好市场物业的经营和市场的维修、改造、开发和建设。</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）协助市场监督管理机关维护市场秩序。</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）依法收取市场设施租赁费和服务费，确保国有资产保值、增值。</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）建立健全市场管理机制，制定和完善各项管理制度，完善市场服务设施，出租市场摊位，负责市场卫生保洁，安全防火，供水供电等服务工作，确保市场安全稳定，环境优美，秩序井然。</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六</w:t>
      </w:r>
      <w:r>
        <w:rPr>
          <w:rFonts w:hint="eastAsia" w:ascii="仿宋_GB2312" w:hAnsi="仿宋_GB2312" w:eastAsia="仿宋_GB2312" w:cs="仿宋_GB2312"/>
          <w:sz w:val="30"/>
          <w:szCs w:val="30"/>
        </w:rPr>
        <w:t>）增强服务功能，调整物资供应，保证物流畅通，促进市场繁荣；为经营者提供交易场所。</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）开展文明市场、诚信市场等精神文明建设创建工作。</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）完成自治县党委、自治县人民政府</w:t>
      </w:r>
      <w:r>
        <w:rPr>
          <w:rFonts w:hint="eastAsia" w:ascii="仿宋_GB2312" w:hAnsi="仿宋_GB2312" w:eastAsia="仿宋_GB2312" w:cs="仿宋_GB2312"/>
          <w:sz w:val="30"/>
          <w:szCs w:val="30"/>
          <w:lang w:eastAsia="zh-CN"/>
        </w:rPr>
        <w:t>和自治县城市管理执法局</w:t>
      </w:r>
      <w:r>
        <w:rPr>
          <w:rFonts w:hint="eastAsia" w:ascii="仿宋_GB2312" w:hAnsi="仿宋_GB2312" w:eastAsia="仿宋_GB2312" w:cs="仿宋_GB2312"/>
          <w:sz w:val="30"/>
          <w:szCs w:val="30"/>
        </w:rPr>
        <w:t>交办的其他任务。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900" w:firstLineChars="300"/>
        <w:rPr>
          <w:rFonts w:hint="eastAsia" w:ascii="仿宋_GB2312" w:hAnsi="仿宋_GB2312" w:eastAsia="仿宋_GB2312" w:cs="仿宋_GB2312"/>
          <w:bCs/>
          <w:color w:val="000000"/>
          <w:sz w:val="30"/>
          <w:szCs w:val="30"/>
          <w:lang w:eastAsia="zh-CN"/>
        </w:rPr>
      </w:pPr>
      <w:r>
        <w:rPr>
          <w:rFonts w:hint="eastAsia" w:ascii="仿宋_GB2312" w:hAnsi="仿宋_GB2312" w:eastAsia="仿宋_GB2312" w:cs="仿宋_GB2312"/>
          <w:color w:val="000000"/>
          <w:sz w:val="30"/>
          <w:szCs w:val="30"/>
          <w:lang w:val="en-US" w:eastAsia="zh-CN"/>
        </w:rPr>
        <w:t>2022年度</w:t>
      </w:r>
      <w:r>
        <w:rPr>
          <w:rFonts w:hint="eastAsia" w:ascii="仿宋_GB2312" w:hAnsi="仿宋_GB2312" w:eastAsia="仿宋_GB2312" w:cs="仿宋_GB2312"/>
          <w:color w:val="000000"/>
          <w:sz w:val="30"/>
          <w:szCs w:val="30"/>
        </w:rPr>
        <w:t>，纳入本部门决算汇编范围的独立核算单位共  1 个，比上年增</w:t>
      </w:r>
      <w:r>
        <w:rPr>
          <w:rFonts w:hint="eastAsia" w:ascii="仿宋_GB2312" w:hAnsi="仿宋_GB2312" w:eastAsia="仿宋_GB2312" w:cs="仿宋_GB2312"/>
          <w:color w:val="000000"/>
          <w:sz w:val="30"/>
          <w:szCs w:val="30"/>
          <w:lang w:eastAsia="zh-CN"/>
        </w:rPr>
        <w:t>加</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个，</w:t>
      </w:r>
      <w:r>
        <w:rPr>
          <w:rFonts w:hint="eastAsia" w:ascii="仿宋_GB2312" w:hAnsi="仿宋_GB2312" w:eastAsia="仿宋_GB2312" w:cs="仿宋_GB2312"/>
          <w:color w:val="000000"/>
          <w:sz w:val="30"/>
          <w:szCs w:val="30"/>
          <w:lang w:eastAsia="zh-CN"/>
        </w:rPr>
        <w:t>原因：我单位</w:t>
      </w:r>
      <w:r>
        <w:rPr>
          <w:rFonts w:hint="eastAsia" w:ascii="仿宋_GB2312" w:hAnsi="仿宋_GB2312" w:eastAsia="仿宋_GB2312" w:cs="仿宋_GB2312"/>
          <w:color w:val="000000"/>
          <w:sz w:val="30"/>
          <w:szCs w:val="30"/>
          <w:lang w:val="en-US" w:eastAsia="zh-CN"/>
        </w:rPr>
        <w:t>2022年才正式纳入财政预算范围。</w:t>
      </w:r>
      <w:r>
        <w:rPr>
          <w:rFonts w:hint="eastAsia" w:ascii="仿宋_GB2312" w:hAnsi="仿宋_GB2312" w:eastAsia="仿宋_GB2312" w:cs="仿宋_GB2312"/>
          <w:sz w:val="30"/>
          <w:szCs w:val="30"/>
          <w:lang w:eastAsia="zh-CN"/>
        </w:rPr>
        <w:t>环江毛南族自治县市场开发服务</w:t>
      </w:r>
      <w:r>
        <w:rPr>
          <w:rFonts w:hint="eastAsia" w:ascii="仿宋_GB2312" w:hAnsi="仿宋_GB2312" w:eastAsia="仿宋_GB2312" w:cs="仿宋_GB2312"/>
          <w:sz w:val="30"/>
          <w:szCs w:val="30"/>
        </w:rPr>
        <w:t>中心是</w:t>
      </w:r>
      <w:r>
        <w:rPr>
          <w:rFonts w:hint="eastAsia" w:ascii="仿宋_GB2312" w:hAnsi="仿宋_GB2312" w:eastAsia="仿宋_GB2312" w:cs="仿宋_GB2312"/>
          <w:sz w:val="30"/>
          <w:szCs w:val="30"/>
          <w:lang w:eastAsia="zh-CN"/>
        </w:rPr>
        <w:t>正科级、</w:t>
      </w:r>
      <w:r>
        <w:rPr>
          <w:rFonts w:hint="eastAsia" w:ascii="仿宋_GB2312" w:hAnsi="仿宋_GB2312" w:eastAsia="仿宋_GB2312" w:cs="仿宋_GB2312"/>
          <w:sz w:val="30"/>
          <w:szCs w:val="30"/>
        </w:rPr>
        <w:t>财政全额拨款</w:t>
      </w:r>
      <w:r>
        <w:rPr>
          <w:rFonts w:hint="eastAsia" w:ascii="仿宋_GB2312" w:hAnsi="仿宋_GB2312" w:eastAsia="仿宋_GB2312" w:cs="仿宋_GB2312"/>
          <w:spacing w:val="-8"/>
          <w:sz w:val="30"/>
          <w:szCs w:val="30"/>
          <w:lang w:eastAsia="zh-CN"/>
        </w:rPr>
        <w:t>、</w:t>
      </w:r>
      <w:r>
        <w:rPr>
          <w:rFonts w:hint="eastAsia" w:ascii="仿宋_GB2312" w:hAnsi="仿宋_GB2312" w:eastAsia="仿宋_GB2312" w:cs="仿宋_GB2312"/>
          <w:sz w:val="30"/>
          <w:szCs w:val="30"/>
          <w:shd w:val="clear" w:color="auto" w:fill="FFFFFF"/>
        </w:rPr>
        <w:t>公益</w:t>
      </w:r>
      <w:r>
        <w:rPr>
          <w:rFonts w:hint="eastAsia" w:ascii="仿宋_GB2312" w:hAnsi="仿宋_GB2312" w:eastAsia="仿宋_GB2312" w:cs="仿宋_GB2312"/>
          <w:sz w:val="30"/>
          <w:szCs w:val="30"/>
          <w:shd w:val="clear" w:color="auto" w:fill="FFFFFF"/>
          <w:lang w:eastAsia="zh-CN"/>
        </w:rPr>
        <w:t>二</w:t>
      </w:r>
      <w:r>
        <w:rPr>
          <w:rFonts w:hint="eastAsia" w:ascii="仿宋_GB2312" w:hAnsi="仿宋_GB2312" w:eastAsia="仿宋_GB2312" w:cs="仿宋_GB2312"/>
          <w:sz w:val="30"/>
          <w:szCs w:val="30"/>
          <w:shd w:val="clear" w:color="auto" w:fill="FFFFFF"/>
        </w:rPr>
        <w:t>类</w:t>
      </w:r>
      <w:r>
        <w:rPr>
          <w:rFonts w:hint="eastAsia" w:ascii="仿宋_GB2312" w:hAnsi="仿宋_GB2312" w:eastAsia="仿宋_GB2312" w:cs="仿宋_GB2312"/>
          <w:sz w:val="30"/>
          <w:szCs w:val="30"/>
        </w:rPr>
        <w:t>事业单位</w:t>
      </w:r>
      <w:r>
        <w:rPr>
          <w:rFonts w:hint="eastAsia" w:ascii="仿宋_GB2312" w:hAnsi="仿宋_GB2312" w:eastAsia="仿宋_GB2312" w:cs="仿宋_GB2312"/>
          <w:sz w:val="30"/>
          <w:szCs w:val="30"/>
          <w:lang w:eastAsia="zh-CN"/>
        </w:rPr>
        <w:t>，环江毛南族自治县市场开发服务</w:t>
      </w:r>
      <w:r>
        <w:rPr>
          <w:rFonts w:hint="eastAsia" w:ascii="仿宋_GB2312" w:hAnsi="仿宋_GB2312" w:eastAsia="仿宋_GB2312" w:cs="仿宋_GB2312"/>
          <w:sz w:val="30"/>
          <w:szCs w:val="30"/>
        </w:rPr>
        <w:t>中心核定财政全额拨款事业编制</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名，设主任</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名</w:t>
      </w:r>
      <w:r>
        <w:rPr>
          <w:rFonts w:hint="eastAsia" w:ascii="仿宋_GB2312" w:hAnsi="仿宋_GB2312" w:eastAsia="仿宋_GB2312" w:cs="仿宋_GB2312"/>
          <w:sz w:val="30"/>
          <w:szCs w:val="30"/>
          <w:lang w:eastAsia="zh-CN"/>
        </w:rPr>
        <w:t>（正科级）</w:t>
      </w:r>
      <w:r>
        <w:rPr>
          <w:rFonts w:hint="eastAsia" w:ascii="仿宋_GB2312" w:hAnsi="仿宋_GB2312" w:eastAsia="仿宋_GB2312" w:cs="仿宋_GB2312"/>
          <w:sz w:val="30"/>
          <w:szCs w:val="30"/>
        </w:rPr>
        <w:t>，副主任</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名（</w:t>
      </w:r>
      <w:r>
        <w:rPr>
          <w:rFonts w:hint="eastAsia" w:ascii="仿宋_GB2312" w:hAnsi="仿宋_GB2312" w:eastAsia="仿宋_GB2312" w:cs="仿宋_GB2312"/>
          <w:sz w:val="30"/>
          <w:szCs w:val="30"/>
          <w:lang w:eastAsia="zh-CN"/>
        </w:rPr>
        <w:t>副科</w:t>
      </w:r>
      <w:r>
        <w:rPr>
          <w:rFonts w:hint="eastAsia" w:ascii="仿宋_GB2312" w:hAnsi="仿宋_GB2312" w:eastAsia="仿宋_GB2312" w:cs="仿宋_GB2312"/>
          <w:sz w:val="30"/>
          <w:szCs w:val="30"/>
        </w:rPr>
        <w:t>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Cs/>
          <w:color w:val="000000"/>
          <w:sz w:val="30"/>
          <w:szCs w:val="30"/>
        </w:rPr>
        <w:t>内设机构</w:t>
      </w:r>
      <w:r>
        <w:rPr>
          <w:rFonts w:hint="eastAsia" w:ascii="仿宋_GB2312" w:hAnsi="仿宋_GB2312" w:eastAsia="仿宋_GB2312" w:cs="仿宋_GB2312"/>
          <w:bCs/>
          <w:color w:val="000000"/>
          <w:sz w:val="30"/>
          <w:szCs w:val="30"/>
          <w:lang w:eastAsia="zh-CN"/>
        </w:rPr>
        <w:t>：主任室、副主任、办公室、市场股、财务股、市管室。</w:t>
      </w:r>
    </w:p>
    <w:p>
      <w:pPr>
        <w:ind w:firstLine="900" w:firstLineChars="300"/>
        <w:rPr>
          <w:rFonts w:ascii="仿宋_GB2312" w:eastAsia="仿宋_GB2312"/>
          <w:sz w:val="30"/>
          <w:szCs w:val="30"/>
        </w:rPr>
      </w:pPr>
      <w:r>
        <w:rPr>
          <w:rFonts w:hint="eastAsia" w:ascii="仿宋_GB2312" w:eastAsia="仿宋_GB2312"/>
          <w:sz w:val="30"/>
          <w:szCs w:val="30"/>
        </w:rPr>
        <w:t>人员编制总数为1</w:t>
      </w:r>
      <w:r>
        <w:rPr>
          <w:rFonts w:ascii="仿宋_GB2312" w:eastAsia="仿宋_GB2312"/>
          <w:sz w:val="30"/>
          <w:szCs w:val="30"/>
        </w:rPr>
        <w:t>7</w:t>
      </w:r>
      <w:r>
        <w:rPr>
          <w:rFonts w:hint="eastAsia" w:ascii="仿宋_GB2312" w:eastAsia="仿宋_GB2312"/>
          <w:sz w:val="30"/>
          <w:szCs w:val="30"/>
        </w:rPr>
        <w:t>人，其中行政编制0人，事业编制1</w:t>
      </w:r>
      <w:r>
        <w:rPr>
          <w:rFonts w:hint="eastAsia" w:ascii="仿宋_GB2312" w:eastAsia="仿宋_GB2312"/>
          <w:sz w:val="30"/>
          <w:szCs w:val="30"/>
          <w:lang w:val="en-US" w:eastAsia="zh-CN"/>
        </w:rPr>
        <w:t>6</w:t>
      </w:r>
      <w:r>
        <w:rPr>
          <w:rFonts w:hint="eastAsia" w:ascii="仿宋_GB2312" w:eastAsia="仿宋_GB2312"/>
          <w:sz w:val="30"/>
          <w:szCs w:val="30"/>
        </w:rPr>
        <w:t>人，机关后勤服务中心聘用人员控制数0人。实有财政供养人数</w:t>
      </w:r>
      <w:r>
        <w:rPr>
          <w:rFonts w:hint="eastAsia" w:ascii="仿宋_GB2312" w:eastAsia="仿宋_GB2312"/>
          <w:sz w:val="30"/>
          <w:szCs w:val="30"/>
          <w:lang w:val="en-US" w:eastAsia="zh-CN"/>
        </w:rPr>
        <w:t>16</w:t>
      </w:r>
      <w:r>
        <w:rPr>
          <w:rFonts w:hint="eastAsia" w:ascii="仿宋_GB2312" w:eastAsia="仿宋_GB2312"/>
          <w:sz w:val="30"/>
          <w:szCs w:val="30"/>
        </w:rPr>
        <w:t>人，其中行政在职0人，事业在职1</w:t>
      </w:r>
      <w:r>
        <w:rPr>
          <w:rFonts w:hint="eastAsia" w:ascii="仿宋_GB2312" w:eastAsia="仿宋_GB2312"/>
          <w:sz w:val="30"/>
          <w:szCs w:val="30"/>
          <w:lang w:val="en-US" w:eastAsia="zh-CN"/>
        </w:rPr>
        <w:t>6</w:t>
      </w:r>
      <w:r>
        <w:rPr>
          <w:rFonts w:hint="eastAsia" w:ascii="仿宋_GB2312" w:eastAsia="仿宋_GB2312"/>
          <w:sz w:val="30"/>
          <w:szCs w:val="30"/>
        </w:rPr>
        <w:t>人，离退休人员1</w:t>
      </w:r>
      <w:r>
        <w:rPr>
          <w:rFonts w:hint="eastAsia" w:ascii="仿宋_GB2312" w:eastAsia="仿宋_GB2312"/>
          <w:sz w:val="30"/>
          <w:szCs w:val="30"/>
          <w:lang w:val="en-US" w:eastAsia="zh-CN"/>
        </w:rPr>
        <w:t>6</w:t>
      </w:r>
      <w:r>
        <w:rPr>
          <w:rFonts w:hint="eastAsia" w:ascii="仿宋_GB2312" w:eastAsia="仿宋_GB2312"/>
          <w:sz w:val="30"/>
          <w:szCs w:val="30"/>
        </w:rPr>
        <w:t>人（其中离休0人）。编外在职实有人数</w:t>
      </w:r>
      <w:r>
        <w:rPr>
          <w:rFonts w:hint="eastAsia" w:ascii="仿宋_GB2312" w:eastAsia="仿宋_GB2312"/>
          <w:sz w:val="30"/>
          <w:szCs w:val="30"/>
          <w:lang w:val="en-US" w:eastAsia="zh-CN"/>
        </w:rPr>
        <w:t>0</w:t>
      </w:r>
      <w:r>
        <w:rPr>
          <w:rFonts w:hint="eastAsia" w:ascii="仿宋_GB2312" w:eastAsia="仿宋_GB2312"/>
          <w:sz w:val="30"/>
          <w:szCs w:val="30"/>
        </w:rPr>
        <w:t>人。</w:t>
      </w:r>
    </w:p>
    <w:p>
      <w:pPr>
        <w:pStyle w:val="2"/>
        <w:rPr>
          <w:rFonts w:hint="default"/>
          <w:sz w:val="30"/>
          <w:szCs w:val="30"/>
          <w:lang w:val="en-US"/>
        </w:rPr>
      </w:pPr>
    </w:p>
    <w:p>
      <w:pPr>
        <w:jc w:val="center"/>
        <w:rPr>
          <w:rFonts w:hint="eastAsia" w:ascii="黑体" w:hAnsi="黑体" w:eastAsia="黑体" w:cs="黑体"/>
          <w:sz w:val="30"/>
          <w:szCs w:val="30"/>
          <w:highlight w:val="none"/>
          <w:lang w:val="en-US" w:eastAsia="zh-CN"/>
        </w:rPr>
      </w:pPr>
    </w:p>
    <w:p>
      <w:pPr>
        <w:pStyle w:val="2"/>
        <w:rPr>
          <w:rFonts w:hint="eastAsia"/>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环江县市场开发服务中心</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21.33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152.29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224.63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bl>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4081" w:type="dxa"/>
        <w:tblInd w:w="93" w:type="dxa"/>
        <w:tblLayout w:type="fixed"/>
        <w:tblCellMar>
          <w:top w:w="0" w:type="dxa"/>
          <w:left w:w="108" w:type="dxa"/>
          <w:bottom w:w="0" w:type="dxa"/>
          <w:right w:w="108" w:type="dxa"/>
        </w:tblCellMar>
      </w:tblPr>
      <w:tblGrid>
        <w:gridCol w:w="3"/>
        <w:gridCol w:w="4260"/>
        <w:gridCol w:w="220"/>
        <w:gridCol w:w="221"/>
        <w:gridCol w:w="3507"/>
        <w:gridCol w:w="997"/>
        <w:gridCol w:w="997"/>
        <w:gridCol w:w="607"/>
        <w:gridCol w:w="607"/>
        <w:gridCol w:w="607"/>
        <w:gridCol w:w="607"/>
        <w:gridCol w:w="910"/>
        <w:gridCol w:w="538"/>
      </w:tblGrid>
      <w:tr>
        <w:trPr>
          <w:gridBefore w:val="1"/>
          <w:gridAfter w:val="1"/>
          <w:wBefore w:w="3" w:type="dxa"/>
          <w:wAfter w:w="538" w:type="dxa"/>
          <w:trHeight w:val="90" w:hRule="atLeast"/>
        </w:trPr>
        <w:tc>
          <w:tcPr>
            <w:tcW w:w="13540"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color w:val="FFFFFF" w:themeColor="background1"/>
                <w:highlight w:val="none"/>
                <w14:textFill>
                  <w14:solidFill>
                    <w14:schemeClr w14:val="bg1"/>
                  </w14:solidFill>
                </w14:textFill>
              </w:rPr>
            </w:pPr>
            <w:r>
              <w:rPr>
                <w:rFonts w:hint="eastAsia" w:ascii="仿宋" w:hAnsi="仿宋" w:eastAsia="仿宋" w:cs="仿宋"/>
                <w:color w:val="000000"/>
                <w:kern w:val="0"/>
                <w:sz w:val="24"/>
                <w:szCs w:val="24"/>
                <w:highlight w:val="none"/>
                <w:lang w:val="en-US" w:eastAsia="zh-CN" w:bidi="ar"/>
              </w:rPr>
              <w:t>表二收入决算表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4081" w:type="dxa"/>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26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63"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2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9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48"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07"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07"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07"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11"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11"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224.63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224.63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建设市场管理与监督</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21200601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sz w:val="22"/>
                <w:szCs w:val="22"/>
                <w:u w:val="none"/>
                <w:lang w:eastAsia="zh-CN"/>
              </w:rPr>
              <w:t>建设市场管理与监督</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04"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081"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ind w:firstLine="240" w:firstLineChars="100"/>
        <w:jc w:val="left"/>
        <w:rPr>
          <w:rFonts w:hint="eastAsia" w:ascii="仿宋" w:hAnsi="仿宋" w:eastAsia="仿宋" w:cs="仿宋"/>
          <w:sz w:val="24"/>
          <w:highlight w:val="none"/>
        </w:rPr>
      </w:pPr>
    </w:p>
    <w:p>
      <w:pPr>
        <w:ind w:firstLine="240" w:firstLineChars="100"/>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7"/>
        <w:gridCol w:w="222"/>
        <w:gridCol w:w="222"/>
        <w:gridCol w:w="3949"/>
        <w:gridCol w:w="1036"/>
        <w:gridCol w:w="1019"/>
        <w:gridCol w:w="694"/>
        <w:gridCol w:w="659"/>
        <w:gridCol w:w="659"/>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9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5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5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50"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50"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0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0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224.63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216.64</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7.99</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21206</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建设市场管理与监督</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21200601</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sz w:val="22"/>
                <w:szCs w:val="22"/>
                <w:u w:val="none"/>
                <w:lang w:eastAsia="zh-CN"/>
              </w:rPr>
              <w:t>建设市场管理与监督</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152.29</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5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95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21.33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152.29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152.29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31.93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224.63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rPr>
          <w:rFonts w:hint="eastAsia" w:ascii="仿宋_GB2312" w:eastAsia="仿宋_GB2312"/>
          <w:sz w:val="24"/>
          <w:szCs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2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6"/>
        <w:gridCol w:w="234"/>
        <w:gridCol w:w="234"/>
        <w:gridCol w:w="4398"/>
        <w:gridCol w:w="931"/>
        <w:gridCol w:w="992"/>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264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2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2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6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469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2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69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469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224.63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216.64</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152.29</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46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w:t>
            </w:r>
          </w:p>
        </w:tc>
        <w:tc>
          <w:tcPr>
            <w:tcW w:w="43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建设市场管理与监督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152.29</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46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21200601</w:t>
            </w:r>
          </w:p>
        </w:tc>
        <w:tc>
          <w:tcPr>
            <w:tcW w:w="43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sz w:val="22"/>
                <w:szCs w:val="22"/>
                <w:u w:val="none"/>
                <w:lang w:eastAsia="zh-CN"/>
              </w:rPr>
              <w:t>建设市场管理与监督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152.29</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31.93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31.93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31.93</w:t>
            </w: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7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2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环江毛南族自治县市场开发服务中心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197.75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63.3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53.05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21.33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209.48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7.16</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w:t>
      </w:r>
      <w:r>
        <w:rPr>
          <w:rFonts w:hint="eastAsia" w:ascii="宋体" w:hAnsi="宋体" w:eastAsia="宋体" w:cs="宋体"/>
          <w:color w:val="000000"/>
          <w:kern w:val="0"/>
          <w:sz w:val="21"/>
          <w:szCs w:val="21"/>
          <w:highlight w:val="none"/>
          <w:lang w:bidi="ar"/>
        </w:rPr>
        <w:t>国有资本经营预算财政拨款支出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3940" w:type="dxa"/>
        <w:tblInd w:w="96" w:type="dxa"/>
        <w:tblLayout w:type="fixed"/>
        <w:tblCellMar>
          <w:top w:w="0" w:type="dxa"/>
          <w:left w:w="108" w:type="dxa"/>
          <w:bottom w:w="0" w:type="dxa"/>
          <w:right w:w="108" w:type="dxa"/>
        </w:tblCellMar>
      </w:tblPr>
      <w:tblGrid>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3923"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4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289"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环江毛南族自治县市场开发服务中心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2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4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4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4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4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0" w:leftChars="0" w:right="0" w:rightChars="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numPr>
                <w:ilvl w:val="0"/>
                <w:numId w:val="0"/>
              </w:numPr>
              <w:suppressLineNumbers w:val="0"/>
              <w:spacing w:before="0" w:beforeAutospacing="0" w:after="0" w:afterAutospacing="0"/>
              <w:ind w:left="0" w:leftChars="0" w:right="0" w:rightChars="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numPr>
                <w:ilvl w:val="0"/>
                <w:numId w:val="0"/>
              </w:numPr>
              <w:suppressLineNumbers w:val="0"/>
              <w:spacing w:before="0" w:beforeAutospacing="0" w:after="0" w:afterAutospacing="0"/>
              <w:ind w:left="0" w:leftChars="0" w:right="0" w:rightChars="0"/>
              <w:jc w:val="center"/>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3923"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年度没有</w:t>
      </w:r>
      <w:r>
        <w:rPr>
          <w:rFonts w:hint="eastAsia" w:ascii="宋体" w:hAnsi="宋体" w:eastAsia="宋体" w:cs="宋体"/>
          <w:color w:val="000000"/>
          <w:kern w:val="0"/>
          <w:sz w:val="21"/>
          <w:szCs w:val="21"/>
          <w:highlight w:val="none"/>
          <w:lang w:bidi="ar"/>
        </w:rPr>
        <w:t>一般公共预算财政拨款“三公”经费支出决算表</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环江毛南族自治县市场开发服务中心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224.630</w:t>
      </w:r>
      <w:r>
        <w:rPr>
          <w:rFonts w:hint="eastAsia" w:ascii="仿宋" w:hAnsi="仿宋" w:eastAsia="仿宋" w:cs="仿宋"/>
          <w:sz w:val="32"/>
          <w:szCs w:val="32"/>
          <w:highlight w:val="none"/>
        </w:rPr>
        <w:t>万元，</w:t>
      </w:r>
      <w:r>
        <w:rPr>
          <w:rFonts w:hint="eastAsia" w:ascii="仿宋" w:hAnsi="仿宋" w:eastAsia="仿宋" w:cs="仿宋"/>
          <w:kern w:val="2"/>
          <w:sz w:val="32"/>
          <w:szCs w:val="32"/>
          <w:highlight w:val="none"/>
          <w:lang w:val="en-US" w:eastAsia="zh-CN" w:bidi="ar"/>
        </w:rPr>
        <w:t>增长100%，</w:t>
      </w:r>
      <w:r>
        <w:rPr>
          <w:rFonts w:hint="eastAsia" w:ascii="仿宋" w:hAnsi="仿宋" w:eastAsia="仿宋" w:cs="仿宋"/>
          <w:sz w:val="32"/>
          <w:szCs w:val="32"/>
          <w:highlight w:val="none"/>
          <w:lang w:eastAsia="zh-CN"/>
        </w:rPr>
        <w:t>原因：本部门</w:t>
      </w:r>
      <w:r>
        <w:rPr>
          <w:rFonts w:hint="eastAsia" w:ascii="仿宋" w:hAnsi="仿宋" w:eastAsia="仿宋" w:cs="仿宋"/>
          <w:sz w:val="32"/>
          <w:szCs w:val="32"/>
          <w:highlight w:val="none"/>
          <w:lang w:val="en-US" w:eastAsia="zh-CN"/>
        </w:rPr>
        <w:t>2022年才开始纳入财政预算范围</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224.63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本级财政当年拨付的资金。较2021年度决算数增加</w:t>
      </w:r>
      <w:r>
        <w:rPr>
          <w:rFonts w:hint="eastAsia" w:ascii="仿宋" w:hAnsi="仿宋" w:eastAsia="仿宋" w:cs="仿宋"/>
          <w:sz w:val="32"/>
          <w:u w:color="auto"/>
          <w:lang w:val="en-US" w:eastAsia="zh-CN"/>
        </w:rPr>
        <w:t>224.63</w:t>
      </w:r>
      <w:r>
        <w:rPr>
          <w:rFonts w:hint="eastAsia" w:ascii="仿宋" w:hAnsi="仿宋" w:eastAsia="仿宋" w:cs="仿宋"/>
          <w:kern w:val="2"/>
          <w:sz w:val="32"/>
          <w:szCs w:val="32"/>
          <w:highlight w:val="none"/>
          <w:lang w:val="en-US" w:eastAsia="zh-CN" w:bidi="ar"/>
        </w:rPr>
        <w:t>万元，增长100%，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没有发生该项业务。</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w:t>
      </w:r>
      <w:r>
        <w:rPr>
          <w:rFonts w:hint="eastAsia" w:ascii="仿宋" w:hAnsi="仿宋" w:eastAsia="仿宋" w:cs="仿宋"/>
          <w:kern w:val="2"/>
          <w:sz w:val="32"/>
          <w:szCs w:val="32"/>
          <w:highlight w:val="none"/>
          <w:lang w:val="en-US" w:eastAsia="zh-CN" w:bidi="ar"/>
        </w:rPr>
        <w:t>上级补助收入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没有其他收入。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75225" cy="2839085"/>
            <wp:effectExtent l="5080" t="4445" r="1079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100%</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lang w:eastAsia="zh-CN"/>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：在职在编人员的</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21.33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在职在编人员养老保险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21.33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u w:color="auto"/>
          <w:lang w:eastAsia="zh-CN"/>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152.29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w:t>
      </w:r>
      <w:r>
        <w:rPr>
          <w:rFonts w:hint="eastAsia" w:ascii="仿宋" w:hAnsi="仿宋" w:eastAsia="仿宋" w:cs="仿宋"/>
          <w:sz w:val="32"/>
          <w:szCs w:val="32"/>
          <w:lang w:eastAsia="zh-CN"/>
        </w:rPr>
        <w:t>人员</w:t>
      </w:r>
      <w:r>
        <w:rPr>
          <w:rFonts w:hint="eastAsia" w:ascii="仿宋" w:hAnsi="仿宋" w:eastAsia="仿宋" w:cs="仿宋"/>
          <w:sz w:val="32"/>
          <w:szCs w:val="32"/>
        </w:rPr>
        <w:t>基本工资、津贴补贴、奖金、伙食补助费、绩效工资、城镇职工基本医疗保险缴费、其他社会保障缴费、退休</w:t>
      </w:r>
      <w:r>
        <w:rPr>
          <w:rFonts w:hint="eastAsia" w:ascii="仿宋" w:hAnsi="仿宋" w:eastAsia="仿宋" w:cs="仿宋"/>
          <w:sz w:val="32"/>
          <w:szCs w:val="32"/>
          <w:lang w:eastAsia="zh-CN"/>
        </w:rPr>
        <w:t>人员</w:t>
      </w:r>
      <w:r>
        <w:rPr>
          <w:rFonts w:hint="eastAsia" w:ascii="仿宋" w:hAnsi="仿宋" w:eastAsia="仿宋" w:cs="仿宋"/>
          <w:sz w:val="32"/>
          <w:szCs w:val="32"/>
        </w:rPr>
        <w:t>对个人和家庭的补助支出</w:t>
      </w:r>
      <w:r>
        <w:rPr>
          <w:rFonts w:hint="eastAsia" w:ascii="仿宋" w:hAnsi="仿宋" w:eastAsia="仿宋" w:cs="仿宋"/>
          <w:sz w:val="32"/>
          <w:szCs w:val="32"/>
          <w:lang w:eastAsia="zh-CN"/>
        </w:rPr>
        <w:t>、残疾人社会保障金、市场卫生费，遗属费、办公费、水电费、邮电费、车辆运行费等。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152.29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：在职在编人员公积金支出，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bidi="ar"/>
        </w:rPr>
        <w:t>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5.其他支出（229类）31.93万元，主要用于：在职在编人员奖励性补贴。</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bidi="ar"/>
        </w:rPr>
        <w:t>31.93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keepNext w:val="0"/>
        <w:keepLines w:val="0"/>
        <w:widowControl w:val="0"/>
        <w:suppressLineNumbers w:val="0"/>
        <w:spacing w:before="0" w:beforeAutospacing="0" w:after="0" w:afterAutospacing="0"/>
        <w:ind w:right="0" w:firstLine="62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没有结余分配业务发生。</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今年以支定收无结余</w:t>
      </w:r>
      <w:r>
        <w:rPr>
          <w:rFonts w:hint="eastAsia" w:ascii="仿宋" w:hAnsi="仿宋" w:eastAsia="仿宋" w:cs="仿宋"/>
          <w:kern w:val="0"/>
          <w:sz w:val="32"/>
          <w:szCs w:val="32"/>
          <w:lang w:eastAsia="zh-CN"/>
        </w:rPr>
        <w:t>，</w:t>
      </w:r>
      <w:r>
        <w:rPr>
          <w:rFonts w:hint="eastAsia" w:ascii="仿宋" w:hAnsi="仿宋" w:eastAsia="仿宋" w:cs="仿宋"/>
          <w:sz w:val="32"/>
          <w:szCs w:val="32"/>
          <w:highlight w:val="none"/>
          <w:lang w:eastAsia="zh-CN"/>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w:t>
      </w:r>
      <w:r>
        <w:rPr>
          <w:rFonts w:hint="eastAsia" w:ascii="仿宋" w:hAnsi="仿宋" w:eastAsia="仿宋" w:cs="仿宋"/>
          <w:sz w:val="32"/>
          <w:szCs w:val="32"/>
          <w:highlight w:val="none"/>
        </w:rPr>
        <w:t>年末结转和结余</w:t>
      </w:r>
      <w:r>
        <w:rPr>
          <w:rFonts w:hint="eastAsia" w:ascii="仿宋" w:hAnsi="仿宋" w:eastAsia="仿宋" w:cs="仿宋"/>
          <w:sz w:val="32"/>
          <w:szCs w:val="32"/>
          <w:highlight w:val="none"/>
          <w:lang w:eastAsia="zh-CN"/>
        </w:rPr>
        <w:t>业务发生。</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94200" cy="25273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环江毛南族自治县市场开发服务中心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216.64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7.99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环江毛南族自治县市场开发服务中心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230.00</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224.63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97.67</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lang w:eastAsia="zh-CN"/>
        </w:rPr>
        <w:t>（一）</w:t>
      </w:r>
      <w:r>
        <w:rPr>
          <w:rFonts w:hint="eastAsia" w:ascii="仿宋" w:hAnsi="仿宋" w:eastAsia="仿宋" w:cs="仿宋"/>
          <w:sz w:val="32"/>
          <w:u w:color="auto"/>
          <w:lang w:eastAsia="zh-CN"/>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初预算为</w:t>
      </w:r>
      <w:r>
        <w:rPr>
          <w:rFonts w:hint="eastAsia" w:ascii="仿宋" w:hAnsi="仿宋" w:eastAsia="仿宋"/>
          <w:sz w:val="32"/>
          <w:szCs w:val="32"/>
          <w:highlight w:val="none"/>
          <w:lang w:val="en-US" w:eastAsia="zh-CN"/>
        </w:rPr>
        <w:t>3.08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原因是：按时按量完成支付，无差异。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rPr>
          <w:rFonts w:hint="eastAsia"/>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78"/>
        <w:gridCol w:w="692"/>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类款项</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科目名称</w:t>
            </w:r>
          </w:p>
        </w:tc>
        <w:tc>
          <w:tcPr>
            <w:tcW w:w="6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t>2012999</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t>其他群众团体事务支出</w:t>
            </w:r>
          </w:p>
        </w:tc>
        <w:tc>
          <w:tcPr>
            <w:tcW w:w="6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t>3.08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t>3.08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在职在编员工工会经费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t>合计数</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p>
        </w:tc>
        <w:tc>
          <w:tcPr>
            <w:tcW w:w="6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t>3.08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t>3.08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在职在编员工工会经费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无差异</w:t>
            </w:r>
          </w:p>
        </w:tc>
      </w:tr>
    </w:tbl>
    <w:p>
      <w:pPr>
        <w:jc w:val="left"/>
        <w:rPr>
          <w:rFonts w:hint="eastAsia" w:ascii="仿宋" w:hAnsi="仿宋" w:eastAsia="仿宋" w:cs="仿宋"/>
          <w:color w:val="000000" w:themeColor="text1"/>
          <w:sz w:val="18"/>
          <w:szCs w:val="18"/>
          <w:highlight w:val="none"/>
          <w14:textFill>
            <w14:solidFill>
              <w14:schemeClr w14:val="tx1"/>
            </w14:solidFill>
          </w14:textFill>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24.92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21.33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85.6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原因是：年中有人员退休。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有人员不做扶贫，养老保险缴费基数降低。</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2"/>
                <w:sz w:val="21"/>
                <w:szCs w:val="21"/>
                <w:highlight w:val="none"/>
                <w:u w:val="none"/>
                <w:lang w:val="en-US" w:eastAsia="zh-CN" w:bidi="ar-SA"/>
              </w:rPr>
              <w:t>21.33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在职在编人员缴纳养老保险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年中有人员退休，有人员不做扶贫，公积金缴费基数降低。</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1"/>
                <w:szCs w:val="21"/>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lang w:val="en-US" w:eastAsia="zh-CN"/>
              </w:rPr>
              <w:t>24.92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2"/>
                <w:sz w:val="21"/>
                <w:szCs w:val="21"/>
                <w:highlight w:val="none"/>
                <w:u w:val="none"/>
                <w:lang w:val="en-US" w:eastAsia="zh-CN" w:bidi="ar-SA"/>
              </w:rPr>
              <w:t>21.33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在职在编人员缴纳养老保险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年中有人员退休，有人员不做扶贫，公积金缴费基数降低。</w:t>
            </w:r>
          </w:p>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21"/>
                <w:szCs w:val="21"/>
                <w:highlight w:val="none"/>
                <w:u w:val="none"/>
                <w:lang w:val="en-US" w:eastAsia="zh-CN" w:bidi="ar-SA"/>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）城乡社区支出</w:t>
      </w:r>
      <w:r>
        <w:rPr>
          <w:rFonts w:ascii="仿宋" w:hAnsi="仿宋" w:eastAsia="仿宋"/>
          <w:sz w:val="32"/>
          <w:u w:color="auto"/>
        </w:rPr>
        <w:t>（2</w:t>
      </w:r>
      <w:r>
        <w:rPr>
          <w:rFonts w:hint="eastAsia" w:ascii="仿宋" w:hAnsi="仿宋" w:eastAsia="仿宋"/>
          <w:sz w:val="32"/>
          <w:u w:color="auto"/>
          <w:lang w:val="en-US" w:eastAsia="zh-CN"/>
        </w:rPr>
        <w:t>12</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183.31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152.29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83.08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财政资金紧张，有的资金未及时支付。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2120601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建设市场管理与监督</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183.321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18"/>
                <w:szCs w:val="18"/>
                <w:highlight w:val="none"/>
                <w:u w:val="none"/>
                <w:lang w:val="en-US" w:eastAsia="zh-CN" w:bidi="ar-SA"/>
              </w:rPr>
              <w:t>152.29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83.08%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eastAsia="zh-CN"/>
                <w14:textFill>
                  <w14:solidFill>
                    <w14:schemeClr w14:val="tx1"/>
                  </w14:solidFill>
                </w14:textFill>
              </w:rPr>
              <w:t>在职在编</w:t>
            </w:r>
            <w:r>
              <w:rPr>
                <w:rFonts w:hint="eastAsia" w:ascii="仿宋" w:hAnsi="仿宋" w:eastAsia="仿宋" w:cs="仿宋"/>
                <w:sz w:val="18"/>
                <w:szCs w:val="18"/>
                <w:lang w:eastAsia="zh-CN"/>
              </w:rPr>
              <w:t>人员</w:t>
            </w:r>
            <w:r>
              <w:rPr>
                <w:rFonts w:hint="eastAsia" w:ascii="仿宋" w:hAnsi="仿宋" w:eastAsia="仿宋" w:cs="仿宋"/>
                <w:sz w:val="18"/>
                <w:szCs w:val="18"/>
              </w:rPr>
              <w:t>基本工资、津贴补贴、奖金、伙食补助费、绩效工资、城镇职工基本医疗保险缴费、其他社会保障缴费、退休</w:t>
            </w:r>
            <w:r>
              <w:rPr>
                <w:rFonts w:hint="eastAsia" w:ascii="仿宋" w:hAnsi="仿宋" w:eastAsia="仿宋" w:cs="仿宋"/>
                <w:sz w:val="18"/>
                <w:szCs w:val="18"/>
                <w:lang w:eastAsia="zh-CN"/>
              </w:rPr>
              <w:t>人员</w:t>
            </w:r>
            <w:r>
              <w:rPr>
                <w:rFonts w:hint="eastAsia" w:ascii="仿宋" w:hAnsi="仿宋" w:eastAsia="仿宋" w:cs="仿宋"/>
                <w:sz w:val="18"/>
                <w:szCs w:val="18"/>
              </w:rPr>
              <w:t>对个人和家庭的补助支出</w:t>
            </w:r>
            <w:r>
              <w:rPr>
                <w:rFonts w:hint="eastAsia" w:ascii="仿宋" w:hAnsi="仿宋" w:eastAsia="仿宋" w:cs="仿宋"/>
                <w:sz w:val="18"/>
                <w:szCs w:val="18"/>
                <w:lang w:eastAsia="zh-CN"/>
              </w:rPr>
              <w:t>、残疾人社会保障金、市场卫生费，遗属费、办公费、水电费、邮电费、车辆运行费等。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财政资金资金紧张，有的资金未能及时支付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sz w:val="18"/>
                <w:szCs w:val="18"/>
                <w:highlight w:val="none"/>
                <w:u w:val="none"/>
                <w:lang w:val="en-US" w:eastAsia="zh-CN"/>
              </w:rPr>
              <w:t>183.321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18"/>
                <w:szCs w:val="18"/>
                <w:highlight w:val="none"/>
                <w:u w:val="none"/>
                <w:lang w:val="en-US" w:eastAsia="zh-CN" w:bidi="ar-SA"/>
              </w:rPr>
              <w:t>152.29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color w:val="000000" w:themeColor="text1"/>
                <w:sz w:val="18"/>
                <w:szCs w:val="18"/>
                <w:highlight w:val="none"/>
                <w:lang w:eastAsia="zh-CN"/>
                <w14:textFill>
                  <w14:solidFill>
                    <w14:schemeClr w14:val="tx1"/>
                  </w14:solidFill>
                </w14:textFill>
              </w:rPr>
              <w:t>在职在编</w:t>
            </w:r>
            <w:r>
              <w:rPr>
                <w:rFonts w:hint="eastAsia" w:ascii="仿宋" w:hAnsi="仿宋" w:eastAsia="仿宋" w:cs="仿宋"/>
                <w:sz w:val="18"/>
                <w:szCs w:val="18"/>
                <w:lang w:eastAsia="zh-CN"/>
              </w:rPr>
              <w:t>人员</w:t>
            </w:r>
            <w:r>
              <w:rPr>
                <w:rFonts w:hint="eastAsia" w:ascii="仿宋" w:hAnsi="仿宋" w:eastAsia="仿宋" w:cs="仿宋"/>
                <w:sz w:val="18"/>
                <w:szCs w:val="18"/>
              </w:rPr>
              <w:t>基本工资、津贴补贴、奖金、伙食补助费、绩效工资、城镇职工基本医疗保险缴费、其他社会保障缴费、退休</w:t>
            </w:r>
            <w:r>
              <w:rPr>
                <w:rFonts w:hint="eastAsia" w:ascii="仿宋" w:hAnsi="仿宋" w:eastAsia="仿宋" w:cs="仿宋"/>
                <w:sz w:val="18"/>
                <w:szCs w:val="18"/>
                <w:lang w:eastAsia="zh-CN"/>
              </w:rPr>
              <w:t>人员</w:t>
            </w:r>
            <w:r>
              <w:rPr>
                <w:rFonts w:hint="eastAsia" w:ascii="仿宋" w:hAnsi="仿宋" w:eastAsia="仿宋" w:cs="仿宋"/>
                <w:sz w:val="18"/>
                <w:szCs w:val="18"/>
              </w:rPr>
              <w:t>对个人和家庭的补助支出</w:t>
            </w:r>
            <w:r>
              <w:rPr>
                <w:rFonts w:hint="eastAsia" w:ascii="仿宋" w:hAnsi="仿宋" w:eastAsia="仿宋" w:cs="仿宋"/>
                <w:sz w:val="18"/>
                <w:szCs w:val="18"/>
                <w:lang w:eastAsia="zh-CN"/>
              </w:rPr>
              <w:t>、残疾人社会保障金、市场卫生费，遗属费、办公费、水电费、邮电费、车辆运行费等。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sz w:val="18"/>
                <w:szCs w:val="18"/>
                <w:highlight w:val="none"/>
                <w:u w:val="none"/>
                <w:lang w:val="en-US" w:eastAsia="zh-CN"/>
              </w:rPr>
              <w:t>财政资金资金紧张，有的资金未能及时支付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val="en-US" w:eastAsia="zh-CN"/>
        </w:rPr>
        <w:t>（四）住房保障支出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18.69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85.61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原因是：年中有人员退休。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有人员不做扶贫，住房公积金缴费基数降低。</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18.69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t>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85.61%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在职在编人员公积金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2"/>
                <w:sz w:val="18"/>
                <w:szCs w:val="18"/>
                <w:highlight w:val="none"/>
                <w:lang w:val="en-US" w:eastAsia="zh-CN" w:bidi="ar"/>
                <w14:textFill>
                  <w14:solidFill>
                    <w14:schemeClr w14:val="tx1"/>
                  </w14:solidFill>
                </w14:textFill>
              </w:rPr>
              <w:t>年中有人员退休，有人员不做扶贫，住房公积金缴费基数降低。</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lang w:val="en-US" w:eastAsia="zh-CN"/>
              </w:rPr>
            </w:pPr>
          </w:p>
          <w:p>
            <w:pPr>
              <w:pStyle w:val="2"/>
              <w:keepNext w:val="0"/>
              <w:keepLines w:val="0"/>
              <w:suppressLineNumbers w:val="0"/>
              <w:spacing w:before="0" w:beforeAutospacing="0" w:after="0" w:afterAutospacing="0"/>
              <w:ind w:left="0" w:right="0"/>
              <w:rPr>
                <w:rFonts w:hint="eastAsia"/>
                <w:lang w:val="en-US" w:eastAsia="zh-CN"/>
              </w:rPr>
            </w:pPr>
            <w:r>
              <w:rPr>
                <w:rFonts w:hint="eastAsia"/>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t>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在职在编人员公积金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2"/>
                <w:sz w:val="18"/>
                <w:szCs w:val="18"/>
                <w:highlight w:val="none"/>
                <w:lang w:val="en-US" w:eastAsia="zh-CN" w:bidi="ar"/>
                <w14:textFill>
                  <w14:solidFill>
                    <w14:schemeClr w14:val="tx1"/>
                  </w14:solidFill>
                </w14:textFill>
              </w:rPr>
              <w:t>年中有人员退休，有人员不做扶贫，住房公积金缴费基数降低。</w:t>
            </w:r>
          </w:p>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31.93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原因是：年中财政下达的在职在编人员奖励性补贴。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t>31.93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在职在编人员奖励性补贴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年中才下达指标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18"/>
                <w:szCs w:val="18"/>
                <w:highlight w:val="none"/>
                <w:u w:val="none"/>
                <w:lang w:val="en-US" w:eastAsia="zh-CN" w:bidi="ar-SA"/>
                <w14:textFill>
                  <w14:solidFill>
                    <w14:schemeClr w14:val="tx1"/>
                  </w14:solidFill>
                </w14:textFill>
              </w:rPr>
              <w:t>31.93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在职在编人员奖励性补贴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年中才下达指标</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环江毛南族自治县市场开发服务中心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216.64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209.48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7.16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197.75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111.67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主要原因是：年中有人员退休，年中追加奖励性补贴。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63.3万元，30102津贴补贴2.66万元，30103奖金53.05万元，30106伙食补助费3.37万元，30107绩效工资28.26万元，30108机关事业单位基本养老保险缴费21.33万元，30110职工基本医疗保险缴费8.87万元，30111公务员医疗补助缴费0万元，30112其他社会保障缴费0.93万元，30113住房公积金16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7.16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主要原因是：资金及时支付，完成预算任务，没有差异。</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30201办公费1.23万元，30205水费0.05万元，30206电费0.52万元，30207邮电费1.52万元，30211差旅费0万元，30215会议费0万元，30216培训费0万元，30226劳务费0万元，30228工会经费3.08万元，30239其他交通费用0.76万元。</w:t>
      </w:r>
      <w:r>
        <w:rPr>
          <w:rFonts w:hint="eastAsia" w:ascii="仿宋" w:hAnsi="仿宋" w:eastAsia="仿宋" w:cs="仿宋"/>
          <w:sz w:val="32"/>
          <w:szCs w:val="32"/>
          <w:highlight w:val="none"/>
        </w:rPr>
        <w:drawing>
          <wp:inline distT="0" distB="0" distL="114300" distR="114300">
            <wp:extent cx="4474845" cy="2359660"/>
            <wp:effectExtent l="4445" t="4445" r="16510" b="1714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11.73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105.77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主要原因是：年中有人退休，增加生活补助。</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30301离休费0万元，30399其他对个人和家庭的补助0.35万元，30305生活补助11.38万元。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70045" cy="251142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5" w:name="_GoBack"/>
      <w:bookmarkEnd w:id="5"/>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环江毛南族自治县市场开发服务中心</w:t>
      </w:r>
      <w:r>
        <w:rPr>
          <w:rFonts w:hint="eastAsia" w:ascii="仿宋" w:hAnsi="仿宋" w:eastAsia="仿宋" w:cs="仿宋"/>
          <w:sz w:val="32"/>
          <w:szCs w:val="32"/>
          <w:highlight w:val="none"/>
        </w:rPr>
        <w:t>2022年度</w:t>
      </w:r>
      <w:r>
        <w:rPr>
          <w:rFonts w:hint="eastAsia" w:ascii="仿宋" w:hAnsi="仿宋" w:eastAsia="仿宋" w:cs="仿宋"/>
          <w:color w:val="000000" w:themeColor="text1"/>
          <w:sz w:val="32"/>
          <w:u w:color="auto"/>
          <w14:textFill>
            <w14:solidFill>
              <w14:schemeClr w14:val="tx1"/>
            </w14:solidFill>
          </w14:textFill>
        </w:rPr>
        <w:t>没有政府性基金收入，也没有政府性基金收入安排的支出</w:t>
      </w:r>
      <w:r>
        <w:rPr>
          <w:rFonts w:hint="eastAsia" w:ascii="仿宋" w:hAnsi="仿宋" w:eastAsia="仿宋" w:cs="仿宋"/>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lang w:eastAsia="zh-CN"/>
        </w:rPr>
        <w:t>环江毛南族自治县市场开发服务中心</w:t>
      </w:r>
      <w:r>
        <w:rPr>
          <w:rFonts w:hint="eastAsia" w:ascii="仿宋" w:hAnsi="仿宋" w:eastAsia="仿宋" w:cs="仿宋"/>
          <w:sz w:val="32"/>
          <w:szCs w:val="32"/>
          <w:highlight w:val="none"/>
        </w:rPr>
        <w:t>2022年度</w:t>
      </w:r>
      <w:r>
        <w:rPr>
          <w:rFonts w:hint="eastAsia" w:ascii="仿宋" w:hAnsi="仿宋" w:eastAsia="仿宋" w:cs="仿宋"/>
          <w:color w:val="000000" w:themeColor="text1"/>
          <w:sz w:val="32"/>
          <w:u w:color="auto"/>
          <w14:textFill>
            <w14:solidFill>
              <w14:schemeClr w14:val="tx1"/>
            </w14:solidFill>
          </w14:textFill>
        </w:rPr>
        <w:t>没有国有资本经营预算收入，也没有国有资本经营预算收入</w:t>
      </w:r>
      <w:r>
        <w:rPr>
          <w:rFonts w:hint="eastAsia" w:ascii="仿宋" w:hAnsi="仿宋" w:eastAsia="仿宋" w:cs="仿宋"/>
          <w:color w:val="000000" w:themeColor="text1"/>
          <w:sz w:val="32"/>
          <w:szCs w:val="32"/>
          <w14:textFill>
            <w14:solidFill>
              <w14:schemeClr w14:val="tx1"/>
            </w14:solidFill>
          </w14:textFill>
        </w:rPr>
        <w:t>安排的支出</w:t>
      </w:r>
      <w:r>
        <w:rPr>
          <w:rFonts w:hint="eastAsia" w:ascii="仿宋" w:hAnsi="仿宋" w:eastAsia="仿宋" w:cs="仿宋"/>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没有编制车辆，没有</w:t>
      </w:r>
      <w:r>
        <w:rPr>
          <w:rFonts w:hint="eastAsia" w:ascii="仿宋" w:hAnsi="仿宋" w:eastAsia="仿宋" w:cs="仿宋"/>
          <w:color w:val="000000" w:themeColor="text1"/>
          <w:sz w:val="32"/>
          <w:szCs w:val="32"/>
          <w:highlight w:val="none"/>
          <w14:textFill>
            <w14:solidFill>
              <w14:schemeClr w14:val="tx1"/>
            </w14:solidFill>
          </w14:textFill>
        </w:rPr>
        <w:t>因公出国（境）费支出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没有</w:t>
      </w:r>
      <w:r>
        <w:rPr>
          <w:rFonts w:hint="eastAsia" w:ascii="仿宋" w:hAnsi="仿宋" w:eastAsia="仿宋" w:cs="仿宋"/>
          <w:sz w:val="32"/>
          <w:szCs w:val="32"/>
          <w:highlight w:val="none"/>
        </w:rPr>
        <w:t>公务接待费支出。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w:t>
      </w:r>
      <w:bookmarkStart w:id="4" w:name="PO_part3A6B2IncReason1"/>
      <w:r>
        <w:rPr>
          <w:rFonts w:hint="eastAsia" w:ascii="仿宋" w:hAnsi="仿宋" w:eastAsia="仿宋" w:cs="仿宋"/>
          <w:color w:val="000000" w:themeColor="text1"/>
          <w:sz w:val="32"/>
          <w:szCs w:val="32"/>
          <w:lang w:eastAsia="zh-CN"/>
          <w14:textFill>
            <w14:solidFill>
              <w14:schemeClr w14:val="tx1"/>
            </w14:solidFill>
          </w14:textFill>
        </w:rPr>
        <w:t>是：</w:t>
      </w:r>
      <w:r>
        <w:rPr>
          <w:rFonts w:hint="eastAsia" w:ascii="仿宋" w:hAnsi="仿宋" w:eastAsia="仿宋" w:cs="仿宋"/>
          <w:color w:val="000000" w:themeColor="text1"/>
          <w:sz w:val="32"/>
          <w:szCs w:val="32"/>
          <w14:textFill>
            <w14:solidFill>
              <w14:schemeClr w14:val="tx1"/>
            </w14:solidFill>
          </w14:textFill>
        </w:rPr>
        <w:t>本部门无</w:t>
      </w:r>
      <w:r>
        <w:rPr>
          <w:rFonts w:hint="eastAsia" w:ascii="仿宋" w:hAnsi="仿宋" w:eastAsia="仿宋" w:cs="仿宋"/>
          <w:color w:val="000000" w:themeColor="text1"/>
          <w:sz w:val="32"/>
          <w:szCs w:val="32"/>
          <w:lang w:eastAsia="zh-CN"/>
          <w14:textFill>
            <w14:solidFill>
              <w14:schemeClr w14:val="tx1"/>
            </w14:solidFill>
          </w14:textFill>
        </w:rPr>
        <w:t>编制</w:t>
      </w:r>
      <w:r>
        <w:rPr>
          <w:rFonts w:hint="eastAsia" w:ascii="仿宋" w:hAnsi="仿宋" w:eastAsia="仿宋" w:cs="仿宋"/>
          <w:color w:val="000000" w:themeColor="text1"/>
          <w:sz w:val="32"/>
          <w:szCs w:val="32"/>
          <w14:textFill>
            <w14:solidFill>
              <w14:schemeClr w14:val="tx1"/>
            </w14:solidFill>
          </w14:textFill>
        </w:rPr>
        <w:t>公务用车购置</w:t>
      </w:r>
      <w:bookmarkEnd w:id="4"/>
      <w:r>
        <w:rPr>
          <w:rFonts w:hint="eastAsia" w:ascii="仿宋" w:hAnsi="仿宋" w:eastAsia="仿宋" w:cs="仿宋"/>
          <w:color w:val="000000" w:themeColor="text1"/>
          <w:sz w:val="32"/>
          <w:szCs w:val="32"/>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无编制车辆。</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w:t>
      </w:r>
      <w:r>
        <w:rPr>
          <w:rFonts w:hint="eastAsia" w:ascii="仿宋" w:hAnsi="仿宋" w:eastAsia="仿宋" w:cs="仿宋"/>
          <w:sz w:val="32"/>
          <w:szCs w:val="32"/>
          <w:highlight w:val="none"/>
        </w:rPr>
        <w:t>公务接待费支出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13</w:t>
      </w:r>
      <w:r>
        <w:rPr>
          <w:rFonts w:hint="eastAsia" w:ascii="仿宋" w:hAnsi="仿宋" w:eastAsia="仿宋" w:cs="仿宋"/>
          <w:sz w:val="32"/>
          <w:szCs w:val="32"/>
          <w:highlight w:val="none"/>
        </w:rPr>
        <w:t>次，人次</w:t>
      </w:r>
      <w:r>
        <w:rPr>
          <w:rFonts w:ascii="仿宋" w:hAnsi="仿宋" w:eastAsia="仿宋" w:cs="仿宋"/>
          <w:sz w:val="32"/>
          <w:szCs w:val="32"/>
          <w:highlight w:val="none"/>
        </w:rPr>
        <w:t>100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rPr>
        <w:t>本部门2022年度</w:t>
      </w:r>
      <w:r>
        <w:rPr>
          <w:rFonts w:hint="eastAsia" w:ascii="仿宋" w:hAnsi="仿宋" w:eastAsia="仿宋" w:cs="仿宋"/>
          <w:sz w:val="32"/>
          <w:szCs w:val="32"/>
          <w:highlight w:val="none"/>
          <w:lang w:eastAsia="zh-CN"/>
        </w:rPr>
        <w:t>事业单位</w:t>
      </w:r>
      <w:r>
        <w:rPr>
          <w:rFonts w:hint="eastAsia" w:ascii="仿宋" w:hAnsi="仿宋" w:eastAsia="仿宋" w:cs="仿宋"/>
          <w:sz w:val="32"/>
          <w:szCs w:val="32"/>
          <w:highlight w:val="none"/>
        </w:rPr>
        <w:t>运行经费支出</w:t>
      </w:r>
      <w:r>
        <w:rPr>
          <w:rFonts w:hint="eastAsia" w:ascii="仿宋" w:hAnsi="仿宋" w:eastAsia="仿宋" w:cs="仿宋"/>
          <w:sz w:val="32"/>
          <w:szCs w:val="32"/>
          <w:highlight w:val="none"/>
          <w:lang w:val="en-US" w:eastAsia="zh-CN"/>
        </w:rPr>
        <w:t>7.16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比</w:t>
      </w:r>
      <w:r>
        <w:rPr>
          <w:rFonts w:hint="eastAsia" w:ascii="仿宋" w:hAnsi="仿宋" w:eastAsia="仿宋" w:cs="仿宋"/>
          <w:sz w:val="32"/>
          <w:szCs w:val="32"/>
          <w:highlight w:val="none"/>
        </w:rPr>
        <w:t>年初预算数</w:t>
      </w:r>
      <w:r>
        <w:rPr>
          <w:rFonts w:hint="eastAsia" w:ascii="仿宋" w:hAnsi="仿宋" w:eastAsia="仿宋" w:cs="仿宋"/>
          <w:sz w:val="32"/>
          <w:szCs w:val="32"/>
          <w:highlight w:val="none"/>
          <w:lang w:val="en-US" w:eastAsia="zh-CN"/>
        </w:rPr>
        <w:t>7.16万元，</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7.16</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2022年才开始纳入财政预算范围。</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widowControl/>
        <w:spacing w:line="560" w:lineRule="exact"/>
        <w:ind w:firstLine="640"/>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rPr>
        <w:t>本部门无政府采购支出</w:t>
      </w:r>
      <w:r>
        <w:rPr>
          <w:rFonts w:hint="eastAsia" w:ascii="仿宋" w:hAnsi="仿宋" w:eastAsia="仿宋" w:cs="仿宋"/>
          <w:b w:val="0"/>
          <w:bCs w:val="0"/>
          <w:kern w:val="0"/>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w:t>
      </w:r>
      <w:r>
        <w:rPr>
          <w:rFonts w:hint="eastAsia" w:ascii="仿宋" w:hAnsi="仿宋" w:eastAsia="仿宋" w:cs="仿宋"/>
          <w:sz w:val="32"/>
          <w:szCs w:val="32"/>
          <w:highlight w:val="none"/>
          <w:lang w:eastAsia="zh-CN"/>
        </w:rPr>
        <w:t>（没有编制车辆）</w:t>
      </w:r>
      <w:r>
        <w:rPr>
          <w:rFonts w:hint="eastAsia" w:ascii="仿宋" w:hAnsi="仿宋" w:eastAsia="仿宋" w:cs="仿宋"/>
          <w:sz w:val="32"/>
          <w:szCs w:val="32"/>
          <w:highlight w:val="none"/>
        </w:rPr>
        <w:t>；单位价值50万元以上通用设备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三等</w:t>
      </w:r>
      <w:r>
        <w:rPr>
          <w:rFonts w:hint="eastAsia" w:ascii="仿宋" w:hAnsi="仿宋" w:eastAsia="仿宋" w:cs="仿宋"/>
          <w:color w:val="000000" w:themeColor="text1"/>
          <w:sz w:val="32"/>
          <w:szCs w:val="32"/>
          <w:lang w:val="en-US" w:eastAsia="zh-CN"/>
          <w14:textFill>
            <w14:solidFill>
              <w14:schemeClr w14:val="tx1"/>
            </w14:solidFill>
          </w14:textFill>
        </w:rPr>
        <w:t>3个，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19.2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8.55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本单位未</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环江毛南族自治县市场开发服务中心</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原因：本单位不是一</w:t>
      </w:r>
      <w:r>
        <w:rPr>
          <w:rFonts w:hint="eastAsia" w:ascii="仿宋" w:hAnsi="仿宋" w:eastAsia="仿宋" w:cs="仿宋"/>
          <w:sz w:val="32"/>
          <w:szCs w:val="32"/>
        </w:rPr>
        <w:t>级预算单位 </w:t>
      </w:r>
      <w:r>
        <w:rPr>
          <w:rFonts w:hint="eastAsia" w:ascii="仿宋" w:hAnsi="仿宋" w:eastAsia="仿宋" w:cs="仿宋"/>
          <w:sz w:val="32"/>
          <w:szCs w:val="32"/>
          <w:lang w:eastAsia="zh-CN"/>
        </w:rPr>
        <w:t>，</w:t>
      </w:r>
      <w:r>
        <w:rPr>
          <w:rFonts w:hint="eastAsia" w:ascii="仿宋" w:hAnsi="仿宋" w:eastAsia="仿宋" w:cs="仿宋"/>
          <w:sz w:val="32"/>
          <w:szCs w:val="32"/>
        </w:rPr>
        <w:t>部门整体绩效</w:t>
      </w:r>
      <w:r>
        <w:rPr>
          <w:rFonts w:hint="eastAsia" w:ascii="仿宋" w:hAnsi="仿宋" w:eastAsia="仿宋" w:cs="仿宋"/>
          <w:color w:val="000000" w:themeColor="text1"/>
          <w:sz w:val="32"/>
          <w:szCs w:val="32"/>
          <w:lang w:eastAsia="zh-CN"/>
          <w14:textFill>
            <w14:solidFill>
              <w14:schemeClr w14:val="tx1"/>
            </w14:solidFill>
          </w14:textFill>
        </w:rPr>
        <w:t>由主管部门环江毛南自治县城市管理执法局开展。</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本单位未</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环江毛南族自治县市场开发服务中心</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原因：本单位不是一</w:t>
      </w:r>
      <w:r>
        <w:rPr>
          <w:rFonts w:hint="eastAsia" w:ascii="仿宋" w:hAnsi="仿宋" w:eastAsia="仿宋" w:cs="仿宋"/>
          <w:sz w:val="32"/>
          <w:szCs w:val="32"/>
        </w:rPr>
        <w:t>级预算单位 </w:t>
      </w:r>
      <w:r>
        <w:rPr>
          <w:rFonts w:hint="eastAsia" w:ascii="仿宋" w:hAnsi="仿宋" w:eastAsia="仿宋" w:cs="仿宋"/>
          <w:sz w:val="32"/>
          <w:szCs w:val="32"/>
          <w:lang w:eastAsia="zh-CN"/>
        </w:rPr>
        <w:t>，</w:t>
      </w:r>
      <w:r>
        <w:rPr>
          <w:rFonts w:hint="eastAsia" w:ascii="仿宋" w:hAnsi="仿宋" w:eastAsia="仿宋" w:cs="仿宋"/>
          <w:sz w:val="32"/>
          <w:szCs w:val="32"/>
        </w:rPr>
        <w:t>部门整体绩效</w:t>
      </w:r>
      <w:r>
        <w:rPr>
          <w:rFonts w:hint="eastAsia" w:ascii="仿宋" w:hAnsi="仿宋" w:eastAsia="仿宋" w:cs="仿宋"/>
          <w:color w:val="000000" w:themeColor="text1"/>
          <w:sz w:val="32"/>
          <w:szCs w:val="32"/>
          <w:lang w:eastAsia="zh-CN"/>
          <w14:textFill>
            <w14:solidFill>
              <w14:schemeClr w14:val="tx1"/>
            </w14:solidFill>
          </w14:textFill>
        </w:rPr>
        <w:t>由主管部门环江毛南自治县城市管理执法局开展。</w:t>
      </w:r>
    </w:p>
    <w:p>
      <w:pPr>
        <w:ind w:firstLine="320" w:firstLineChars="1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残疾人就业保证金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99.1</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无。环江毛南族自治县整县推进农贸市场建设示范项目</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60分，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无。市场维修费项目</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85.21分，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无。市场代收管理费</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70分，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无。党组织活动经费</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无。城镇土地使用税</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70分，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无。市场垃圾卫生费</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90.81分，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无。增值税等附加税</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p>
    <w:p>
      <w:pPr>
        <w:jc w:val="left"/>
        <w:rPr>
          <w:rFonts w:hint="default" w:ascii="仿宋" w:hAnsi="仿宋" w:eastAsia="仿宋" w:cs="仿宋"/>
          <w:color w:val="000000" w:themeColor="text1"/>
          <w:sz w:val="32"/>
          <w:szCs w:val="32"/>
          <w:lang w:val="en-US" w:eastAsia="zh-CN"/>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环江毛南族自治县</w:t>
      </w:r>
      <w:r>
        <w:rPr>
          <w:rFonts w:ascii="仿宋" w:hAnsi="仿宋" w:eastAsia="仿宋" w:cs="仿宋"/>
          <w:sz w:val="32"/>
          <w:u w:color="auto"/>
        </w:rPr>
        <w:t>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环江毛南族自治县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环江毛南族自治县</w:t>
      </w:r>
      <w:r>
        <w:rPr>
          <w:rFonts w:ascii="仿宋" w:hAnsi="仿宋" w:eastAsia="仿宋" w:cs="仿宋"/>
          <w:sz w:val="32"/>
          <w:u w:color="auto"/>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F138B"/>
    <w:multiLevelType w:val="singleLevel"/>
    <w:tmpl w:val="9A1F138B"/>
    <w:lvl w:ilvl="0" w:tentative="0">
      <w:start w:val="1"/>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0F002E"/>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77701"/>
    <w:rsid w:val="008E2185"/>
    <w:rsid w:val="008F1B95"/>
    <w:rsid w:val="008F4AE2"/>
    <w:rsid w:val="008F6882"/>
    <w:rsid w:val="00934C72"/>
    <w:rsid w:val="00946CCF"/>
    <w:rsid w:val="00960906"/>
    <w:rsid w:val="0097721B"/>
    <w:rsid w:val="009831F8"/>
    <w:rsid w:val="009B3E00"/>
    <w:rsid w:val="009D1667"/>
    <w:rsid w:val="00A07CCE"/>
    <w:rsid w:val="00A27624"/>
    <w:rsid w:val="00A358E6"/>
    <w:rsid w:val="00AA78EE"/>
    <w:rsid w:val="00AB53E1"/>
    <w:rsid w:val="00AE5F66"/>
    <w:rsid w:val="00B07A0B"/>
    <w:rsid w:val="00B206BE"/>
    <w:rsid w:val="00B22F28"/>
    <w:rsid w:val="00B37453"/>
    <w:rsid w:val="00B45479"/>
    <w:rsid w:val="00B60171"/>
    <w:rsid w:val="00B837AC"/>
    <w:rsid w:val="00BB4FB8"/>
    <w:rsid w:val="00BD315D"/>
    <w:rsid w:val="00C3279E"/>
    <w:rsid w:val="00C34857"/>
    <w:rsid w:val="00CA205A"/>
    <w:rsid w:val="00CA2E26"/>
    <w:rsid w:val="00D00918"/>
    <w:rsid w:val="00D14326"/>
    <w:rsid w:val="00D772CC"/>
    <w:rsid w:val="00D84F30"/>
    <w:rsid w:val="00D878A6"/>
    <w:rsid w:val="00DE74BD"/>
    <w:rsid w:val="00DE7D07"/>
    <w:rsid w:val="00E665F3"/>
    <w:rsid w:val="00EB7822"/>
    <w:rsid w:val="00EC50A9"/>
    <w:rsid w:val="00ED04DB"/>
    <w:rsid w:val="00F21455"/>
    <w:rsid w:val="00F51068"/>
    <w:rsid w:val="00F5354B"/>
    <w:rsid w:val="00F95135"/>
    <w:rsid w:val="00F9658C"/>
    <w:rsid w:val="00F978FD"/>
    <w:rsid w:val="00FA738E"/>
    <w:rsid w:val="00FC438B"/>
    <w:rsid w:val="01234E98"/>
    <w:rsid w:val="013259CB"/>
    <w:rsid w:val="015B73CA"/>
    <w:rsid w:val="015F1951"/>
    <w:rsid w:val="01D45D8F"/>
    <w:rsid w:val="020C171D"/>
    <w:rsid w:val="0216715F"/>
    <w:rsid w:val="02254895"/>
    <w:rsid w:val="024263C3"/>
    <w:rsid w:val="02471A55"/>
    <w:rsid w:val="02CD353E"/>
    <w:rsid w:val="02E0291A"/>
    <w:rsid w:val="032C5FC0"/>
    <w:rsid w:val="03B504A3"/>
    <w:rsid w:val="03DC28E1"/>
    <w:rsid w:val="04230AD7"/>
    <w:rsid w:val="043D3031"/>
    <w:rsid w:val="047C572D"/>
    <w:rsid w:val="04B862F9"/>
    <w:rsid w:val="04E54546"/>
    <w:rsid w:val="05992762"/>
    <w:rsid w:val="0637405A"/>
    <w:rsid w:val="063E20CB"/>
    <w:rsid w:val="06566711"/>
    <w:rsid w:val="06B41532"/>
    <w:rsid w:val="06BB0913"/>
    <w:rsid w:val="07246EC6"/>
    <w:rsid w:val="076E27BD"/>
    <w:rsid w:val="07B0770E"/>
    <w:rsid w:val="07B66435"/>
    <w:rsid w:val="081E4B5F"/>
    <w:rsid w:val="084966B2"/>
    <w:rsid w:val="08502DB0"/>
    <w:rsid w:val="085417B6"/>
    <w:rsid w:val="08794F17"/>
    <w:rsid w:val="0942143F"/>
    <w:rsid w:val="095F755C"/>
    <w:rsid w:val="09697100"/>
    <w:rsid w:val="096A12FE"/>
    <w:rsid w:val="09755111"/>
    <w:rsid w:val="097F5A41"/>
    <w:rsid w:val="09893DB1"/>
    <w:rsid w:val="09D71932"/>
    <w:rsid w:val="0A095984"/>
    <w:rsid w:val="0A160CF3"/>
    <w:rsid w:val="0A6B21A6"/>
    <w:rsid w:val="0A9C0B5A"/>
    <w:rsid w:val="0AB1291A"/>
    <w:rsid w:val="0B20058A"/>
    <w:rsid w:val="0B2515D4"/>
    <w:rsid w:val="0B9C5D9B"/>
    <w:rsid w:val="0BB721C8"/>
    <w:rsid w:val="0CFB6FDC"/>
    <w:rsid w:val="0D075AA7"/>
    <w:rsid w:val="0D0B7276"/>
    <w:rsid w:val="0D100297"/>
    <w:rsid w:val="0D202B45"/>
    <w:rsid w:val="0D296826"/>
    <w:rsid w:val="0D857428"/>
    <w:rsid w:val="0DFD5FDB"/>
    <w:rsid w:val="0E0A3916"/>
    <w:rsid w:val="0E960F7B"/>
    <w:rsid w:val="0F172DE0"/>
    <w:rsid w:val="0F3E4FBF"/>
    <w:rsid w:val="0F852E02"/>
    <w:rsid w:val="0F8D4C87"/>
    <w:rsid w:val="0F8F3712"/>
    <w:rsid w:val="0FE1262B"/>
    <w:rsid w:val="103F1337"/>
    <w:rsid w:val="10505FAA"/>
    <w:rsid w:val="105F7E7E"/>
    <w:rsid w:val="108D2888"/>
    <w:rsid w:val="10A00E68"/>
    <w:rsid w:val="10A44C4D"/>
    <w:rsid w:val="114128A0"/>
    <w:rsid w:val="11AB78C4"/>
    <w:rsid w:val="11E56B5B"/>
    <w:rsid w:val="125C77AB"/>
    <w:rsid w:val="12802B6B"/>
    <w:rsid w:val="1293439A"/>
    <w:rsid w:val="131C57DD"/>
    <w:rsid w:val="134A7DA4"/>
    <w:rsid w:val="134D2964"/>
    <w:rsid w:val="138D3FA2"/>
    <w:rsid w:val="13B93CBF"/>
    <w:rsid w:val="13CC1508"/>
    <w:rsid w:val="13ED24B7"/>
    <w:rsid w:val="13F06245"/>
    <w:rsid w:val="13F93F01"/>
    <w:rsid w:val="143B32C7"/>
    <w:rsid w:val="144F679D"/>
    <w:rsid w:val="14877E44"/>
    <w:rsid w:val="14997957"/>
    <w:rsid w:val="14C15298"/>
    <w:rsid w:val="14CB726E"/>
    <w:rsid w:val="14FD0846"/>
    <w:rsid w:val="1542236E"/>
    <w:rsid w:val="157E08F6"/>
    <w:rsid w:val="15A54239"/>
    <w:rsid w:val="15AC490A"/>
    <w:rsid w:val="15BF18E5"/>
    <w:rsid w:val="15C076B6"/>
    <w:rsid w:val="15CD7D54"/>
    <w:rsid w:val="15D23CCD"/>
    <w:rsid w:val="165A53BA"/>
    <w:rsid w:val="16AA535E"/>
    <w:rsid w:val="16C310EB"/>
    <w:rsid w:val="16CC2D5E"/>
    <w:rsid w:val="175F4C67"/>
    <w:rsid w:val="177F1919"/>
    <w:rsid w:val="17E60EF5"/>
    <w:rsid w:val="17E91348"/>
    <w:rsid w:val="17E92249"/>
    <w:rsid w:val="1843075D"/>
    <w:rsid w:val="18671C16"/>
    <w:rsid w:val="189B5187"/>
    <w:rsid w:val="18A964B7"/>
    <w:rsid w:val="18D304F1"/>
    <w:rsid w:val="18D80F53"/>
    <w:rsid w:val="196F11D7"/>
    <w:rsid w:val="197C0AA3"/>
    <w:rsid w:val="19CA5E37"/>
    <w:rsid w:val="19F32577"/>
    <w:rsid w:val="19F45B80"/>
    <w:rsid w:val="1A434367"/>
    <w:rsid w:val="1A4D518E"/>
    <w:rsid w:val="1AFD0956"/>
    <w:rsid w:val="1B0C078D"/>
    <w:rsid w:val="1B2B31E2"/>
    <w:rsid w:val="1B4310CA"/>
    <w:rsid w:val="1B4C295A"/>
    <w:rsid w:val="1B973C63"/>
    <w:rsid w:val="1B9907D4"/>
    <w:rsid w:val="1BA1001E"/>
    <w:rsid w:val="1BB127B4"/>
    <w:rsid w:val="1BBA200E"/>
    <w:rsid w:val="1BE91858"/>
    <w:rsid w:val="1C705992"/>
    <w:rsid w:val="1CC96948"/>
    <w:rsid w:val="1CD13D54"/>
    <w:rsid w:val="1CD96BE2"/>
    <w:rsid w:val="1D317259"/>
    <w:rsid w:val="1D4F4622"/>
    <w:rsid w:val="1E112162"/>
    <w:rsid w:val="1E5662BD"/>
    <w:rsid w:val="1E5828D6"/>
    <w:rsid w:val="1E64416A"/>
    <w:rsid w:val="1E664F5B"/>
    <w:rsid w:val="1E711282"/>
    <w:rsid w:val="1E7D7293"/>
    <w:rsid w:val="1EA64BD4"/>
    <w:rsid w:val="1EAB48DF"/>
    <w:rsid w:val="1EB34BE1"/>
    <w:rsid w:val="1F1A1836"/>
    <w:rsid w:val="1F45125A"/>
    <w:rsid w:val="1F680515"/>
    <w:rsid w:val="1F695F97"/>
    <w:rsid w:val="1F8739D8"/>
    <w:rsid w:val="1FD90F71"/>
    <w:rsid w:val="20270A4A"/>
    <w:rsid w:val="204C276E"/>
    <w:rsid w:val="207A70D9"/>
    <w:rsid w:val="20A3117D"/>
    <w:rsid w:val="20AB4024"/>
    <w:rsid w:val="215E639F"/>
    <w:rsid w:val="21821860"/>
    <w:rsid w:val="21B84562"/>
    <w:rsid w:val="21EC3183"/>
    <w:rsid w:val="21ED3737"/>
    <w:rsid w:val="225E72CD"/>
    <w:rsid w:val="227B20A1"/>
    <w:rsid w:val="22923EC5"/>
    <w:rsid w:val="22C55A6E"/>
    <w:rsid w:val="22FB0071"/>
    <w:rsid w:val="234C3DF7"/>
    <w:rsid w:val="236906A5"/>
    <w:rsid w:val="238F70F2"/>
    <w:rsid w:val="2396237D"/>
    <w:rsid w:val="239D17C6"/>
    <w:rsid w:val="23AF75A3"/>
    <w:rsid w:val="240F46B6"/>
    <w:rsid w:val="241C39CC"/>
    <w:rsid w:val="246B0931"/>
    <w:rsid w:val="246E2F77"/>
    <w:rsid w:val="24F2272A"/>
    <w:rsid w:val="254B4E2B"/>
    <w:rsid w:val="254F43B7"/>
    <w:rsid w:val="25DD39AD"/>
    <w:rsid w:val="25DF4931"/>
    <w:rsid w:val="25E37AB4"/>
    <w:rsid w:val="26421153"/>
    <w:rsid w:val="26D32C40"/>
    <w:rsid w:val="26D43EC0"/>
    <w:rsid w:val="26DF1EB3"/>
    <w:rsid w:val="27004A09"/>
    <w:rsid w:val="27757232"/>
    <w:rsid w:val="27BB513C"/>
    <w:rsid w:val="27DF72F7"/>
    <w:rsid w:val="283D7C94"/>
    <w:rsid w:val="285F5C4A"/>
    <w:rsid w:val="28657B53"/>
    <w:rsid w:val="288C3296"/>
    <w:rsid w:val="28E8158D"/>
    <w:rsid w:val="28EF1CB6"/>
    <w:rsid w:val="291B6C85"/>
    <w:rsid w:val="29274336"/>
    <w:rsid w:val="29480E03"/>
    <w:rsid w:val="29502FD4"/>
    <w:rsid w:val="2983634D"/>
    <w:rsid w:val="29ED4157"/>
    <w:rsid w:val="29F36060"/>
    <w:rsid w:val="2A2A3F71"/>
    <w:rsid w:val="2A7B2AC1"/>
    <w:rsid w:val="2AAE7D41"/>
    <w:rsid w:val="2BB02055"/>
    <w:rsid w:val="2BDF6B05"/>
    <w:rsid w:val="2C2F7B89"/>
    <w:rsid w:val="2C3C4CA0"/>
    <w:rsid w:val="2C575A56"/>
    <w:rsid w:val="2C696A69"/>
    <w:rsid w:val="2C7D570A"/>
    <w:rsid w:val="2CCD0296"/>
    <w:rsid w:val="2CEE153B"/>
    <w:rsid w:val="2D1A3215"/>
    <w:rsid w:val="2D537CEC"/>
    <w:rsid w:val="2DA61CF4"/>
    <w:rsid w:val="2DAD1CAA"/>
    <w:rsid w:val="2DB11966"/>
    <w:rsid w:val="2DED11E6"/>
    <w:rsid w:val="2E06778F"/>
    <w:rsid w:val="2E393461"/>
    <w:rsid w:val="2E496F7F"/>
    <w:rsid w:val="2E8D2EEB"/>
    <w:rsid w:val="2E8E6235"/>
    <w:rsid w:val="2EA96AE1"/>
    <w:rsid w:val="2F257714"/>
    <w:rsid w:val="2F31494A"/>
    <w:rsid w:val="2F3275E5"/>
    <w:rsid w:val="2F3E4FAD"/>
    <w:rsid w:val="2F486EA2"/>
    <w:rsid w:val="2FAE1621"/>
    <w:rsid w:val="2FF005B4"/>
    <w:rsid w:val="308059F2"/>
    <w:rsid w:val="30AA08EF"/>
    <w:rsid w:val="30D23D1C"/>
    <w:rsid w:val="30E54BFA"/>
    <w:rsid w:val="30E64D09"/>
    <w:rsid w:val="31221CF5"/>
    <w:rsid w:val="31400178"/>
    <w:rsid w:val="318409CB"/>
    <w:rsid w:val="31AF4AA2"/>
    <w:rsid w:val="31D077C5"/>
    <w:rsid w:val="32024B1C"/>
    <w:rsid w:val="321E3342"/>
    <w:rsid w:val="32605A00"/>
    <w:rsid w:val="32645ABA"/>
    <w:rsid w:val="327759C8"/>
    <w:rsid w:val="32807969"/>
    <w:rsid w:val="32A62E17"/>
    <w:rsid w:val="32E80196"/>
    <w:rsid w:val="32F25D2C"/>
    <w:rsid w:val="330E70BB"/>
    <w:rsid w:val="33185FE3"/>
    <w:rsid w:val="331A42E4"/>
    <w:rsid w:val="332319C5"/>
    <w:rsid w:val="337066EC"/>
    <w:rsid w:val="33FF20A5"/>
    <w:rsid w:val="341222FE"/>
    <w:rsid w:val="342C2EA8"/>
    <w:rsid w:val="343E3529"/>
    <w:rsid w:val="34767713"/>
    <w:rsid w:val="34857A31"/>
    <w:rsid w:val="34A1503F"/>
    <w:rsid w:val="34EE2E36"/>
    <w:rsid w:val="35793A8B"/>
    <w:rsid w:val="35A35F0C"/>
    <w:rsid w:val="35BE7DBB"/>
    <w:rsid w:val="3670384C"/>
    <w:rsid w:val="36777241"/>
    <w:rsid w:val="369F70A9"/>
    <w:rsid w:val="36DA728E"/>
    <w:rsid w:val="36EF18FF"/>
    <w:rsid w:val="370757D3"/>
    <w:rsid w:val="37B451BC"/>
    <w:rsid w:val="37B75977"/>
    <w:rsid w:val="37BD1A7F"/>
    <w:rsid w:val="37CE4EB3"/>
    <w:rsid w:val="37E16BFD"/>
    <w:rsid w:val="37FF15EF"/>
    <w:rsid w:val="380C7BD2"/>
    <w:rsid w:val="38712827"/>
    <w:rsid w:val="388021F6"/>
    <w:rsid w:val="38A951DB"/>
    <w:rsid w:val="38B31605"/>
    <w:rsid w:val="39003F4F"/>
    <w:rsid w:val="39504414"/>
    <w:rsid w:val="39756BFE"/>
    <w:rsid w:val="39836A27"/>
    <w:rsid w:val="3A021CB9"/>
    <w:rsid w:val="3A0A242C"/>
    <w:rsid w:val="3A424E92"/>
    <w:rsid w:val="3A445FA5"/>
    <w:rsid w:val="3A66542B"/>
    <w:rsid w:val="3AA661B2"/>
    <w:rsid w:val="3AD1108C"/>
    <w:rsid w:val="3B4E3ED9"/>
    <w:rsid w:val="3B64607D"/>
    <w:rsid w:val="3BCD47A7"/>
    <w:rsid w:val="3BCF0C7F"/>
    <w:rsid w:val="3C07002B"/>
    <w:rsid w:val="3C146221"/>
    <w:rsid w:val="3C894412"/>
    <w:rsid w:val="3CA237EB"/>
    <w:rsid w:val="3CAB1C17"/>
    <w:rsid w:val="3CE1657D"/>
    <w:rsid w:val="3D0D152A"/>
    <w:rsid w:val="3D2250D9"/>
    <w:rsid w:val="3D420BF0"/>
    <w:rsid w:val="3D6029C0"/>
    <w:rsid w:val="3D7E79F1"/>
    <w:rsid w:val="3DF62756"/>
    <w:rsid w:val="3E52324D"/>
    <w:rsid w:val="3F1B7587"/>
    <w:rsid w:val="3F5056EE"/>
    <w:rsid w:val="3FAA4B03"/>
    <w:rsid w:val="3FED2FEE"/>
    <w:rsid w:val="408C1872"/>
    <w:rsid w:val="419A3FAE"/>
    <w:rsid w:val="41C17B42"/>
    <w:rsid w:val="41E57B4F"/>
    <w:rsid w:val="42132798"/>
    <w:rsid w:val="422D0F9E"/>
    <w:rsid w:val="422D20A7"/>
    <w:rsid w:val="42CB59A5"/>
    <w:rsid w:val="432E43C4"/>
    <w:rsid w:val="432F26F6"/>
    <w:rsid w:val="43880F63"/>
    <w:rsid w:val="43C03933"/>
    <w:rsid w:val="441C5A6F"/>
    <w:rsid w:val="445E033A"/>
    <w:rsid w:val="449A491B"/>
    <w:rsid w:val="449E3321"/>
    <w:rsid w:val="44AE32D9"/>
    <w:rsid w:val="44C44FCC"/>
    <w:rsid w:val="44CC7369"/>
    <w:rsid w:val="457F5108"/>
    <w:rsid w:val="45852729"/>
    <w:rsid w:val="459E6747"/>
    <w:rsid w:val="45AE2A5F"/>
    <w:rsid w:val="45B27966"/>
    <w:rsid w:val="45C61898"/>
    <w:rsid w:val="45EA3344"/>
    <w:rsid w:val="46190610"/>
    <w:rsid w:val="46951B6B"/>
    <w:rsid w:val="46C978C9"/>
    <w:rsid w:val="46E027CA"/>
    <w:rsid w:val="47D604EF"/>
    <w:rsid w:val="47EA630C"/>
    <w:rsid w:val="483F37D1"/>
    <w:rsid w:val="48472E23"/>
    <w:rsid w:val="485A1E43"/>
    <w:rsid w:val="487061E5"/>
    <w:rsid w:val="48743888"/>
    <w:rsid w:val="487C605F"/>
    <w:rsid w:val="48DC64DD"/>
    <w:rsid w:val="48F650FE"/>
    <w:rsid w:val="48FC164D"/>
    <w:rsid w:val="493D7EB8"/>
    <w:rsid w:val="49402FD6"/>
    <w:rsid w:val="49901EC0"/>
    <w:rsid w:val="49A34401"/>
    <w:rsid w:val="4A3E30AB"/>
    <w:rsid w:val="4A884657"/>
    <w:rsid w:val="4AA002C9"/>
    <w:rsid w:val="4AC14DAC"/>
    <w:rsid w:val="4AE22767"/>
    <w:rsid w:val="4AFF7D5D"/>
    <w:rsid w:val="4B1C3A09"/>
    <w:rsid w:val="4B6452BE"/>
    <w:rsid w:val="4C2536F6"/>
    <w:rsid w:val="4C515898"/>
    <w:rsid w:val="4D0741F2"/>
    <w:rsid w:val="4D134985"/>
    <w:rsid w:val="4D145005"/>
    <w:rsid w:val="4D154C85"/>
    <w:rsid w:val="4D2C697B"/>
    <w:rsid w:val="4D442968"/>
    <w:rsid w:val="4D7F46B4"/>
    <w:rsid w:val="4D830A74"/>
    <w:rsid w:val="4DB1015B"/>
    <w:rsid w:val="4E5C4F9C"/>
    <w:rsid w:val="4EB93137"/>
    <w:rsid w:val="4EC8553A"/>
    <w:rsid w:val="4F760F6C"/>
    <w:rsid w:val="4F876665"/>
    <w:rsid w:val="50016951"/>
    <w:rsid w:val="502E071A"/>
    <w:rsid w:val="50822866"/>
    <w:rsid w:val="508F4E24"/>
    <w:rsid w:val="50B35F14"/>
    <w:rsid w:val="50E9588C"/>
    <w:rsid w:val="5121482B"/>
    <w:rsid w:val="51461E90"/>
    <w:rsid w:val="51463753"/>
    <w:rsid w:val="51EC1975"/>
    <w:rsid w:val="51FA0C8B"/>
    <w:rsid w:val="52383C77"/>
    <w:rsid w:val="52470D8A"/>
    <w:rsid w:val="52553A93"/>
    <w:rsid w:val="527D26F8"/>
    <w:rsid w:val="52995311"/>
    <w:rsid w:val="53397419"/>
    <w:rsid w:val="53521F8B"/>
    <w:rsid w:val="53584847"/>
    <w:rsid w:val="539A4AC7"/>
    <w:rsid w:val="53BB3640"/>
    <w:rsid w:val="53E22F47"/>
    <w:rsid w:val="53E41AB0"/>
    <w:rsid w:val="53F45E39"/>
    <w:rsid w:val="54495057"/>
    <w:rsid w:val="54522FF8"/>
    <w:rsid w:val="54684287"/>
    <w:rsid w:val="54880D77"/>
    <w:rsid w:val="54D12264"/>
    <w:rsid w:val="54EE1678"/>
    <w:rsid w:val="55450629"/>
    <w:rsid w:val="55777CC8"/>
    <w:rsid w:val="55A64150"/>
    <w:rsid w:val="56631946"/>
    <w:rsid w:val="56692963"/>
    <w:rsid w:val="568B0F48"/>
    <w:rsid w:val="56AB0550"/>
    <w:rsid w:val="56AF4436"/>
    <w:rsid w:val="56E47142"/>
    <w:rsid w:val="57157657"/>
    <w:rsid w:val="57347E0A"/>
    <w:rsid w:val="5786217B"/>
    <w:rsid w:val="57AF6667"/>
    <w:rsid w:val="57B73B69"/>
    <w:rsid w:val="57B976AF"/>
    <w:rsid w:val="57CA7747"/>
    <w:rsid w:val="581F2576"/>
    <w:rsid w:val="587D7E5A"/>
    <w:rsid w:val="58B15CFB"/>
    <w:rsid w:val="58B8797A"/>
    <w:rsid w:val="58C44EB1"/>
    <w:rsid w:val="59337A15"/>
    <w:rsid w:val="59810274"/>
    <w:rsid w:val="5988516F"/>
    <w:rsid w:val="59941D06"/>
    <w:rsid w:val="5A2302F0"/>
    <w:rsid w:val="5A2D0C00"/>
    <w:rsid w:val="5AAF3758"/>
    <w:rsid w:val="5AD7215D"/>
    <w:rsid w:val="5AEB44B6"/>
    <w:rsid w:val="5AF9704F"/>
    <w:rsid w:val="5B0A66E2"/>
    <w:rsid w:val="5B187904"/>
    <w:rsid w:val="5B3B36C3"/>
    <w:rsid w:val="5B573C0A"/>
    <w:rsid w:val="5BD66A55"/>
    <w:rsid w:val="5BF501EB"/>
    <w:rsid w:val="5C04348D"/>
    <w:rsid w:val="5C0E3314"/>
    <w:rsid w:val="5C3435DF"/>
    <w:rsid w:val="5C761A3E"/>
    <w:rsid w:val="5C9A479F"/>
    <w:rsid w:val="5CA96A00"/>
    <w:rsid w:val="5CF730BC"/>
    <w:rsid w:val="5D0F203F"/>
    <w:rsid w:val="5D8F250B"/>
    <w:rsid w:val="5D9F6029"/>
    <w:rsid w:val="5DA73435"/>
    <w:rsid w:val="5DBA74B2"/>
    <w:rsid w:val="5DF9063C"/>
    <w:rsid w:val="5E3F0130"/>
    <w:rsid w:val="5E5F0DCE"/>
    <w:rsid w:val="5E867915"/>
    <w:rsid w:val="5EA0789E"/>
    <w:rsid w:val="5EBD2F7D"/>
    <w:rsid w:val="5EBF3F02"/>
    <w:rsid w:val="5F205220"/>
    <w:rsid w:val="5F356212"/>
    <w:rsid w:val="5F4131D6"/>
    <w:rsid w:val="5F953FCF"/>
    <w:rsid w:val="5FA40A7B"/>
    <w:rsid w:val="5FA57677"/>
    <w:rsid w:val="5FD56D29"/>
    <w:rsid w:val="5FEC7F3F"/>
    <w:rsid w:val="60F74BC3"/>
    <w:rsid w:val="610905C4"/>
    <w:rsid w:val="61444683"/>
    <w:rsid w:val="615419C7"/>
    <w:rsid w:val="615747AE"/>
    <w:rsid w:val="61744525"/>
    <w:rsid w:val="617D3BF8"/>
    <w:rsid w:val="61841F6A"/>
    <w:rsid w:val="61F50A90"/>
    <w:rsid w:val="61F514C6"/>
    <w:rsid w:val="620C10EB"/>
    <w:rsid w:val="623007A9"/>
    <w:rsid w:val="625911EA"/>
    <w:rsid w:val="629F3EDD"/>
    <w:rsid w:val="63394FD5"/>
    <w:rsid w:val="63615846"/>
    <w:rsid w:val="637D7558"/>
    <w:rsid w:val="63F02585"/>
    <w:rsid w:val="64243CD9"/>
    <w:rsid w:val="644A7266"/>
    <w:rsid w:val="644F19AC"/>
    <w:rsid w:val="64DC3487"/>
    <w:rsid w:val="65177DE9"/>
    <w:rsid w:val="65394DA1"/>
    <w:rsid w:val="65984BDE"/>
    <w:rsid w:val="65AA4920"/>
    <w:rsid w:val="664D45E3"/>
    <w:rsid w:val="664E58E8"/>
    <w:rsid w:val="66C40DA9"/>
    <w:rsid w:val="67184229"/>
    <w:rsid w:val="672E7154"/>
    <w:rsid w:val="67596FAF"/>
    <w:rsid w:val="67694F1E"/>
    <w:rsid w:val="67A94E81"/>
    <w:rsid w:val="67F1786D"/>
    <w:rsid w:val="682D4AF8"/>
    <w:rsid w:val="68813643"/>
    <w:rsid w:val="68BA15C1"/>
    <w:rsid w:val="69341E28"/>
    <w:rsid w:val="69597934"/>
    <w:rsid w:val="69617E5C"/>
    <w:rsid w:val="69DB2707"/>
    <w:rsid w:val="69E7514E"/>
    <w:rsid w:val="69F753E9"/>
    <w:rsid w:val="6A6E7AD6"/>
    <w:rsid w:val="6A8F6861"/>
    <w:rsid w:val="6AB02619"/>
    <w:rsid w:val="6AB14817"/>
    <w:rsid w:val="6AC7223E"/>
    <w:rsid w:val="6ADA02C1"/>
    <w:rsid w:val="6AE01DFC"/>
    <w:rsid w:val="6AF20B04"/>
    <w:rsid w:val="6B647B3E"/>
    <w:rsid w:val="6B726CE1"/>
    <w:rsid w:val="6B964DDC"/>
    <w:rsid w:val="6BF306A7"/>
    <w:rsid w:val="6BFB5EC7"/>
    <w:rsid w:val="6C383399"/>
    <w:rsid w:val="6C783074"/>
    <w:rsid w:val="6D05506C"/>
    <w:rsid w:val="6D596CF4"/>
    <w:rsid w:val="6D887843"/>
    <w:rsid w:val="6D9E65C6"/>
    <w:rsid w:val="6DA81947"/>
    <w:rsid w:val="6DD2749B"/>
    <w:rsid w:val="6DDB29E3"/>
    <w:rsid w:val="6E195161"/>
    <w:rsid w:val="6E6526A9"/>
    <w:rsid w:val="6E671430"/>
    <w:rsid w:val="6E865F1C"/>
    <w:rsid w:val="6E8E126C"/>
    <w:rsid w:val="6EB66DE2"/>
    <w:rsid w:val="6ED3075F"/>
    <w:rsid w:val="6ED41C98"/>
    <w:rsid w:val="6EEE3AC1"/>
    <w:rsid w:val="6F045D27"/>
    <w:rsid w:val="6F2A2D4B"/>
    <w:rsid w:val="6F651353"/>
    <w:rsid w:val="6F7F796D"/>
    <w:rsid w:val="6F8A0C1E"/>
    <w:rsid w:val="6F914193"/>
    <w:rsid w:val="6FBB5F52"/>
    <w:rsid w:val="6FD6290B"/>
    <w:rsid w:val="700346D4"/>
    <w:rsid w:val="70342CA5"/>
    <w:rsid w:val="703F45D4"/>
    <w:rsid w:val="705D6067"/>
    <w:rsid w:val="70940740"/>
    <w:rsid w:val="70CB0ADD"/>
    <w:rsid w:val="71016B75"/>
    <w:rsid w:val="71034277"/>
    <w:rsid w:val="710F4CFD"/>
    <w:rsid w:val="711C739F"/>
    <w:rsid w:val="715D6546"/>
    <w:rsid w:val="717958C4"/>
    <w:rsid w:val="71974AEA"/>
    <w:rsid w:val="71BE069E"/>
    <w:rsid w:val="72005413"/>
    <w:rsid w:val="7208160F"/>
    <w:rsid w:val="72100F31"/>
    <w:rsid w:val="72123515"/>
    <w:rsid w:val="723A1359"/>
    <w:rsid w:val="724A458E"/>
    <w:rsid w:val="725D57AD"/>
    <w:rsid w:val="72FB43B2"/>
    <w:rsid w:val="733C4E1B"/>
    <w:rsid w:val="73953409"/>
    <w:rsid w:val="73E069A3"/>
    <w:rsid w:val="73FE075C"/>
    <w:rsid w:val="741B228B"/>
    <w:rsid w:val="742D5A28"/>
    <w:rsid w:val="747A00A6"/>
    <w:rsid w:val="747F1FAF"/>
    <w:rsid w:val="74842EFD"/>
    <w:rsid w:val="75014F15"/>
    <w:rsid w:val="75232ABD"/>
    <w:rsid w:val="7572455E"/>
    <w:rsid w:val="762B7A6C"/>
    <w:rsid w:val="7635025D"/>
    <w:rsid w:val="766B762B"/>
    <w:rsid w:val="7697648B"/>
    <w:rsid w:val="78104AA8"/>
    <w:rsid w:val="784B7F30"/>
    <w:rsid w:val="789E2D74"/>
    <w:rsid w:val="78C90928"/>
    <w:rsid w:val="78E257C5"/>
    <w:rsid w:val="78E70BEA"/>
    <w:rsid w:val="794B35BE"/>
    <w:rsid w:val="796C5147"/>
    <w:rsid w:val="797B3A40"/>
    <w:rsid w:val="79BE31CC"/>
    <w:rsid w:val="7A392B15"/>
    <w:rsid w:val="7A7F70CA"/>
    <w:rsid w:val="7A97325F"/>
    <w:rsid w:val="7AAD7CE7"/>
    <w:rsid w:val="7AD61C62"/>
    <w:rsid w:val="7B0A3A31"/>
    <w:rsid w:val="7B1B4553"/>
    <w:rsid w:val="7B3360ED"/>
    <w:rsid w:val="7B433494"/>
    <w:rsid w:val="7B5319F3"/>
    <w:rsid w:val="7B615418"/>
    <w:rsid w:val="7B791782"/>
    <w:rsid w:val="7B9A1458"/>
    <w:rsid w:val="7BC5229C"/>
    <w:rsid w:val="7BD6383B"/>
    <w:rsid w:val="7BDF037E"/>
    <w:rsid w:val="7BF50948"/>
    <w:rsid w:val="7C5B0211"/>
    <w:rsid w:val="7C8F186E"/>
    <w:rsid w:val="7CE66A78"/>
    <w:rsid w:val="7D106A3B"/>
    <w:rsid w:val="7D23564C"/>
    <w:rsid w:val="7D2D4AC4"/>
    <w:rsid w:val="7D5E062D"/>
    <w:rsid w:val="7D7F428B"/>
    <w:rsid w:val="7DDC0808"/>
    <w:rsid w:val="7DE07113"/>
    <w:rsid w:val="7DED0EFA"/>
    <w:rsid w:val="7DF76CD8"/>
    <w:rsid w:val="7E3D3C2A"/>
    <w:rsid w:val="7E514E49"/>
    <w:rsid w:val="7ECB359E"/>
    <w:rsid w:val="7F3948E4"/>
    <w:rsid w:val="7F4803D2"/>
    <w:rsid w:val="7F695C26"/>
    <w:rsid w:val="7FCF62D3"/>
    <w:rsid w:val="7FDA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224.63</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11.38</c:v>
                </c:pt>
                <c:pt idx="5">
                  <c:v>0</c:v>
                </c:pt>
                <c:pt idx="6">
                  <c:v>0</c:v>
                </c:pt>
                <c:pt idx="7">
                  <c:v>0</c:v>
                </c:pt>
                <c:pt idx="8">
                  <c:v>0</c:v>
                </c:pt>
                <c:pt idx="9">
                  <c:v>0</c:v>
                </c:pt>
                <c:pt idx="10">
                  <c:v>0</c:v>
                </c:pt>
                <c:pt idx="11">
                  <c:v>0.35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城乡社区支出</c:v>
                </c:pt>
                <c:pt idx="3">
                  <c:v>住房保障支出</c:v>
                </c:pt>
                <c:pt idx="4">
                  <c:v>其他支出</c:v>
                </c:pt>
              </c:strCache>
            </c:strRef>
          </c:cat>
          <c:val>
            <c:numRef>
              <c:f>Sheet1!$B$2:$B$6</c:f>
              <c:numCache>
                <c:formatCode>General</c:formatCode>
                <c:ptCount val="5"/>
                <c:pt idx="0">
                  <c:v>0</c:v>
                </c:pt>
                <c:pt idx="1">
                  <c:v>0</c:v>
                </c:pt>
                <c:pt idx="2">
                  <c:v>0</c:v>
                </c:pt>
                <c:pt idx="3">
                  <c:v>0</c:v>
                </c:pt>
                <c:pt idx="4">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城乡社区支出</c:v>
                </c:pt>
                <c:pt idx="3">
                  <c:v>住房保障支出</c:v>
                </c:pt>
                <c:pt idx="4">
                  <c:v>其他支出</c:v>
                </c:pt>
              </c:strCache>
            </c:strRef>
          </c:cat>
          <c:val>
            <c:numRef>
              <c:f>Sheet1!$C$2:$C$6</c:f>
              <c:numCache>
                <c:formatCode>General</c:formatCode>
                <c:ptCount val="5"/>
                <c:pt idx="0">
                  <c:v>3.08</c:v>
                </c:pt>
                <c:pt idx="1">
                  <c:v>21.33</c:v>
                </c:pt>
                <c:pt idx="2">
                  <c:v>152.29</c:v>
                </c:pt>
                <c:pt idx="3">
                  <c:v>16</c:v>
                </c:pt>
                <c:pt idx="4">
                  <c:v>31.93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1">
                  <c:v>201x</c:v>
                </c:pt>
              </c:strCache>
            </c:strRef>
          </c:cat>
          <c:val>
            <c:numRef>
              <c:f>Sheet1!$B$2:$B$10</c:f>
              <c:numCache>
                <c:formatCode>General</c:formatCode>
                <c:ptCount val="9"/>
                <c:pt idx="0">
                  <c:v>3.08</c:v>
                </c:pt>
                <c:pt idx="1">
                  <c:v>3.08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208x</c:v>
                </c:pt>
              </c:strCache>
            </c:strRef>
          </c:cat>
          <c:val>
            <c:numRef>
              <c:f>Sheet1!$B$2:$B$5</c:f>
              <c:numCache>
                <c:formatCode>General</c:formatCode>
                <c:ptCount val="4"/>
                <c:pt idx="0">
                  <c:v>21.33</c:v>
                </c:pt>
                <c:pt idx="1">
                  <c:v>24.92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城乡社区</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Sheet1!$A$2:$A$7</c:f>
              <c:strCache>
                <c:ptCount val="6"/>
                <c:pt idx="0">
                  <c:v>2120601</c:v>
                </c:pt>
                <c:pt idx="3">
                  <c:v>210x</c:v>
                </c:pt>
              </c:strCache>
            </c:strRef>
          </c:cat>
          <c:val>
            <c:numRef>
              <c:f>Sheet1!$B$2:$B$7</c:f>
              <c:numCache>
                <c:formatCode>General</c:formatCode>
                <c:ptCount val="6"/>
                <c:pt idx="0">
                  <c:v>152.29</c:v>
                </c:pt>
                <c:pt idx="3">
                  <c:v>183.31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213x</c:v>
                </c:pt>
              </c:strCache>
            </c:strRef>
          </c:cat>
          <c:val>
            <c:numRef>
              <c:f>Sheet1!$B$2:$B$3</c:f>
              <c:numCache>
                <c:formatCode>General</c:formatCode>
                <c:ptCount val="2"/>
                <c:pt idx="0">
                  <c:v>16</c:v>
                </c:pt>
                <c:pt idx="1">
                  <c:v>18.69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221x</c:v>
                </c:pt>
              </c:strCache>
            </c:strRef>
          </c:cat>
          <c:val>
            <c:numRef>
              <c:f>Sheet1!$B$2:$B$3</c:f>
              <c:numCache>
                <c:formatCode>General</c:formatCode>
                <c:ptCount val="2"/>
                <c:pt idx="0">
                  <c:v>31.93</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Sheet1!$A$2:$A$15</c:f>
              <c:numCache>
                <c:formatCode>General</c:formatCode>
                <c:ptCount val="14"/>
                <c:pt idx="0">
                  <c:v>30101</c:v>
                </c:pt>
                <c:pt idx="1">
                  <c:v>30102</c:v>
                </c:pt>
                <c:pt idx="2">
                  <c:v>30103</c:v>
                </c:pt>
                <c:pt idx="3">
                  <c:v>30106</c:v>
                </c:pt>
                <c:pt idx="4">
                  <c:v>30107</c:v>
                </c:pt>
                <c:pt idx="5">
                  <c:v>30108</c:v>
                </c:pt>
                <c:pt idx="6">
                  <c:v>30109</c:v>
                </c:pt>
                <c:pt idx="7">
                  <c:v>30110</c:v>
                </c:pt>
                <c:pt idx="8">
                  <c:v>30111</c:v>
                </c:pt>
                <c:pt idx="9">
                  <c:v>30112</c:v>
                </c:pt>
                <c:pt idx="10">
                  <c:v>30113</c:v>
                </c:pt>
              </c:numCache>
            </c:numRef>
          </c:cat>
          <c:val>
            <c:numRef>
              <c:f>Sheet1!$B$2:$B$15</c:f>
              <c:numCache>
                <c:formatCode>General</c:formatCode>
                <c:ptCount val="14"/>
                <c:pt idx="0">
                  <c:v>63.3</c:v>
                </c:pt>
                <c:pt idx="1">
                  <c:v>2.66</c:v>
                </c:pt>
                <c:pt idx="2">
                  <c:v>53.05</c:v>
                </c:pt>
                <c:pt idx="3">
                  <c:v>3.37</c:v>
                </c:pt>
                <c:pt idx="4">
                  <c:v>28.26</c:v>
                </c:pt>
                <c:pt idx="5">
                  <c:v>21.33</c:v>
                </c:pt>
                <c:pt idx="6">
                  <c:v>0</c:v>
                </c:pt>
                <c:pt idx="7">
                  <c:v>8.87</c:v>
                </c:pt>
                <c:pt idx="8">
                  <c:v>0</c:v>
                </c:pt>
                <c:pt idx="9">
                  <c:v>0.93</c:v>
                </c:pt>
                <c:pt idx="10">
                  <c:v>16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1.23</c:v>
                </c:pt>
                <c:pt idx="1">
                  <c:v>0</c:v>
                </c:pt>
                <c:pt idx="2">
                  <c:v>0</c:v>
                </c:pt>
                <c:pt idx="3">
                  <c:v>0</c:v>
                </c:pt>
                <c:pt idx="4">
                  <c:v>0.05</c:v>
                </c:pt>
                <c:pt idx="5">
                  <c:v>0.52</c:v>
                </c:pt>
                <c:pt idx="6">
                  <c:v>1.52</c:v>
                </c:pt>
                <c:pt idx="7">
                  <c:v>0</c:v>
                </c:pt>
                <c:pt idx="8">
                  <c:v>0</c:v>
                </c:pt>
                <c:pt idx="9">
                  <c:v>8</c:v>
                </c:pt>
                <c:pt idx="10">
                  <c:v>0</c:v>
                </c:pt>
                <c:pt idx="11">
                  <c:v>0</c:v>
                </c:pt>
                <c:pt idx="12">
                  <c:v>0</c:v>
                </c:pt>
                <c:pt idx="13">
                  <c:v>0</c:v>
                </c:pt>
                <c:pt idx="14">
                  <c:v>0</c:v>
                </c:pt>
                <c:pt idx="15">
                  <c:v>0</c:v>
                </c:pt>
                <c:pt idx="16">
                  <c:v>0</c:v>
                </c:pt>
                <c:pt idx="17">
                  <c:v>0</c:v>
                </c:pt>
                <c:pt idx="18">
                  <c:v>0</c:v>
                </c:pt>
                <c:pt idx="19">
                  <c:v>0</c:v>
                </c:pt>
                <c:pt idx="20">
                  <c:v>0</c:v>
                </c:pt>
                <c:pt idx="21">
                  <c:v>3.08</c:v>
                </c:pt>
                <c:pt idx="22">
                  <c:v>0</c:v>
                </c:pt>
                <c:pt idx="23">
                  <c:v>0</c:v>
                </c:pt>
                <c:pt idx="24">
                  <c:v>0.76</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2023-11-23T04:22:54Z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1D4FD1E3BD644429AE543736AAEC496F</vt:lpwstr>
  </property>
</Properties>
</file>