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环江毛南族自治县水源镇财政所</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第一部分：环江毛南族自治县水源镇财政所概况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第二部分：环江毛南族自治县水源镇财政所2022年度部门决算报表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第三部分：环江毛南族自治县水源镇财政所2022年度部门决算情况说明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第一部分：环江毛南族自治县水源镇财政所概况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jc w:val="left"/>
        <w:rPr>
          <w:rFonts w:hint="eastAsia" w:ascii="仿宋" w:hAnsi="仿宋" w:eastAsia="仿宋" w:cs="仿宋"/>
          <w:color w:val="FF0000"/>
          <w:sz w:val="32"/>
          <w:szCs w:val="32"/>
          <w:lang w:val="en-US" w:eastAsia="zh-CN"/>
        </w:rPr>
      </w:pPr>
      <w:r>
        <w:rPr>
          <w:rFonts w:hint="eastAsia" w:ascii="仿宋_GB2312" w:hAnsi="仿宋_GB2312" w:eastAsia="仿宋_GB2312" w:cs="仿宋_GB2312"/>
          <w:sz w:val="32"/>
          <w:szCs w:val="32"/>
          <w:highlight w:val="none"/>
          <w:lang w:eastAsia="zh-CN"/>
        </w:rPr>
        <w:t>本部门</w:t>
      </w:r>
      <w:r>
        <w:rPr>
          <w:rFonts w:hint="eastAsia" w:ascii="仿宋_GB2312" w:hAnsi="仿宋_GB2312" w:eastAsia="仿宋_GB2312" w:cs="仿宋_GB2312"/>
          <w:sz w:val="32"/>
          <w:szCs w:val="32"/>
          <w:highlight w:val="none"/>
        </w:rPr>
        <w:t>是环江毛南族自治县水源镇财政所，隶属于环江毛南族自治县财政局，是参照公务员法的事业单位。主要职能为财政预算、决算；财务管理和财政监督，预算外资金管理。</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rPr>
        <w:t>部门没有下属单位，按照部门决算编报要求，单独编制本部门决算。</w:t>
      </w:r>
      <w:r>
        <w:rPr>
          <w:rFonts w:hint="eastAsia" w:ascii="仿宋" w:hAnsi="仿宋" w:eastAsia="仿宋" w:cs="仿宋"/>
          <w:color w:val="auto"/>
          <w:sz w:val="32"/>
          <w:szCs w:val="32"/>
          <w:lang w:val="en-US" w:eastAsia="zh-CN"/>
        </w:rPr>
        <w:t>根据工作需要设定如下岗位：</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1、领导岗：由财政所所长担任，负责统筹财政所各项业务的顺利开展；</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2、会计岗：对单位的日常工作收支进行账务处理、负责上报各种报表、编制年初预算与年终决算；</w:t>
      </w:r>
    </w:p>
    <w:p>
      <w:pPr>
        <w:ind w:firstLine="640" w:firstLineChars="200"/>
        <w:jc w:val="left"/>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3、出纳岗：负责单位产生的各项经费的支出；</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4、涉农补贴管理岗：负责财政所涉及的各项农业补贴的核对和发放。</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环江毛南族自治县水源镇财政所</w:t>
      </w:r>
      <w:r>
        <w:rPr>
          <w:rFonts w:hint="eastAsia" w:ascii="黑体" w:hAnsi="黑体" w:eastAsia="黑体" w:cs="黑体"/>
          <w:sz w:val="32"/>
          <w:szCs w:val="32"/>
          <w:highlight w:val="none"/>
        </w:rPr>
        <w:t>2022年度部门决算报表</w:t>
      </w:r>
    </w:p>
    <w:tbl>
      <w:tblPr>
        <w:tblStyle w:val="6"/>
        <w:tblW w:w="5000" w:type="pct"/>
        <w:tblInd w:w="0" w:type="dxa"/>
        <w:tblLayout w:type="autofit"/>
        <w:tblCellMar>
          <w:top w:w="0" w:type="dxa"/>
          <w:left w:w="108" w:type="dxa"/>
          <w:bottom w:w="0" w:type="dxa"/>
          <w:right w:w="108" w:type="dxa"/>
        </w:tblCellMar>
      </w:tblPr>
      <w:tblGrid>
        <w:gridCol w:w="4616"/>
        <w:gridCol w:w="656"/>
        <w:gridCol w:w="766"/>
        <w:gridCol w:w="3516"/>
        <w:gridCol w:w="656"/>
        <w:gridCol w:w="3964"/>
      </w:tblGrid>
      <w:tr>
        <w:tblPrEx>
          <w:tblCellMar>
            <w:top w:w="0" w:type="dxa"/>
            <w:left w:w="108" w:type="dxa"/>
            <w:bottom w:w="0" w:type="dxa"/>
            <w:right w:w="108" w:type="dxa"/>
          </w:tblCellMar>
        </w:tblPrEx>
        <w:trPr>
          <w:trHeight w:val="902" w:hRule="atLeast"/>
        </w:trPr>
        <w:tc>
          <w:tcPr>
            <w:tcW w:w="5000" w:type="pct"/>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0"/>
                <w:sz w:val="30"/>
                <w:szCs w:val="30"/>
                <w:u w:val="none"/>
                <w:lang w:val="en-US" w:eastAsia="zh-CN"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：收入</w:t>
            </w:r>
            <w:r>
              <w:rPr>
                <w:rFonts w:hint="eastAsia" w:ascii="仿宋" w:hAnsi="仿宋" w:eastAsia="仿宋" w:cs="仿宋"/>
                <w:sz w:val="24"/>
                <w:highlight w:val="none"/>
                <w:lang w:val="en-US" w:eastAsia="zh-CN"/>
              </w:rPr>
              <w:t>支出</w:t>
            </w:r>
            <w:r>
              <w:rPr>
                <w:rFonts w:hint="eastAsia" w:ascii="仿宋" w:hAnsi="仿宋" w:eastAsia="仿宋" w:cs="仿宋"/>
                <w:sz w:val="24"/>
                <w:highlight w:val="none"/>
              </w:rPr>
              <w:t>决算</w:t>
            </w:r>
            <w:r>
              <w:rPr>
                <w:rFonts w:hint="eastAsia" w:ascii="仿宋" w:hAnsi="仿宋" w:eastAsia="仿宋" w:cs="仿宋"/>
                <w:sz w:val="24"/>
                <w:highlight w:val="none"/>
                <w:lang w:val="en-US" w:eastAsia="zh-CN"/>
              </w:rPr>
              <w:t>总</w:t>
            </w:r>
            <w:r>
              <w:rPr>
                <w:rFonts w:hint="eastAsia" w:ascii="仿宋" w:hAnsi="仿宋" w:eastAsia="仿宋" w:cs="仿宋"/>
                <w:sz w:val="24"/>
                <w:highlight w:val="none"/>
              </w:rPr>
              <w:t>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CellMar>
            <w:top w:w="0" w:type="dxa"/>
            <w:left w:w="108" w:type="dxa"/>
            <w:bottom w:w="0" w:type="dxa"/>
            <w:right w:w="108" w:type="dxa"/>
          </w:tblCellMar>
        </w:tblPrEx>
        <w:trPr>
          <w:trHeight w:val="301" w:hRule="atLeast"/>
        </w:trPr>
        <w:tc>
          <w:tcPr>
            <w:tcW w:w="1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91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公开01表</w:t>
            </w:r>
          </w:p>
        </w:tc>
      </w:tr>
      <w:tr>
        <w:tblPrEx>
          <w:tblCellMar>
            <w:top w:w="0" w:type="dxa"/>
            <w:left w:w="108" w:type="dxa"/>
            <w:bottom w:w="0" w:type="dxa"/>
            <w:right w:w="108" w:type="dxa"/>
          </w:tblCellMar>
        </w:tblPrEx>
        <w:trPr>
          <w:trHeight w:val="301" w:hRule="atLeast"/>
        </w:trPr>
        <w:tc>
          <w:tcPr>
            <w:tcW w:w="17"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部门：广西河池市环江毛南族自治县水源镇财政所</w:t>
            </w:r>
          </w:p>
        </w:tc>
        <w:tc>
          <w:tcPr>
            <w:tcW w:w="1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91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15" w:hRule="atLeast"/>
        </w:trPr>
        <w:tc>
          <w:tcPr>
            <w:tcW w:w="5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收入</w:t>
            </w:r>
          </w:p>
        </w:tc>
        <w:tc>
          <w:tcPr>
            <w:tcW w:w="494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trHeight w:val="315"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金额</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项目</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315"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栏次</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63.50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32</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54.79</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二、外交支出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33</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三、国防支出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34</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四、公共安全支出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35</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五、教育支出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36</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六、经营收入</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六、科学技术支出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37</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7</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38</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39</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8.35</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九、卫生健康支出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40</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十、节能环保支出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41</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11</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十一、城乡社区支出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42</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12</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十二、农林水支出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43</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0.36</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13</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十三、交通运输支出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44</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14</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45</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15</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46</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16</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十六、金融支出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47</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17</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48</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18</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49</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19</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十九、住房保障支出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50</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51</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21</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52</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22</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53</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23</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二十三、其他支出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54</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24</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55</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25</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56</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26</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57</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27</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63.50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58</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63.50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28</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结余分配</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59</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29</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年末结转和结余</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60</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61</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31</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63.50</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总计</w:t>
            </w:r>
          </w:p>
        </w:tc>
        <w:tc>
          <w:tcPr>
            <w:tcW w:w="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62</w:t>
            </w:r>
          </w:p>
        </w:tc>
        <w:tc>
          <w:tcPr>
            <w:tcW w:w="49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63.50</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5"/>
        <w:gridCol w:w="240"/>
        <w:gridCol w:w="240"/>
        <w:gridCol w:w="3557"/>
        <w:gridCol w:w="1020"/>
        <w:gridCol w:w="1146"/>
        <w:gridCol w:w="635"/>
        <w:gridCol w:w="635"/>
        <w:gridCol w:w="635"/>
        <w:gridCol w:w="635"/>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0"/>
                <w:sz w:val="30"/>
                <w:szCs w:val="30"/>
                <w:u w:val="none"/>
                <w:lang w:val="en-US" w:eastAsia="zh-CN"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：收入决算表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6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8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5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0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4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66"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部门：广西河池市环江毛南族自治县水源镇财政所</w:t>
            </w:r>
          </w:p>
        </w:tc>
        <w:tc>
          <w:tcPr>
            <w:tcW w:w="8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5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0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4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91"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5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0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2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2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2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2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4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54"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5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8"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4"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8"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4"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8"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91"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5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91"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63.50</w:t>
            </w:r>
          </w:p>
        </w:tc>
        <w:tc>
          <w:tcPr>
            <w:tcW w:w="4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63.50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54.79</w:t>
            </w:r>
          </w:p>
        </w:tc>
        <w:tc>
          <w:tcPr>
            <w:tcW w:w="4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54.79</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w:t>
            </w:r>
          </w:p>
        </w:tc>
        <w:tc>
          <w:tcPr>
            <w:tcW w:w="4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w:t>
            </w:r>
          </w:p>
        </w:tc>
        <w:tc>
          <w:tcPr>
            <w:tcW w:w="4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4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4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4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4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4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3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3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4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67"/>
        <w:gridCol w:w="255"/>
        <w:gridCol w:w="270"/>
        <w:gridCol w:w="3990"/>
        <w:gridCol w:w="975"/>
        <w:gridCol w:w="1065"/>
        <w:gridCol w:w="975"/>
        <w:gridCol w:w="960"/>
        <w:gridCol w:w="660"/>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8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0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4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4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8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8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部门：广西河池市环江毛南族自治县水源镇财政所</w:t>
            </w:r>
          </w:p>
        </w:tc>
        <w:tc>
          <w:tcPr>
            <w:tcW w:w="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0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4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4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8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80"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43"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37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43"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3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3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8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2"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07"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4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8"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2"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07"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8"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2"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07"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5"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8"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80"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43"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5"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3"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80"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63.50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63.14</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0.36</w:t>
            </w:r>
          </w:p>
        </w:tc>
        <w:tc>
          <w:tcPr>
            <w:tcW w:w="3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54.79</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54.79</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3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1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3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3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6"/>
        <w:gridCol w:w="436"/>
        <w:gridCol w:w="908"/>
        <w:gridCol w:w="3516"/>
        <w:gridCol w:w="436"/>
        <w:gridCol w:w="766"/>
        <w:gridCol w:w="902"/>
        <w:gridCol w:w="97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17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4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9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部门：广西河池市环江毛南族自治县水源镇财政所</w:t>
            </w:r>
          </w:p>
        </w:tc>
        <w:tc>
          <w:tcPr>
            <w:tcW w:w="17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4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40"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2959"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390"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7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0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30"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7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3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4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390"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1"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77"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2"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1"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0"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77"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3"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7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54.79</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54.79</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63.50</w:t>
            </w:r>
          </w:p>
        </w:tc>
        <w:tc>
          <w:tcPr>
            <w:tcW w:w="47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1"/>
        <w:gridCol w:w="258"/>
        <w:gridCol w:w="258"/>
        <w:gridCol w:w="4607"/>
        <w:gridCol w:w="896"/>
        <w:gridCol w:w="896"/>
        <w:gridCol w:w="1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89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895"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部门：广西河池市环江毛南族自治县水源镇财政所</w:t>
            </w:r>
          </w:p>
        </w:tc>
        <w:tc>
          <w:tcPr>
            <w:tcW w:w="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02"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97"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7"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24"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1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6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2077"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4"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6"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6"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4"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4"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6"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6"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4"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2"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1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2"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63.50</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63.14</w:t>
            </w: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54.79</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54.79</w:t>
            </w: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6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w:t>
            </w: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6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w:t>
            </w: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6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6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6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6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16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6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3"/>
        <w:gridCol w:w="2531"/>
        <w:gridCol w:w="602"/>
        <w:gridCol w:w="602"/>
        <w:gridCol w:w="1760"/>
        <w:gridCol w:w="525"/>
        <w:gridCol w:w="602"/>
        <w:gridCol w:w="3149"/>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90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2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3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91"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部门：广西河池市环江毛南族自治县水源镇财政所</w:t>
            </w:r>
          </w:p>
        </w:tc>
        <w:tc>
          <w:tcPr>
            <w:tcW w:w="90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2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3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6"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2703"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0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9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62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9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3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8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7"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3"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4"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2"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60.58</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21.03</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91"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07"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2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34"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98"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60.58</w:t>
            </w:r>
          </w:p>
        </w:tc>
        <w:tc>
          <w:tcPr>
            <w:tcW w:w="2321" w:type="pct"/>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广西河池市环江毛南族自治县水源镇财政所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40" w:firstLineChars="200"/>
        <w:rPr>
          <w:rFonts w:ascii="仿宋" w:hAnsi="仿宋" w:eastAsia="仿宋" w:cs="仿宋"/>
          <w:sz w:val="24"/>
          <w:highlight w:val="none"/>
        </w:rPr>
      </w:pPr>
      <w:r>
        <w:rPr>
          <w:rFonts w:hint="eastAsia" w:ascii="宋体" w:hAnsi="宋体" w:eastAsia="宋体" w:cs="宋体"/>
          <w:color w:val="000000"/>
          <w:kern w:val="0"/>
          <w:sz w:val="22"/>
          <w:szCs w:val="22"/>
          <w:highlight w:val="none"/>
          <w:lang w:val="en-US" w:eastAsia="zh-CN" w:bidi="ar"/>
        </w:rPr>
        <w:t>本部门2022年度没有政府性基金预算财政拨款收入，也没有政府性基金预算财政拨款安排的支出，故本表无数据。</w:t>
      </w:r>
      <w:r>
        <w:rPr>
          <w:rFonts w:ascii="仿宋" w:hAnsi="仿宋" w:eastAsia="仿宋" w:cs="仿宋"/>
          <w:sz w:val="24"/>
          <w:highlight w:val="none"/>
        </w:rPr>
        <w:br w:type="page"/>
      </w:r>
    </w:p>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广西河池市环江毛南族自治县水源镇财政所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0"/>
          <w:sz w:val="32"/>
          <w:szCs w:val="32"/>
          <w:highlight w:val="none"/>
          <w:lang w:val="en-US" w:eastAsia="zh-CN"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本部门2022年度没有国有资本经营预算财政拨款收入，也没有国有资本经营预算财政拨款安排的支出，故本表无数据。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广西河池市环江毛南族自治县水源镇财政所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210" w:leftChars="10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210" w:leftChars="10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210" w:leftChars="10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210" w:leftChars="10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210" w:leftChars="10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210" w:leftChars="10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210" w:leftChars="10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210" w:leftChars="10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210" w:leftChars="10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210" w:leftChars="100" w:right="0" w:rightChars="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210" w:leftChars="100" w:right="0" w:rightChars="0"/>
              <w:jc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sz w:val="22"/>
                <w:szCs w:val="22"/>
                <w:highlight w:val="none"/>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210" w:leftChars="10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FF0000"/>
                <w:kern w:val="2"/>
                <w:sz w:val="21"/>
                <w:szCs w:val="21"/>
                <w:lang w:val="en-US" w:eastAsia="zh-CN" w:bidi="ar"/>
              </w:rPr>
              <w:t xml:space="preserve">  </w:t>
            </w:r>
          </w:p>
        </w:tc>
      </w:tr>
    </w:tbl>
    <w:p>
      <w:pPr>
        <w:jc w:val="left"/>
        <w:rPr>
          <w:rFonts w:hint="eastAsia" w:ascii="仿宋_GB2312" w:hAnsi="仿宋_GB2312" w:eastAsia="仿宋_GB2312" w:cs="仿宋_GB2312"/>
          <w:sz w:val="32"/>
          <w:szCs w:val="32"/>
          <w:highlight w:val="none"/>
          <w:lang w:val="en-US" w:eastAsia="zh-CN"/>
        </w:rPr>
      </w:pP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color w:val="000000"/>
          <w:kern w:val="0"/>
          <w:sz w:val="22"/>
          <w:szCs w:val="22"/>
          <w:highlight w:val="none"/>
          <w:lang w:val="en-US" w:eastAsia="zh-CN" w:bidi="ar"/>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color w:val="000000"/>
          <w:kern w:val="0"/>
          <w:sz w:val="22"/>
          <w:szCs w:val="22"/>
          <w:highlight w:val="none"/>
          <w:lang w:val="en-US" w:eastAsia="zh-CN" w:bidi="ar"/>
        </w:rPr>
        <w:t>本部门2022年度没有一般公共预算财政拨款“三公”经费收入，也没有一般公共预算财政拨款“三公”经费安排的支出，故本表无数据。</w:t>
      </w:r>
    </w:p>
    <w:p>
      <w:pPr>
        <w:jc w:val="left"/>
        <w:rPr>
          <w:rFonts w:ascii="仿宋" w:hAnsi="仿宋" w:eastAsia="仿宋" w:cs="仿宋"/>
          <w:sz w:val="24"/>
          <w:highlight w:val="none"/>
        </w:rPr>
      </w:pPr>
    </w:p>
    <w:p>
      <w:pPr>
        <w:jc w:val="center"/>
        <w:rPr>
          <w:rFonts w:hint="eastAsia" w:ascii="黑体" w:hAnsi="黑体" w:eastAsia="黑体" w:cs="黑体"/>
          <w:sz w:val="32"/>
          <w:u w:color="auto"/>
          <w:lang w:eastAsia="zh-CN"/>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环江毛南族自治县水源镇财政所</w:t>
      </w:r>
      <w:r>
        <w:rPr>
          <w:rFonts w:hint="eastAsia" w:ascii="黑体" w:hAnsi="黑体" w:eastAsia="黑体" w:cs="黑体"/>
          <w:sz w:val="32"/>
          <w:u w:color="auto"/>
          <w:lang w:eastAsia="zh-CN"/>
        </w:rPr>
        <w:t>单位</w:t>
      </w: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63.50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87.47</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57.94</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53.50</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63.50</w:t>
      </w:r>
      <w:r>
        <w:rPr>
          <w:rFonts w:hint="eastAsia" w:ascii="仿宋" w:hAnsi="仿宋" w:eastAsia="仿宋" w:cs="仿宋"/>
          <w:kern w:val="2"/>
          <w:sz w:val="32"/>
          <w:szCs w:val="32"/>
          <w:highlight w:val="none"/>
          <w:lang w:val="en-US" w:eastAsia="zh-CN" w:bidi="ar"/>
        </w:rPr>
        <w:t>万元，为环江毛南族自治县本级财政当年拨付的资金。较2021年度决算数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87.47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57.94</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门人数较上年减少，且2021年度通过一体化预算系统拨付了本部门涉农补贴79.65万元；而2022年相关的涉农补贴则是通过粮食风险基金专户下达本部门基本户中，再通过转入一卡通系统对群众进行补贴的发放。</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w:t>
      </w:r>
      <w:r>
        <w:rPr>
          <w:rFonts w:hint="eastAsia" w:ascii="仿宋_GB2312" w:hAnsi="仿宋_GB2312" w:eastAsia="仿宋_GB2312" w:cs="仿宋_GB2312"/>
          <w:color w:val="000000"/>
          <w:kern w:val="0"/>
          <w:sz w:val="32"/>
          <w:szCs w:val="32"/>
          <w:highlight w:val="none"/>
          <w:lang w:val="en-US" w:eastAsia="zh-CN" w:bidi="ar"/>
        </w:rPr>
        <w:t>本部门2022年度没有政府性基金预算财政拨款收入，也没有政府性基金预算财政拨款安排的支出。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3.本部门2022年度没有国有资本经营预算财政拨款收入，也没有国有资本经营预算财政拨款安排的支出。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无增减变动</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无增减变动，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0万,较2021年度决算数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kern w:val="2"/>
          <w:sz w:val="32"/>
          <w:szCs w:val="32"/>
          <w:highlight w:val="none"/>
          <w:lang w:val="en-US" w:eastAsia="zh-CN" w:bidi="ar"/>
        </w:rPr>
        <w:t>较2021年度决算数</w:t>
      </w:r>
      <w:r>
        <w:rPr>
          <w:rFonts w:hint="eastAsia" w:ascii="仿宋" w:hAnsi="仿宋" w:eastAsia="仿宋" w:cs="仿宋"/>
          <w:sz w:val="32"/>
          <w:u w:color="auto"/>
          <w:lang w:val="en-US" w:eastAsia="zh-CN"/>
        </w:rPr>
        <w:t>无增减变动</w:t>
      </w:r>
      <w:r>
        <w:rPr>
          <w:rFonts w:hint="eastAsia" w:ascii="仿宋" w:hAnsi="仿宋" w:eastAsia="仿宋" w:cs="仿宋"/>
          <w:color w:val="auto"/>
          <w:kern w:val="2"/>
          <w:sz w:val="32"/>
          <w:szCs w:val="32"/>
          <w:highlight w:val="none"/>
          <w:lang w:val="en-US" w:eastAsia="zh-CN" w:bidi="ar"/>
        </w:rPr>
        <w:t>，主要原因是：本部门无附属单位上缴收入。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无增减变动。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hint="eastAsia" w:ascii="仿宋" w:hAnsi="仿宋" w:eastAsia="仿宋" w:cs="仿宋"/>
          <w:sz w:val="32"/>
          <w:u w:color="auto"/>
          <w:lang w:val="en-US" w:eastAsia="zh-CN"/>
        </w:rPr>
        <w:t>无增减变动</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无增减变动。</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descr="7b0a202020202263686172745265734964223a20223230343735393537220a7d0a"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63.50</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63.50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87.47</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57.94</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一般公共服务</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lang w:val="en-US" w:eastAsia="zh-CN"/>
        </w:rPr>
        <w:t>59.90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主要用于：本部门工资福利支出及社会保障缴费。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2.01%，</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本部门2022年有人员调出。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8.35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1.11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11.73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单位有人员调出，造成支出减少。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0.36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支付涉农工作中产生的办公费用</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80.02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99.55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主要原因是：2021年度通过一体化预算系统拨付了本部门涉农补贴79.65万元，而2022年相关的涉农补贴则是通过粮食风险基金专户下达本部门基本户中，再通过转入一卡通系统对群众进行补贴的发放。</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本部门在职职工住房公积金由单位所在地乡镇府统一申报缴纳。</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color w:val="auto"/>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lang w:eastAsia="zh-CN"/>
        </w:rPr>
        <w:t>0万元</w:t>
      </w:r>
      <w:r>
        <w:rPr>
          <w:rFonts w:hint="default" w:ascii="仿宋_GB2312" w:hAnsi="微软雅黑" w:eastAsia="仿宋_GB2312" w:cs="仿宋_GB2312"/>
          <w:i w:val="0"/>
          <w:iCs w:val="0"/>
          <w:caps w:val="0"/>
          <w:color w:val="000000"/>
          <w:spacing w:val="0"/>
          <w:sz w:val="31"/>
          <w:szCs w:val="31"/>
          <w:highlight w:val="none"/>
          <w:shd w:val="clear" w:color="auto" w:fill="FFFFFF"/>
        </w:rPr>
        <w:t>，为事业单位按规定提取的专用结余、缴纳所得税和转入非财政拨款结余等。较202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lang w:eastAsia="zh-CN"/>
        </w:rPr>
        <w:t>0万元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w:t>
      </w:r>
      <w:r>
        <w:rPr>
          <w:rFonts w:hint="eastAsia" w:ascii="仿宋_GB2312" w:hAnsi="微软雅黑" w:eastAsia="仿宋_GB2312" w:cs="仿宋_GB2312"/>
          <w:color w:val="000000"/>
          <w:sz w:val="31"/>
          <w:szCs w:val="31"/>
          <w:highlight w:val="none"/>
          <w:shd w:val="clear" w:color="auto" w:fill="FFFFFF"/>
          <w:lang w:eastAsia="zh-CN"/>
        </w:rPr>
        <w:t>0万元</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本部门无结余分配。</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万元，为本年度或以前年度预</w:t>
      </w:r>
      <w:r>
        <w:rPr>
          <w:rFonts w:hint="eastAsia" w:ascii="仿宋" w:hAnsi="仿宋" w:eastAsia="仿宋" w:cs="仿宋"/>
          <w:color w:val="000000" w:themeColor="text1"/>
          <w:sz w:val="32"/>
          <w:szCs w:val="32"/>
          <w:highlight w:val="none"/>
          <w14:textFill>
            <w14:solidFill>
              <w14:schemeClr w14:val="tx1"/>
            </w14:solidFill>
          </w14:textFill>
        </w:rPr>
        <w:t>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本部门无</w:t>
      </w: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环江毛南族自治县水源镇财政所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63.50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87.47</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57.94</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63.14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0.36</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环江毛南族自治县水源镇财政所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77.95</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6</w:t>
      </w:r>
      <w:r>
        <w:rPr>
          <w:rFonts w:hint="eastAsia" w:ascii="仿宋" w:hAnsi="仿宋" w:eastAsia="仿宋" w:cs="仿宋"/>
          <w:sz w:val="32"/>
          <w:u w:color="auto"/>
          <w:lang w:val="en-US" w:eastAsia="zh-CN"/>
        </w:rPr>
        <w:t>3.50</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81.46</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一般公共服务</w:t>
      </w:r>
      <w:r>
        <w:rPr>
          <w:rFonts w:hint="eastAsia" w:ascii="仿宋" w:hAnsi="仿宋" w:eastAsia="仿宋"/>
          <w:sz w:val="32"/>
          <w:szCs w:val="32"/>
          <w:highlight w:val="none"/>
        </w:rPr>
        <w:t>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59.90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54.79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91.47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本部门2022年有人员调出。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54.79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71.47%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本部门工资福利支出、社会保障缴费等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本部门2022年有人员调出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无</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9.63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8.35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86.71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原因是：有人员调出，造成支出减少。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86.71%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有人员调出，造成支出减少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死亡抚恤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2022年无人员死亡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其他社会保障和就业支出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无该项预算和支出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9.63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86.71%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无该项预算和支出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hint="eastAsia" w:ascii="仿宋" w:hAnsi="仿宋" w:eastAsia="仿宋"/>
          <w:sz w:val="32"/>
          <w:szCs w:val="32"/>
          <w:highlight w:val="none"/>
          <w:lang w:eastAsia="zh-CN"/>
        </w:rPr>
        <w:t>0万元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0.36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该项支出在2022年作为项目支出，没有列入年初预算。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其他农林水支出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支付涉农工作中产生的办公费用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该项支出在2022年作为项目支出，没有列入年初预算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支付涉农工作中产生的办公费用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该项支出在2022年作为项目支出，没有列入年初预算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7.22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本部门在职职工住房公积金由单位所在地乡镇府统一申报缴纳。</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77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978"/>
        <w:gridCol w:w="903"/>
        <w:gridCol w:w="732"/>
        <w:gridCol w:w="997"/>
        <w:gridCol w:w="1620"/>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9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3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6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8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9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7.22</w:t>
            </w:r>
          </w:p>
        </w:tc>
        <w:tc>
          <w:tcPr>
            <w:tcW w:w="73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9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6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无</w:t>
            </w:r>
          </w:p>
        </w:tc>
        <w:tc>
          <w:tcPr>
            <w:tcW w:w="16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本部门在职职工住房公积金由单位所在地乡镇府统一申报缴纳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trPr>
        <w:tc>
          <w:tcPr>
            <w:tcW w:w="8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9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7.22</w:t>
            </w:r>
          </w:p>
        </w:tc>
        <w:tc>
          <w:tcPr>
            <w:tcW w:w="73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9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6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无</w:t>
            </w:r>
          </w:p>
        </w:tc>
        <w:tc>
          <w:tcPr>
            <w:tcW w:w="16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本部门在职职工住房公积金由单位所在地乡镇府统一申报缴纳</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环江毛南族自治县水源镇财政所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63.14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60.58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2.56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60.58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87.96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主要原因是：2022年度有人员调出，造成工资支出减少。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21.03万元，30102津贴补贴13.75万元，30103奖金8.34万元，30106伙食补助费0万元，30107绩效工资0万元，30108机关事业单位基本养老保险缴费8.35万元，30110职工基本医疗保险缴费3.48万元，30111公务员医疗补助缴费0万元，30112其他社会保障缴费0.69万元，30113住房公积金0万元，30199其他工资福利支出4.94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2.56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70.72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部分账款未能在年底完成清算。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30201办公费0万元，30205水费0.06万元，30206电费0.31万元，30207邮电费1.00万元，30211差旅费0万元，30215会议费0万元，30216培训费0万元，30226劳务费0万元，30228工会经费1.20万元，30299其他商品和服务支出0万元。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年初预算与年终决算均不存在</w:t>
      </w:r>
      <w:r>
        <w:rPr>
          <w:rFonts w:hint="eastAsia" w:ascii="仿宋" w:hAnsi="仿宋" w:eastAsia="仿宋" w:cs="仿宋"/>
          <w:color w:val="auto"/>
          <w:sz w:val="32"/>
          <w:szCs w:val="32"/>
          <w:highlight w:val="none"/>
        </w:rPr>
        <w:t>对个人和</w:t>
      </w:r>
      <w:r>
        <w:rPr>
          <w:rFonts w:hint="eastAsia" w:ascii="仿宋" w:hAnsi="仿宋" w:eastAsia="仿宋" w:cs="仿宋"/>
          <w:sz w:val="32"/>
          <w:szCs w:val="32"/>
          <w:highlight w:val="none"/>
        </w:rPr>
        <w:t>家庭的补助</w:t>
      </w:r>
      <w:r>
        <w:rPr>
          <w:rFonts w:hint="eastAsia" w:ascii="仿宋" w:hAnsi="仿宋" w:eastAsia="仿宋"/>
          <w:sz w:val="32"/>
          <w:szCs w:val="32"/>
          <w:highlight w:val="none"/>
          <w:lang w:val="en-US" w:eastAsia="zh-CN"/>
        </w:rPr>
        <w:t>支出。</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hint="eastAsia" w:ascii="仿宋" w:hAnsi="仿宋" w:eastAsia="仿宋" w:cs="仿宋"/>
          <w:sz w:val="32"/>
          <w:u w:color="auto"/>
          <w:lang w:eastAsia="zh-CN"/>
        </w:rPr>
        <w:t>0万元</w:t>
      </w:r>
      <w:r>
        <w:rPr>
          <w:rFonts w:ascii="仿宋" w:hAnsi="仿宋" w:eastAsia="仿宋" w:cs="仿宋"/>
          <w:sz w:val="32"/>
          <w:u w:color="auto"/>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年初预算与年终决算均不存在</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u w:color="auto"/>
          <w:lang w:eastAsia="zh-CN"/>
        </w:rPr>
        <w:t>0万元</w:t>
      </w:r>
      <w:r>
        <w:rPr>
          <w:rFonts w:ascii="仿宋" w:hAnsi="仿宋" w:eastAsia="仿宋" w:cs="仿宋"/>
          <w:sz w:val="32"/>
          <w:u w:color="auto"/>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年初预算与年终决算均不存在</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hint="eastAsia" w:ascii="仿宋" w:hAnsi="仿宋" w:eastAsia="仿宋" w:cs="仿宋"/>
          <w:sz w:val="32"/>
          <w:u w:color="auto"/>
          <w:lang w:eastAsia="zh-CN"/>
        </w:rPr>
        <w:t>0万元</w:t>
      </w:r>
      <w:r>
        <w:rPr>
          <w:rFonts w:ascii="仿宋" w:hAnsi="仿宋" w:eastAsia="仿宋" w:cs="仿宋"/>
          <w:sz w:val="32"/>
          <w:u w:color="auto"/>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年初预算与年终决算均不存在</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环江毛南族自治县水源镇财政所</w:t>
      </w:r>
      <w:r>
        <w:rPr>
          <w:rFonts w:hint="eastAsia" w:ascii="仿宋" w:hAnsi="仿宋" w:eastAsia="仿宋" w:cs="仿宋"/>
          <w:sz w:val="32"/>
          <w:szCs w:val="32"/>
          <w:highlight w:val="none"/>
        </w:rPr>
        <w:t>2022年度政府性基金支出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，较2021年度决算数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环江毛南族自治县水源镇财政所</w:t>
      </w:r>
      <w:r>
        <w:rPr>
          <w:rFonts w:hint="eastAsia" w:ascii="仿宋" w:hAnsi="仿宋" w:eastAsia="仿宋" w:cs="仿宋"/>
          <w:sz w:val="32"/>
          <w:szCs w:val="32"/>
          <w:highlight w:val="none"/>
        </w:rPr>
        <w:t>2022年度政府性基金支出年初预算为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，支出决算为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环江毛南族自治县水源镇财政所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环江毛南族自治县水源镇财政所</w:t>
      </w:r>
      <w:r>
        <w:rPr>
          <w:rFonts w:hint="eastAsia" w:ascii="仿宋" w:hAnsi="仿宋" w:eastAsia="仿宋" w:cs="仿宋"/>
          <w:sz w:val="32"/>
          <w:szCs w:val="32"/>
          <w:highlight w:val="none"/>
        </w:rPr>
        <w:t>2022年度国有资本经营预算支出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环江毛南族自治县水源镇财政所</w:t>
      </w:r>
      <w:r>
        <w:rPr>
          <w:rFonts w:hint="eastAsia" w:ascii="仿宋" w:hAnsi="仿宋" w:eastAsia="仿宋" w:cs="仿宋"/>
          <w:sz w:val="32"/>
          <w:szCs w:val="32"/>
          <w:highlight w:val="none"/>
        </w:rPr>
        <w:t>2022 年度国有资本经营预算支出年初预算为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，支出决算为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2" w:name="PO_part3A5B1C1DiffReason1"/>
      <w:r>
        <w:rPr>
          <w:rFonts w:hint="eastAsia" w:ascii="仿宋" w:hAnsi="仿宋" w:eastAsia="仿宋" w:cs="仿宋"/>
          <w:sz w:val="32"/>
          <w:szCs w:val="32"/>
          <w:highlight w:val="none"/>
          <w:lang w:val="en-US" w:eastAsia="zh-CN"/>
        </w:rPr>
        <w:t>环江毛南族自治县水源镇财政所</w:t>
      </w:r>
      <w:r>
        <w:rPr>
          <w:rFonts w:hint="eastAsia" w:ascii="仿宋_GB2312" w:hAnsi="Times New Roman" w:eastAsia="仿宋_GB2312" w:cs="Times New Roman"/>
          <w:color w:val="auto"/>
          <w:sz w:val="32"/>
          <w:szCs w:val="32"/>
          <w:lang w:eastAsia="zh-CN"/>
        </w:rPr>
        <w:t>单位</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bookmarkStart w:id="4" w:name="_GoBack"/>
      <w:bookmarkEnd w:id="4"/>
      <w:r>
        <w:rPr>
          <w:rFonts w:hint="eastAsia" w:ascii="仿宋_GB2312" w:hAnsi="Times New Roman" w:eastAsia="仿宋_GB2312" w:cs="Times New Roman"/>
          <w:color w:val="auto"/>
          <w:sz w:val="32"/>
          <w:szCs w:val="32"/>
          <w:lang w:eastAsia="zh-CN"/>
        </w:rPr>
        <w:t>。</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0万元</w:t>
      </w:r>
      <w:r>
        <w:rPr>
          <w:rFonts w:hint="eastAsia"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环江毛南族自治县水源镇财政所</w:t>
      </w:r>
      <w:r>
        <w:rPr>
          <w:rFonts w:ascii="仿宋_GB2312" w:hAnsi="仿宋_GB2312" w:eastAsia="仿宋_GB2312" w:cs="仿宋_GB2312"/>
          <w:color w:val="auto"/>
          <w:sz w:val="32"/>
          <w:u w:color="auto"/>
        </w:rPr>
        <w:t>没有</w:t>
      </w:r>
      <w:r>
        <w:rPr>
          <w:rFonts w:hint="eastAsia" w:ascii="仿宋" w:hAnsi="仿宋" w:eastAsia="仿宋" w:cs="仿宋"/>
          <w:sz w:val="32"/>
          <w:szCs w:val="32"/>
          <w:highlight w:val="none"/>
        </w:rPr>
        <w:t>“三公”经费</w:t>
      </w:r>
      <w:r>
        <w:rPr>
          <w:rFonts w:hint="eastAsia" w:ascii="仿宋" w:hAnsi="仿宋" w:eastAsia="仿宋" w:cs="仿宋"/>
          <w:sz w:val="32"/>
          <w:szCs w:val="32"/>
          <w:highlight w:val="none"/>
          <w:lang w:val="en-US" w:eastAsia="zh-CN"/>
        </w:rPr>
        <w:t>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highlight w:val="none"/>
          <w:lang w:val="en-US" w:eastAsia="zh-CN"/>
        </w:rPr>
        <w:t>本部门</w:t>
      </w:r>
      <w:r>
        <w:rPr>
          <w:rFonts w:hint="eastAsia" w:ascii="仿宋_GB2312" w:hAnsi="Times New Roman" w:eastAsia="仿宋_GB2312" w:cs="Times New Roman"/>
          <w:color w:val="auto"/>
          <w:sz w:val="32"/>
          <w:szCs w:val="32"/>
          <w:lang w:val="en-US" w:eastAsia="zh-CN"/>
        </w:rPr>
        <w:t>没有</w:t>
      </w:r>
      <w:r>
        <w:rPr>
          <w:rFonts w:hint="eastAsia" w:ascii="仿宋" w:hAnsi="仿宋" w:eastAsia="仿宋" w:cs="仿宋"/>
          <w:sz w:val="32"/>
          <w:szCs w:val="32"/>
          <w:highlight w:val="none"/>
        </w:rPr>
        <w:t>“三公”经费</w:t>
      </w:r>
      <w:r>
        <w:rPr>
          <w:rFonts w:hint="eastAsia" w:ascii="仿宋" w:hAnsi="仿宋" w:eastAsia="仿宋" w:cs="仿宋"/>
          <w:sz w:val="32"/>
          <w:szCs w:val="32"/>
          <w:highlight w:val="none"/>
          <w:lang w:val="en-US" w:eastAsia="zh-CN"/>
        </w:rPr>
        <w:t>的支出。</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auto"/>
          <w:sz w:val="32"/>
          <w:szCs w:val="32"/>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rPr>
        <w:t>。其中：公务用车购置支出</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rPr>
        <w:t>，完成年初预算的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3" w:name="PO_part3A6B2IncReason1"/>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rPr>
        <w:t>，完成年初预算的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部门无公务用车</w:t>
      </w:r>
      <w:r>
        <w:rPr>
          <w:rFonts w:hint="eastAsia" w:ascii="仿宋" w:hAnsi="仿宋" w:eastAsia="仿宋" w:cs="仿宋"/>
          <w:color w:val="auto"/>
          <w:sz w:val="32"/>
          <w:szCs w:val="32"/>
          <w:lang w:val="en-US" w:eastAsia="zh-CN"/>
        </w:rPr>
        <w:t>运行。</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环江毛南族自治县水源镇财政所</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本部门无</w:t>
      </w:r>
      <w:r>
        <w:rPr>
          <w:rFonts w:hint="eastAsia" w:ascii="仿宋" w:hAnsi="仿宋" w:eastAsia="仿宋" w:cs="仿宋"/>
          <w:color w:val="auto"/>
          <w:sz w:val="32"/>
          <w:szCs w:val="32"/>
          <w:lang w:val="en-US" w:eastAsia="zh-CN"/>
        </w:rPr>
        <w:t>公务接待支出。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2.56</w:t>
      </w:r>
      <w:r>
        <w:rPr>
          <w:rFonts w:hint="eastAsia" w:ascii="仿宋" w:hAnsi="仿宋" w:eastAsia="仿宋" w:cs="仿宋"/>
          <w:sz w:val="32"/>
          <w:szCs w:val="32"/>
          <w:highlight w:val="none"/>
          <w:lang w:eastAsia="zh-CN"/>
        </w:rPr>
        <w:t>万元</w:t>
      </w:r>
      <w:r>
        <w:rPr>
          <w:rFonts w:hint="eastAsia" w:ascii="仿宋" w:hAnsi="仿宋" w:eastAsia="仿宋" w:cs="仿宋"/>
          <w:sz w:val="32"/>
          <w:szCs w:val="32"/>
          <w:highlight w:val="none"/>
        </w:rPr>
        <w:t>，比年初预算数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1.06</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29.28</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val="en-US" w:eastAsia="zh-CN"/>
        </w:rPr>
        <w:t>减少2.1</w:t>
      </w:r>
      <w:r>
        <w:rPr>
          <w:rFonts w:hint="eastAsia" w:ascii="仿宋" w:hAnsi="仿宋" w:eastAsia="仿宋" w:cs="仿宋"/>
          <w:sz w:val="32"/>
          <w:szCs w:val="32"/>
          <w:highlight w:val="none"/>
          <w:lang w:eastAsia="zh-CN"/>
        </w:rPr>
        <w:t>万元</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下降45.06</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2022年</w:t>
      </w:r>
      <w:r>
        <w:rPr>
          <w:rFonts w:hint="eastAsia" w:ascii="仿宋" w:hAnsi="仿宋" w:eastAsia="仿宋" w:cs="仿宋"/>
          <w:color w:val="auto"/>
          <w:kern w:val="2"/>
          <w:sz w:val="32"/>
          <w:szCs w:val="32"/>
          <w:highlight w:val="none"/>
          <w:lang w:val="en-US" w:eastAsia="zh-CN" w:bidi="ar"/>
        </w:rPr>
        <w:t>部分账款未能在年底完成清算，且部门</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2022年有人员调出</w:t>
      </w:r>
      <w:r>
        <w:rPr>
          <w:rFonts w:hint="eastAsia" w:ascii="仿宋" w:hAnsi="仿宋" w:eastAsia="仿宋" w:cs="仿宋"/>
          <w:color w:val="auto"/>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宋体" w:cs="仿宋"/>
          <w:sz w:val="32"/>
          <w:szCs w:val="32"/>
          <w:highlight w:val="none"/>
          <w:lang w:val="en-US" w:eastAsia="zh-CN"/>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原因是：本部门无政府采购支出。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6.5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涉农工作经费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6.5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lang w:val="en-US" w:eastAsia="zh-CN"/>
        </w:rPr>
        <w:t>总体评分较高</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本部门不作为一级预算部门，</w:t>
      </w:r>
      <w:r>
        <w:rPr>
          <w:rFonts w:hint="eastAsia" w:ascii="仿宋" w:hAnsi="仿宋" w:eastAsia="仿宋" w:cs="仿宋"/>
          <w:color w:val="auto"/>
          <w:sz w:val="32"/>
          <w:szCs w:val="32"/>
        </w:rPr>
        <w:t>无需开展</w:t>
      </w:r>
      <w:r>
        <w:rPr>
          <w:rFonts w:hint="eastAsia" w:ascii="仿宋" w:hAnsi="仿宋" w:eastAsia="仿宋" w:cs="仿宋"/>
          <w:color w:val="auto"/>
          <w:sz w:val="32"/>
          <w:szCs w:val="32"/>
          <w:lang w:val="en-US" w:eastAsia="zh-CN"/>
        </w:rPr>
        <w:t>部门整体</w:t>
      </w:r>
      <w:r>
        <w:rPr>
          <w:rFonts w:hint="eastAsia" w:ascii="仿宋" w:hAnsi="仿宋" w:eastAsia="仿宋" w:cs="仿宋"/>
          <w:color w:val="auto"/>
          <w:sz w:val="32"/>
          <w:szCs w:val="32"/>
        </w:rPr>
        <w:t>绩效自评</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1-6月涉农工作经费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84.45</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预算执行率不高</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部分工作经费在工作开展时未能及时支付</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提高预算执行率</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对各项经费做到应付尽付</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涉农工作经费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91.20</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预算执行率不高</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部分工作经费在工作开展时未能及时支付</w:t>
      </w:r>
      <w:r>
        <w:rPr>
          <w:rFonts w:hint="eastAsia" w:ascii="仿宋" w:hAnsi="仿宋" w:eastAsia="仿宋" w:cs="仿宋"/>
          <w:color w:val="000000" w:themeColor="text1"/>
          <w:sz w:val="32"/>
          <w:szCs w:val="32"/>
          <w14:textFill>
            <w14:solidFill>
              <w14:schemeClr w14:val="tx1"/>
            </w14:solidFill>
          </w14:textFill>
        </w:rPr>
        <w:t>。下一步改进措施：是</w:t>
      </w:r>
      <w:r>
        <w:rPr>
          <w:rFonts w:hint="eastAsia" w:ascii="仿宋" w:hAnsi="仿宋" w:eastAsia="仿宋" w:cs="仿宋"/>
          <w:color w:val="000000" w:themeColor="text1"/>
          <w:sz w:val="32"/>
          <w:szCs w:val="32"/>
          <w:lang w:val="en-US" w:eastAsia="zh-CN"/>
          <w14:textFill>
            <w14:solidFill>
              <w14:schemeClr w14:val="tx1"/>
            </w14:solidFill>
          </w14:textFill>
        </w:rPr>
        <w:t>提高预算执行率</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对各项经费做到应付尽付</w:t>
      </w:r>
      <w:r>
        <w:rPr>
          <w:rFonts w:hint="eastAsia" w:ascii="仿宋" w:hAnsi="仿宋" w:eastAsia="仿宋" w:cs="仿宋"/>
          <w:color w:val="000000" w:themeColor="text1"/>
          <w:sz w:val="32"/>
          <w:szCs w:val="32"/>
          <w14:textFill>
            <w14:solidFill>
              <w14:schemeClr w14:val="tx1"/>
            </w14:solidFill>
          </w14:textFill>
        </w:rPr>
        <w:t>。</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环江毛南族自治县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环江毛南族自治县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环江毛南族自治县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1ZTRmZDQzZDcyMDZhZDQ5MTA4ZTZkODU4ZjRkNjc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9AC5820"/>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C3A2206"/>
    <w:rsid w:val="1D317259"/>
    <w:rsid w:val="1E664F5B"/>
    <w:rsid w:val="1E9B5860"/>
    <w:rsid w:val="1EB34BE1"/>
    <w:rsid w:val="208F37FB"/>
    <w:rsid w:val="215E639F"/>
    <w:rsid w:val="21AA7D1B"/>
    <w:rsid w:val="21EC3183"/>
    <w:rsid w:val="225E72CD"/>
    <w:rsid w:val="246E2F77"/>
    <w:rsid w:val="254B4E2B"/>
    <w:rsid w:val="283D7C94"/>
    <w:rsid w:val="29480E03"/>
    <w:rsid w:val="2983634D"/>
    <w:rsid w:val="2BB02055"/>
    <w:rsid w:val="2C4042EC"/>
    <w:rsid w:val="2C575A56"/>
    <w:rsid w:val="2F257714"/>
    <w:rsid w:val="2F3275E5"/>
    <w:rsid w:val="30AA08EF"/>
    <w:rsid w:val="30D23D1C"/>
    <w:rsid w:val="31221CF5"/>
    <w:rsid w:val="31400178"/>
    <w:rsid w:val="321E3342"/>
    <w:rsid w:val="327759C8"/>
    <w:rsid w:val="33185FE3"/>
    <w:rsid w:val="34EE2E36"/>
    <w:rsid w:val="36777241"/>
    <w:rsid w:val="37C000F4"/>
    <w:rsid w:val="38A951DB"/>
    <w:rsid w:val="38B31605"/>
    <w:rsid w:val="39003F4F"/>
    <w:rsid w:val="3C07002B"/>
    <w:rsid w:val="3C531847"/>
    <w:rsid w:val="3CB47489"/>
    <w:rsid w:val="3D0D152A"/>
    <w:rsid w:val="3DF62756"/>
    <w:rsid w:val="3F1B7587"/>
    <w:rsid w:val="41D0009B"/>
    <w:rsid w:val="41E57B4F"/>
    <w:rsid w:val="432F26F6"/>
    <w:rsid w:val="43880F63"/>
    <w:rsid w:val="441C5A6F"/>
    <w:rsid w:val="44C44FCC"/>
    <w:rsid w:val="44CC7369"/>
    <w:rsid w:val="457F5108"/>
    <w:rsid w:val="45ED2F1B"/>
    <w:rsid w:val="46951B6B"/>
    <w:rsid w:val="49A34401"/>
    <w:rsid w:val="4A3E30AB"/>
    <w:rsid w:val="4AC14DAC"/>
    <w:rsid w:val="4D02321A"/>
    <w:rsid w:val="4D154C85"/>
    <w:rsid w:val="4EC8553A"/>
    <w:rsid w:val="508F4E24"/>
    <w:rsid w:val="51461E90"/>
    <w:rsid w:val="51463753"/>
    <w:rsid w:val="5179351E"/>
    <w:rsid w:val="52553A93"/>
    <w:rsid w:val="53521F8B"/>
    <w:rsid w:val="53E22F47"/>
    <w:rsid w:val="54522FF8"/>
    <w:rsid w:val="55450629"/>
    <w:rsid w:val="56692963"/>
    <w:rsid w:val="568B0F48"/>
    <w:rsid w:val="5786217B"/>
    <w:rsid w:val="59337A15"/>
    <w:rsid w:val="59810274"/>
    <w:rsid w:val="5CA96A00"/>
    <w:rsid w:val="5CF730BC"/>
    <w:rsid w:val="5E5F0DCE"/>
    <w:rsid w:val="5FA265CB"/>
    <w:rsid w:val="5FA40A7B"/>
    <w:rsid w:val="5FD56D29"/>
    <w:rsid w:val="5FEC7F3F"/>
    <w:rsid w:val="60F74BC3"/>
    <w:rsid w:val="617D3BF8"/>
    <w:rsid w:val="61841F6A"/>
    <w:rsid w:val="623007A9"/>
    <w:rsid w:val="637D7558"/>
    <w:rsid w:val="644F19AC"/>
    <w:rsid w:val="65AA4920"/>
    <w:rsid w:val="67694F1E"/>
    <w:rsid w:val="691B0EFE"/>
    <w:rsid w:val="69597934"/>
    <w:rsid w:val="6AD273E5"/>
    <w:rsid w:val="6AE461D0"/>
    <w:rsid w:val="6B964DDC"/>
    <w:rsid w:val="6C0A1872"/>
    <w:rsid w:val="6C783074"/>
    <w:rsid w:val="6D6D0F72"/>
    <w:rsid w:val="6D9E65C6"/>
    <w:rsid w:val="6DA81947"/>
    <w:rsid w:val="6EB66DE2"/>
    <w:rsid w:val="6ED3075F"/>
    <w:rsid w:val="6F2A2D4B"/>
    <w:rsid w:val="6F8A0C1E"/>
    <w:rsid w:val="703F45D4"/>
    <w:rsid w:val="70B72B8E"/>
    <w:rsid w:val="715D6546"/>
    <w:rsid w:val="71BE069E"/>
    <w:rsid w:val="73486906"/>
    <w:rsid w:val="73953409"/>
    <w:rsid w:val="73E069A3"/>
    <w:rsid w:val="7703472B"/>
    <w:rsid w:val="78104AA8"/>
    <w:rsid w:val="78E257C5"/>
    <w:rsid w:val="794B35BE"/>
    <w:rsid w:val="7B0A3A31"/>
    <w:rsid w:val="7B3360ED"/>
    <w:rsid w:val="7B5319F3"/>
    <w:rsid w:val="7BDF037E"/>
    <w:rsid w:val="7BF50948"/>
    <w:rsid w:val="7C6E3AD2"/>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dPt>
          <c:dLbls>
            <c:dLbl>
              <c:idx val="1"/>
              <c:layout>
                <c:manualLayout>
                  <c:x val="-0.138810339217319"/>
                  <c:y val="0.06649309509974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864965439639325"/>
                  <c:y val="0.37466270914890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60685339217319"/>
                  <c:y val="0.08649309509974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336896607826811"/>
                  <c:y val="0.22899309509974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一般公共预算财政拨款收入</c:v>
                </c:pt>
                <c:pt idx="1">
                  <c:v>其他收入</c:v>
                </c:pt>
                <c:pt idx="2">
                  <c:v>国有资本经营预算财政拨款收入</c:v>
                </c:pt>
                <c:pt idx="3">
                  <c:v>事业收入</c:v>
                </c:pt>
                <c:pt idx="4">
                  <c:v>经营收入</c:v>
                </c:pt>
              </c:strCache>
            </c:strRef>
          </c:cat>
          <c:val>
            <c:numRef>
              <c:f>Sheet1!$B$2:$B$6</c:f>
              <c:numCache>
                <c:formatCode>General</c:formatCode>
                <c:ptCount val="5"/>
                <c:pt idx="0">
                  <c:v>63.5</c:v>
                </c:pt>
                <c:pt idx="1">
                  <c:v>0</c:v>
                </c:pt>
                <c:pt idx="2">
                  <c:v>0</c:v>
                </c:pt>
                <c:pt idx="3">
                  <c:v>0</c:v>
                </c:pt>
                <c:pt idx="4">
                  <c:v>0</c:v>
                </c:pt>
              </c:numCache>
            </c:numRef>
          </c:val>
        </c:ser>
        <c:dLbls>
          <c:showLegendKey val="0"/>
          <c:showVal val="1"/>
          <c:showCatName val="0"/>
          <c:showSerName val="0"/>
          <c:showPercent val="0"/>
          <c:showBubbleSize val="0"/>
          <c:showLeaderLines val="1"/>
        </c:dLbls>
        <c:firstSliceAng val="36"/>
      </c:pieChart>
      <c:spPr>
        <a:noFill/>
        <a:ln>
          <a:noFill/>
        </a:ln>
        <a:effectLst/>
      </c:spPr>
    </c:plotArea>
    <c:legend>
      <c:legendPos val="t"/>
      <c:layout>
        <c:manualLayout>
          <c:xMode val="edge"/>
          <c:yMode val="edge"/>
          <c:x val="0.0281875"/>
          <c:y val="0.092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61.13</c:v>
                </c:pt>
                <c:pt idx="1">
                  <c:v>9.46</c:v>
                </c:pt>
                <c:pt idx="2">
                  <c:v>80.38</c:v>
                </c:pt>
                <c:pt idx="3">
                  <c:v>0</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农林水支出</c:v>
                </c:pt>
                <c:pt idx="3">
                  <c:v>住房保障支出</c:v>
                </c:pt>
              </c:strCache>
            </c:strRef>
          </c:cat>
          <c:val>
            <c:numRef>
              <c:f>Sheet1!$C$2:$C$5</c:f>
              <c:numCache>
                <c:formatCode>General</c:formatCode>
                <c:ptCount val="4"/>
                <c:pt idx="0">
                  <c:v>59.9</c:v>
                </c:pt>
                <c:pt idx="1">
                  <c:v>8.35</c:v>
                </c:pt>
                <c:pt idx="2">
                  <c:v>0.36</c:v>
                </c:pt>
                <c:pt idx="3">
                  <c:v>0</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manualLayout>
          <c:xMode val="edge"/>
          <c:yMode val="edge"/>
          <c:x val="0.39525"/>
          <c:y val="0.904411764705882"/>
          <c:w val="0.2045"/>
          <c:h val="0.070378151260504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一般公共服务支出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一般公共服务支出</c:v>
                </c:pt>
              </c:strCache>
            </c:strRef>
          </c:tx>
          <c:spPr>
            <a:solidFill>
              <a:schemeClr val="accent1"/>
            </a:solidFill>
            <a:ln>
              <a:noFill/>
            </a:ln>
            <a:effectLst/>
          </c:spPr>
          <c:invertIfNegative val="0"/>
          <c:dLbls>
            <c:delete val="1"/>
          </c:dLbls>
          <c:cat>
            <c:numRef>
              <c:f>Sheet1!$A$2:$A$3</c:f>
              <c:numCache>
                <c:formatCode>General</c:formatCode>
                <c:ptCount val="2"/>
                <c:pt idx="0">
                  <c:v>2010601</c:v>
                </c:pt>
                <c:pt idx="1">
                  <c:v>2012999</c:v>
                </c:pt>
              </c:numCache>
            </c:numRef>
          </c:cat>
          <c:val>
            <c:numRef>
              <c:f>Sheet1!$B$2:$B$3</c:f>
              <c:numCache>
                <c:formatCode>General</c:formatCode>
                <c:ptCount val="2"/>
                <c:pt idx="0">
                  <c:v>54.79</c:v>
                </c:pt>
                <c:pt idx="1">
                  <c:v>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年初预算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Sheet1!$A$2:$A$4</c:f>
              <c:numCache>
                <c:formatCode>General</c:formatCode>
                <c:ptCount val="3"/>
                <c:pt idx="0">
                  <c:v>2080505</c:v>
                </c:pt>
                <c:pt idx="1">
                  <c:v>2080801</c:v>
                </c:pt>
                <c:pt idx="2">
                  <c:v>2089999</c:v>
                </c:pt>
              </c:numCache>
            </c:numRef>
          </c:cat>
          <c:val>
            <c:numRef>
              <c:f>Sheet1!$B$2:$B$4</c:f>
              <c:numCache>
                <c:formatCode>General</c:formatCode>
                <c:ptCount val="3"/>
                <c:pt idx="0">
                  <c:v>9.63</c:v>
                </c:pt>
                <c:pt idx="1">
                  <c:v>0</c:v>
                </c:pt>
                <c:pt idx="2">
                  <c:v>0</c:v>
                </c:pt>
              </c:numCache>
            </c:numRef>
          </c:val>
        </c:ser>
        <c:ser>
          <c:idx val="1"/>
          <c:order val="1"/>
          <c:tx>
            <c:strRef>
              <c:f>Sheet1!$C$1</c:f>
              <c:strCache>
                <c:ptCount val="1"/>
                <c:pt idx="0">
                  <c:v>年终决算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Sheet1!$A$2:$A$4</c:f>
              <c:numCache>
                <c:formatCode>General</c:formatCode>
                <c:ptCount val="3"/>
                <c:pt idx="0">
                  <c:v>2080505</c:v>
                </c:pt>
                <c:pt idx="1">
                  <c:v>2080801</c:v>
                </c:pt>
                <c:pt idx="2">
                  <c:v>2089999</c:v>
                </c:pt>
              </c:numCache>
            </c:numRef>
          </c:cat>
          <c:val>
            <c:numRef>
              <c:f>Sheet1!$C$2:$C$4</c:f>
              <c:numCache>
                <c:formatCode>General</c:formatCode>
                <c:ptCount val="3"/>
                <c:pt idx="0">
                  <c:v>8.35</c:v>
                </c:pt>
                <c:pt idx="1">
                  <c:v>0</c:v>
                </c:pt>
                <c:pt idx="2">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年初预算</c:v>
                </c:pt>
              </c:strCache>
            </c:strRef>
          </c:tx>
          <c:spPr>
            <a:solidFill>
              <a:schemeClr val="accent1"/>
            </a:solidFill>
            <a:ln>
              <a:noFill/>
            </a:ln>
            <a:effectLst/>
          </c:spPr>
          <c:invertIfNegative val="0"/>
          <c:dLbls>
            <c:delete val="1"/>
          </c:dLbls>
          <c:cat>
            <c:numRef>
              <c:f>Sheet1!$A$2</c:f>
              <c:numCache>
                <c:formatCode>General</c:formatCode>
                <c:ptCount val="1"/>
                <c:pt idx="0">
                  <c:v>2130599</c:v>
                </c:pt>
              </c:numCache>
            </c:numRef>
          </c:cat>
          <c:val>
            <c:numRef>
              <c:f>Sheet1!$B$2</c:f>
              <c:numCache>
                <c:formatCode>General</c:formatCode>
                <c:ptCount val="1"/>
                <c:pt idx="0">
                  <c:v>0</c:v>
                </c:pt>
              </c:numCache>
            </c:numRef>
          </c:val>
        </c:ser>
        <c:ser>
          <c:idx val="1"/>
          <c:order val="1"/>
          <c:tx>
            <c:strRef>
              <c:f>Sheet1!$C$1</c:f>
              <c:strCache>
                <c:ptCount val="1"/>
                <c:pt idx="0">
                  <c:v>年终决算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c:f>
              <c:numCache>
                <c:formatCode>General</c:formatCode>
                <c:ptCount val="1"/>
                <c:pt idx="0">
                  <c:v>2130599</c:v>
                </c:pt>
              </c:numCache>
            </c:numRef>
          </c:cat>
          <c:val>
            <c:numRef>
              <c:f>Sheet1!$C$2</c:f>
              <c:numCache>
                <c:formatCode>General</c:formatCode>
                <c:ptCount val="1"/>
                <c:pt idx="0">
                  <c:v>0.36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年初预算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c:f>
              <c:numCache>
                <c:formatCode>General</c:formatCode>
                <c:ptCount val="1"/>
                <c:pt idx="0">
                  <c:v>2210201</c:v>
                </c:pt>
              </c:numCache>
            </c:numRef>
          </c:cat>
          <c:val>
            <c:numRef>
              <c:f>Sheet1!$B$2</c:f>
              <c:numCache>
                <c:formatCode>General</c:formatCode>
                <c:ptCount val="1"/>
                <c:pt idx="0">
                  <c:v>7.22</c:v>
                </c:pt>
              </c:numCache>
            </c:numRef>
          </c:val>
        </c:ser>
        <c:ser>
          <c:idx val="1"/>
          <c:order val="1"/>
          <c:tx>
            <c:strRef>
              <c:f>Sheet1!$C$1</c:f>
              <c:strCache>
                <c:ptCount val="1"/>
                <c:pt idx="0">
                  <c:v>年终决算</c:v>
                </c:pt>
              </c:strCache>
            </c:strRef>
          </c:tx>
          <c:invertIfNegative val="0"/>
          <c:dLbls>
            <c:delete val="1"/>
          </c:dLbls>
          <c:cat>
            <c:numRef>
              <c:f>Sheet1!$A$2</c:f>
              <c:numCache>
                <c:formatCode>General</c:formatCode>
                <c:ptCount val="1"/>
                <c:pt idx="0">
                  <c:v>2210201</c:v>
                </c:pt>
              </c:numCache>
            </c:numRef>
          </c:cat>
          <c:val>
            <c:numRef>
              <c:f>Sheet1!$C$2</c:f>
              <c:numCache>
                <c:formatCode>General</c:formatCode>
                <c:ptCount val="1"/>
                <c:pt idx="0">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manualLayout>
          <c:xMode val="edge"/>
          <c:yMode val="edge"/>
          <c:x val="0.425925925925926"/>
          <c:y val="0.91054502369668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Sheet1!$A$2:$A$8</c:f>
              <c:strCache>
                <c:ptCount val="7"/>
                <c:pt idx="0">
                  <c:v>30101基本工资</c:v>
                </c:pt>
                <c:pt idx="1">
                  <c:v>30102津贴补贴</c:v>
                </c:pt>
                <c:pt idx="2">
                  <c:v>30103奖金</c:v>
                </c:pt>
                <c:pt idx="3">
                  <c:v>30108机关事业单位基本养老保险缴费</c:v>
                </c:pt>
                <c:pt idx="4">
                  <c:v>30110职工基本医疗保险缴费</c:v>
                </c:pt>
                <c:pt idx="5">
                  <c:v>30112其他社会保障缴费</c:v>
                </c:pt>
                <c:pt idx="6">
                  <c:v>30199其他工资福利支出</c:v>
                </c:pt>
              </c:strCache>
            </c:strRef>
          </c:cat>
          <c:val>
            <c:numRef>
              <c:f>Sheet1!$B$2:$B$8</c:f>
              <c:numCache>
                <c:formatCode>General</c:formatCode>
                <c:ptCount val="7"/>
                <c:pt idx="0">
                  <c:v>21.03</c:v>
                </c:pt>
                <c:pt idx="1">
                  <c:v>13.75</c:v>
                </c:pt>
                <c:pt idx="2">
                  <c:v>8.34</c:v>
                </c:pt>
                <c:pt idx="3">
                  <c:v>8.35</c:v>
                </c:pt>
                <c:pt idx="4">
                  <c:v>3.48</c:v>
                </c:pt>
                <c:pt idx="5">
                  <c:v>0.69</c:v>
                </c:pt>
                <c:pt idx="6">
                  <c:v>4.94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Sheet1!$A$2:$A$5</c:f>
              <c:strCache>
                <c:ptCount val="4"/>
                <c:pt idx="0">
                  <c:v>30205水费</c:v>
                </c:pt>
                <c:pt idx="1">
                  <c:v>30206电费</c:v>
                </c:pt>
                <c:pt idx="2">
                  <c:v>30207邮电费</c:v>
                </c:pt>
                <c:pt idx="3">
                  <c:v>30228工会经费</c:v>
                </c:pt>
              </c:strCache>
            </c:strRef>
          </c:cat>
          <c:val>
            <c:numRef>
              <c:f>Sheet1!$B$2:$B$5</c:f>
              <c:numCache>
                <c:formatCode>General</c:formatCode>
                <c:ptCount val="4"/>
                <c:pt idx="0">
                  <c:v>0.06</c:v>
                </c:pt>
                <c:pt idx="1">
                  <c:v>0.31</c:v>
                </c:pt>
                <c:pt idx="2" c:formatCode="0.00_ ">
                  <c:v>1</c:v>
                </c:pt>
                <c:pt idx="3" c:formatCode="0.00_ ">
                  <c:v>1.2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manualLayout>
          <c:layoutTarget val="inner"/>
          <c:xMode val="edge"/>
          <c:yMode val="edge"/>
          <c:x val="0.0613878246062154"/>
          <c:y val="0.169431279620853"/>
          <c:w val="0.895683022686188"/>
          <c:h val="0.59881516587677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2023-11-23T09:19:20Z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06CC41E776AE4B18A18642A3C1F0859B</vt:lpwstr>
  </property>
</Properties>
</file>