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48"/>
          <w:szCs w:val="48"/>
          <w:highlight w:val="none"/>
          <w:lang w:val="en-US" w:eastAsia="zh-CN"/>
        </w:rPr>
        <w:t>环江毛南族自治县华山林场</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jc w:val="center"/>
        <w:rPr>
          <w:rFonts w:hint="eastAsia" w:ascii="黑体" w:hAnsi="黑体" w:eastAsia="黑体" w:cs="黑体"/>
          <w:b/>
          <w:bCs/>
          <w:sz w:val="36"/>
          <w:szCs w:val="36"/>
          <w:highlight w:val="none"/>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w:t>
      </w:r>
      <w:r>
        <w:rPr>
          <w:rFonts w:hint="eastAsia" w:ascii="黑体" w:hAnsi="黑体" w:eastAsia="黑体" w:cs="黑体"/>
          <w:sz w:val="32"/>
          <w:u w:color="auto"/>
          <w:lang w:val="en-US" w:eastAsia="zh-CN"/>
        </w:rPr>
        <w:t>华山林场</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500" w:lineRule="exact"/>
        <w:jc w:val="both"/>
        <w:textAlignment w:val="auto"/>
        <w:rPr>
          <w:rFonts w:ascii="黑体" w:hAnsi="黑体" w:eastAsia="黑体" w:cs="黑体"/>
          <w:w w:val="90"/>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w w:val="90"/>
          <w:sz w:val="32"/>
          <w:szCs w:val="32"/>
          <w:highlight w:val="none"/>
          <w:lang w:val="en-US" w:eastAsia="zh-CN"/>
        </w:rPr>
        <w:t>环江毛南族自治县华山林场</w:t>
      </w:r>
      <w:r>
        <w:rPr>
          <w:rFonts w:hint="eastAsia" w:ascii="黑体" w:hAnsi="黑体" w:eastAsia="黑体" w:cs="黑体"/>
          <w:w w:val="90"/>
          <w:sz w:val="32"/>
          <w:szCs w:val="32"/>
          <w:highlight w:val="none"/>
        </w:rPr>
        <w:t>2022年度部门决算报表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w w:val="80"/>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w w:val="80"/>
          <w:sz w:val="32"/>
          <w:szCs w:val="32"/>
          <w:highlight w:val="none"/>
          <w:lang w:val="en-US" w:eastAsia="zh-CN"/>
        </w:rPr>
        <w:t>环江毛南族自治县华山林场</w:t>
      </w:r>
      <w:r>
        <w:rPr>
          <w:rFonts w:hint="eastAsia" w:ascii="黑体" w:hAnsi="黑体" w:eastAsia="黑体" w:cs="黑体"/>
          <w:w w:val="80"/>
          <w:sz w:val="32"/>
          <w:szCs w:val="32"/>
          <w:highlight w:val="none"/>
        </w:rPr>
        <w:t>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50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center"/>
        <w:rPr>
          <w:rFonts w:hint="eastAsia" w:ascii="黑体" w:hAnsi="黑体" w:eastAsia="黑体" w:cs="黑体"/>
          <w:b/>
          <w:bCs/>
          <w:sz w:val="32"/>
          <w:szCs w:val="32"/>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w:t>
      </w:r>
      <w:r>
        <w:rPr>
          <w:rFonts w:hint="eastAsia" w:ascii="黑体" w:hAnsi="黑体" w:eastAsia="黑体" w:cs="黑体"/>
          <w:b/>
          <w:sz w:val="32"/>
          <w:u w:color="auto"/>
          <w:lang w:val="en-US" w:eastAsia="zh-CN"/>
        </w:rPr>
        <w:t>华山林场</w:t>
      </w:r>
      <w:r>
        <w:rPr>
          <w:rFonts w:hint="eastAsia" w:ascii="黑体" w:hAnsi="黑体" w:eastAsia="黑体" w:cs="黑体"/>
          <w:b/>
          <w:bCs/>
          <w:sz w:val="32"/>
          <w:szCs w:val="32"/>
          <w:highlight w:val="none"/>
        </w:rPr>
        <w:t>概况</w:t>
      </w:r>
    </w:p>
    <w:p>
      <w:pPr>
        <w:keepNext w:val="0"/>
        <w:keepLines w:val="0"/>
        <w:pageBreakBefore w:val="0"/>
        <w:kinsoku/>
        <w:wordWrap/>
        <w:overflowPunct/>
        <w:topLinePunct w:val="0"/>
        <w:autoSpaceDN/>
        <w:bidi w:val="0"/>
        <w:adjustRightInd/>
        <w:snapToGrid/>
        <w:spacing w:beforeAutospacing="0" w:afterAutospacing="0" w:line="5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华山林场以国有林场改革为契机，将全面贯彻落实中央、自治区国有林场改革文件精神，按照“五位一体”和生态建设要求，围绕“保护生态、保障职工生活”两大目标，深入实施生态建设发展战略，推动林场发展新模式，实现管护方式创新和监管体制创新。主要职能有：</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1、负责贯彻执行国家有关林业方针政策和法律法规，保护培育森林资源，维护国家生态安全。</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2、负责制定林场中长期发展规划和年度计划并组织实施。开展资源调查、林业统计、林业资产核算和森林资源档案管理工作。</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3、负责管护区域内的森林资源培育保护、野生动植物资源保护、林业有害生物防治工作。</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4、负责管护区域内的森林防火宣传及森林火灾扑救工作，确保国有森林资源不受损失。</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5、依据国家和自治区相关管理规定，做好辖区内重点公益林管理工作。</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6、负责本林场森林资源保护管理情况的考核。负责林场社会事务管理工作，确保林区社会安全稳定。</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fill="FFFFFF"/>
        </w:rPr>
        <w:t>7、承办县委、县政府及上级主管部门交办的其他事项。</w:t>
      </w:r>
    </w:p>
    <w:p>
      <w:pPr>
        <w:keepNext w:val="0"/>
        <w:keepLines w:val="0"/>
        <w:pageBreakBefore w:val="0"/>
        <w:kinsoku/>
        <w:wordWrap/>
        <w:overflowPunct/>
        <w:topLinePunct w:val="0"/>
        <w:autoSpaceDN/>
        <w:bidi w:val="0"/>
        <w:adjustRightInd/>
        <w:snapToGrid/>
        <w:spacing w:beforeAutospacing="0" w:afterAutospacing="0" w:line="5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b w:val="0"/>
          <w:bCs w:val="0"/>
          <w:sz w:val="32"/>
          <w:szCs w:val="32"/>
          <w:highlight w:val="none"/>
          <w:lang w:val="en-US" w:eastAsia="zh-CN"/>
        </w:rPr>
        <w:t>环江毛南族自治县</w:t>
      </w:r>
      <w:r>
        <w:rPr>
          <w:rFonts w:hint="eastAsia" w:ascii="黑体" w:hAnsi="黑体" w:eastAsia="黑体" w:cs="黑体"/>
          <w:sz w:val="32"/>
          <w:szCs w:val="32"/>
          <w:highlight w:val="none"/>
          <w:lang w:val="en-US" w:eastAsia="zh-CN"/>
        </w:rPr>
        <w:t>华山林场</w:t>
      </w:r>
      <w:r>
        <w:rPr>
          <w:rFonts w:hint="eastAsia" w:ascii="黑体" w:hAnsi="黑体" w:eastAsia="黑体" w:cs="黑体"/>
          <w:sz w:val="32"/>
          <w:szCs w:val="32"/>
          <w:highlight w:val="none"/>
        </w:rPr>
        <w:t>决算单位构成</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ascii="仿宋_GB2312" w:hAnsi="微软雅黑" w:eastAsia="仿宋_GB2312" w:cs="仿宋_GB2312"/>
          <w:color w:val="333333"/>
          <w:sz w:val="32"/>
          <w:szCs w:val="32"/>
          <w:shd w:val="clear" w:fill="FFFFFF"/>
        </w:rPr>
      </w:pPr>
      <w:r>
        <w:rPr>
          <w:rFonts w:ascii="仿宋_GB2312" w:hAnsi="微软雅黑" w:eastAsia="仿宋_GB2312" w:cs="仿宋_GB2312"/>
          <w:color w:val="333333"/>
          <w:sz w:val="32"/>
          <w:szCs w:val="32"/>
          <w:shd w:val="clear" w:fill="FFFFFF"/>
        </w:rPr>
        <w:t>华山林场内设机构有办公室、营林生产股、森</w:t>
      </w:r>
      <w:r>
        <w:rPr>
          <w:rFonts w:hint="eastAsia" w:ascii="仿宋_GB2312" w:hAnsi="微软雅黑" w:eastAsia="仿宋_GB2312" w:cs="仿宋_GB2312"/>
          <w:color w:val="333333"/>
          <w:sz w:val="32"/>
          <w:szCs w:val="32"/>
          <w:shd w:val="clear" w:fill="FFFFFF"/>
          <w:lang w:val="en-US" w:eastAsia="zh-CN"/>
        </w:rPr>
        <w:t>林病虫害防治管理</w:t>
      </w:r>
      <w:r>
        <w:rPr>
          <w:rFonts w:ascii="仿宋_GB2312" w:hAnsi="微软雅黑" w:eastAsia="仿宋_GB2312" w:cs="仿宋_GB2312"/>
          <w:color w:val="333333"/>
          <w:sz w:val="32"/>
          <w:szCs w:val="32"/>
          <w:shd w:val="clear" w:fill="FFFFFF"/>
        </w:rPr>
        <w:t>股、林政管理股、生态公益林管理股、</w:t>
      </w:r>
      <w:r>
        <w:rPr>
          <w:rFonts w:hint="eastAsia" w:ascii="仿宋_GB2312" w:hAnsi="微软雅黑" w:eastAsia="仿宋_GB2312" w:cs="仿宋_GB2312"/>
          <w:color w:val="333333"/>
          <w:sz w:val="32"/>
          <w:szCs w:val="32"/>
          <w:shd w:val="clear" w:fill="FFFFFF"/>
          <w:lang w:val="en-US" w:eastAsia="zh-CN"/>
        </w:rPr>
        <w:t>林下经济</w:t>
      </w:r>
      <w:r>
        <w:rPr>
          <w:rFonts w:ascii="仿宋_GB2312" w:hAnsi="微软雅黑" w:eastAsia="仿宋_GB2312" w:cs="仿宋_GB2312"/>
          <w:color w:val="333333"/>
          <w:sz w:val="32"/>
          <w:szCs w:val="32"/>
          <w:shd w:val="clear" w:fill="FFFFFF"/>
        </w:rPr>
        <w:t>科技应用与推广管理股、防火办公室、华山分场、廖洞分场、北山分场、大沙坡分场、雅龙分场、久仁分场、城皇分场、后洞分场。</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ascii="仿宋_GB2312" w:hAnsi="微软雅黑" w:eastAsia="仿宋_GB2312" w:cs="仿宋_GB2312"/>
          <w:color w:val="333333"/>
          <w:sz w:val="32"/>
          <w:szCs w:val="32"/>
          <w:shd w:val="clear" w:fill="FFFFFF"/>
        </w:rPr>
      </w:pP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ascii="仿宋_GB2312" w:hAnsi="微软雅黑" w:eastAsia="仿宋_GB2312" w:cs="仿宋_GB2312"/>
          <w:color w:val="333333"/>
          <w:sz w:val="31"/>
          <w:szCs w:val="31"/>
          <w:shd w:val="clear" w:fill="FFFFFF"/>
        </w:rPr>
      </w:pPr>
    </w:p>
    <w:tbl>
      <w:tblPr>
        <w:tblStyle w:val="6"/>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1"/>
        <w:gridCol w:w="1737"/>
        <w:gridCol w:w="1782"/>
        <w:gridCol w:w="1528"/>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1635" w:type="dxa"/>
            <w:tcBorders>
              <w:top w:val="nil"/>
              <w:left w:val="nil"/>
              <w:bottom w:val="single" w:color="auto" w:sz="4" w:space="0"/>
              <w:right w:val="nil"/>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740" w:type="dxa"/>
            <w:tcBorders>
              <w:top w:val="nil"/>
              <w:left w:val="nil"/>
              <w:bottom w:val="single" w:color="auto" w:sz="4" w:space="0"/>
              <w:right w:val="nil"/>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785" w:type="dxa"/>
            <w:tcBorders>
              <w:top w:val="nil"/>
              <w:left w:val="nil"/>
              <w:bottom w:val="single" w:color="auto" w:sz="4" w:space="0"/>
              <w:right w:val="nil"/>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530" w:type="dxa"/>
            <w:tcBorders>
              <w:top w:val="nil"/>
              <w:left w:val="nil"/>
              <w:bottom w:val="single" w:color="auto" w:sz="4" w:space="0"/>
              <w:right w:val="nil"/>
            </w:tcBorders>
            <w:shd w:val="clear" w:color="auto" w:fill="auto"/>
            <w:tcMar>
              <w:bottom w:w="0" w:type="dxa"/>
            </w:tcMar>
            <w:vAlign w:val="center"/>
          </w:tcPr>
          <w:p>
            <w:pPr>
              <w:pStyle w:val="5"/>
              <w:keepNext w:val="0"/>
              <w:keepLines w:val="0"/>
              <w:widowControl/>
              <w:suppressLineNumbers w:val="0"/>
              <w:spacing w:before="0" w:after="0"/>
              <w:ind w:left="0" w:right="0"/>
              <w:textAlignment w:val="center"/>
              <w:rPr>
                <w:rFonts w:hint="default"/>
                <w:color w:val="666666"/>
              </w:rPr>
            </w:pPr>
            <w:r>
              <w:rPr>
                <w:rFonts w:hint="eastAsia" w:ascii="宋体" w:hAnsi="宋体" w:eastAsia="宋体" w:cs="宋体"/>
                <w:color w:val="333333"/>
                <w:sz w:val="22"/>
                <w:szCs w:val="22"/>
              </w:rPr>
              <w:t>单位：人</w:t>
            </w:r>
          </w:p>
        </w:tc>
        <w:tc>
          <w:tcPr>
            <w:tcW w:w="1695" w:type="dxa"/>
            <w:tcBorders>
              <w:top w:val="nil"/>
              <w:left w:val="nil"/>
              <w:bottom w:val="single" w:color="auto" w:sz="4" w:space="0"/>
              <w:right w:val="nil"/>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635" w:type="dxa"/>
            <w:vMerge w:val="restart"/>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项目</w:t>
            </w:r>
          </w:p>
        </w:tc>
        <w:tc>
          <w:tcPr>
            <w:tcW w:w="1740" w:type="dxa"/>
            <w:vMerge w:val="restart"/>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合计</w:t>
            </w:r>
          </w:p>
        </w:tc>
        <w:tc>
          <w:tcPr>
            <w:tcW w:w="4995" w:type="dxa"/>
            <w:gridSpan w:val="3"/>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财政拨款事业单位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635" w:type="dxa"/>
            <w:vMerge w:val="continue"/>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18"/>
                <w:szCs w:val="18"/>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suppressLineNumbers w:val="0"/>
              <w:spacing w:before="0" w:beforeAutospacing="0" w:after="0" w:afterAutospacing="0"/>
              <w:ind w:left="0" w:right="0"/>
              <w:rPr>
                <w:rFonts w:hint="eastAsia" w:ascii="微软雅黑" w:hAnsi="微软雅黑" w:eastAsia="微软雅黑" w:cs="微软雅黑"/>
                <w:sz w:val="18"/>
                <w:szCs w:val="18"/>
              </w:rPr>
            </w:pP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事业专技</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事业工勤</w:t>
            </w: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事业管理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63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编制数</w:t>
            </w:r>
          </w:p>
        </w:tc>
        <w:tc>
          <w:tcPr>
            <w:tcW w:w="174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eastAsia" w:eastAsia="宋体"/>
                <w:color w:val="666666"/>
                <w:lang w:eastAsia="zh-CN"/>
              </w:rPr>
            </w:pPr>
            <w:r>
              <w:rPr>
                <w:rFonts w:hint="eastAsia" w:ascii="宋体" w:hAnsi="宋体" w:eastAsia="宋体" w:cs="宋体"/>
                <w:color w:val="333333"/>
                <w:sz w:val="22"/>
                <w:szCs w:val="22"/>
              </w:rPr>
              <w:t>11</w:t>
            </w:r>
            <w:r>
              <w:rPr>
                <w:rFonts w:hint="eastAsia" w:ascii="宋体" w:hAnsi="宋体" w:eastAsia="宋体" w:cs="宋体"/>
                <w:color w:val="333333"/>
                <w:sz w:val="22"/>
                <w:szCs w:val="22"/>
                <w:lang w:val="en-US" w:eastAsia="zh-CN"/>
              </w:rPr>
              <w:t>1</w:t>
            </w: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eastAsiaTheme="minorEastAsia"/>
                <w:color w:val="666666"/>
                <w:lang w:val="en-US" w:eastAsia="zh-CN"/>
              </w:rPr>
            </w:pPr>
            <w:r>
              <w:rPr>
                <w:rFonts w:hint="eastAsia" w:ascii="宋体" w:hAnsi="宋体" w:eastAsia="宋体" w:cs="宋体"/>
                <w:color w:val="333333"/>
                <w:sz w:val="22"/>
                <w:szCs w:val="22"/>
                <w:lang w:val="en-US" w:eastAsia="zh-CN"/>
              </w:rPr>
              <w:t>70</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eastAsiaTheme="minorEastAsia"/>
                <w:color w:val="666666"/>
                <w:lang w:val="en-US" w:eastAsia="zh-CN"/>
              </w:rPr>
            </w:pPr>
            <w:r>
              <w:rPr>
                <w:rFonts w:hint="eastAsia" w:ascii="宋体" w:hAnsi="宋体" w:eastAsia="宋体" w:cs="宋体"/>
                <w:color w:val="333333"/>
                <w:sz w:val="22"/>
                <w:szCs w:val="22"/>
                <w:lang w:val="en-US" w:eastAsia="zh-CN"/>
              </w:rPr>
              <w:t>35</w:t>
            </w: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eastAsia" w:eastAsiaTheme="minorEastAsia"/>
                <w:color w:val="666666"/>
                <w:lang w:eastAsia="zh-CN"/>
              </w:rPr>
            </w:pPr>
            <w:r>
              <w:rPr>
                <w:rFonts w:hint="eastAsia" w:ascii="宋体" w:hAnsi="宋体" w:eastAsia="宋体" w:cs="宋体"/>
                <w:color w:val="333333"/>
                <w:sz w:val="22"/>
                <w:szCs w:val="2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63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在职人数</w:t>
            </w:r>
          </w:p>
        </w:tc>
        <w:tc>
          <w:tcPr>
            <w:tcW w:w="174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eastAsia" w:eastAsia="宋体"/>
                <w:color w:val="666666"/>
                <w:lang w:eastAsia="zh-CN"/>
              </w:rPr>
            </w:pPr>
            <w:r>
              <w:rPr>
                <w:rFonts w:hint="eastAsia" w:ascii="宋体" w:hAnsi="宋体" w:eastAsia="宋体" w:cs="宋体"/>
                <w:color w:val="333333"/>
                <w:sz w:val="22"/>
                <w:szCs w:val="22"/>
              </w:rPr>
              <w:t>11</w:t>
            </w:r>
            <w:r>
              <w:rPr>
                <w:rFonts w:hint="eastAsia" w:ascii="宋体" w:hAnsi="宋体" w:eastAsia="宋体" w:cs="宋体"/>
                <w:color w:val="333333"/>
                <w:sz w:val="22"/>
                <w:szCs w:val="22"/>
                <w:lang w:val="en-US" w:eastAsia="zh-CN"/>
              </w:rPr>
              <w:t>1</w:t>
            </w: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eastAsiaTheme="minorEastAsia"/>
                <w:color w:val="666666"/>
                <w:lang w:val="en-US" w:eastAsia="zh-CN"/>
              </w:rPr>
            </w:pPr>
            <w:r>
              <w:rPr>
                <w:rFonts w:hint="eastAsia" w:ascii="宋体" w:hAnsi="宋体" w:eastAsia="宋体" w:cs="宋体"/>
                <w:color w:val="333333"/>
                <w:sz w:val="22"/>
                <w:szCs w:val="22"/>
                <w:lang w:val="en-US" w:eastAsia="zh-CN"/>
              </w:rPr>
              <w:t>70</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eastAsiaTheme="minorEastAsia"/>
                <w:color w:val="666666"/>
                <w:lang w:val="en-US" w:eastAsia="zh-CN"/>
              </w:rPr>
            </w:pPr>
            <w:r>
              <w:rPr>
                <w:rFonts w:hint="eastAsia" w:ascii="宋体" w:hAnsi="宋体" w:eastAsia="宋体" w:cs="宋体"/>
                <w:color w:val="333333"/>
                <w:sz w:val="22"/>
                <w:szCs w:val="22"/>
                <w:lang w:val="en-US" w:eastAsia="zh-CN"/>
              </w:rPr>
              <w:t>35</w:t>
            </w: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eastAsia" w:eastAsiaTheme="minorEastAsia"/>
                <w:color w:val="666666"/>
                <w:lang w:eastAsia="zh-CN"/>
              </w:rPr>
            </w:pPr>
            <w:r>
              <w:rPr>
                <w:rFonts w:hint="eastAsia" w:ascii="宋体" w:hAnsi="宋体" w:eastAsia="宋体" w:cs="宋体"/>
                <w:color w:val="333333"/>
                <w:sz w:val="22"/>
                <w:szCs w:val="2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63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退休人员</w:t>
            </w:r>
          </w:p>
        </w:tc>
        <w:tc>
          <w:tcPr>
            <w:tcW w:w="174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5"/>
              <w:keepNext w:val="0"/>
              <w:keepLines w:val="0"/>
              <w:widowControl/>
              <w:suppressLineNumbers w:val="0"/>
              <w:spacing w:before="0" w:after="0"/>
              <w:ind w:left="0" w:right="0"/>
              <w:jc w:val="center"/>
              <w:textAlignment w:val="center"/>
              <w:rPr>
                <w:rFonts w:hint="default" w:eastAsia="宋体"/>
                <w:color w:val="666666"/>
                <w:lang w:val="en-US" w:eastAsia="zh-CN"/>
              </w:rPr>
            </w:pPr>
            <w:r>
              <w:rPr>
                <w:rFonts w:hint="eastAsia" w:ascii="宋体" w:hAnsi="宋体" w:eastAsia="宋体" w:cs="宋体"/>
                <w:color w:val="333333"/>
                <w:sz w:val="22"/>
                <w:szCs w:val="22"/>
              </w:rPr>
              <w:t>1</w:t>
            </w:r>
            <w:r>
              <w:rPr>
                <w:rFonts w:hint="eastAsia" w:ascii="宋体" w:hAnsi="宋体" w:eastAsia="宋体" w:cs="宋体"/>
                <w:color w:val="333333"/>
                <w:sz w:val="22"/>
                <w:szCs w:val="22"/>
                <w:lang w:val="en-US" w:eastAsia="zh-CN"/>
              </w:rPr>
              <w:t>56</w:t>
            </w: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r>
    </w:tbl>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6" w:type="default"/>
          <w:pgSz w:w="11906" w:h="16838"/>
          <w:pgMar w:top="1440" w:right="1800" w:bottom="1440" w:left="1800" w:header="851" w:footer="992" w:gutter="0"/>
          <w:pgNumType w:start="1"/>
          <w:cols w:space="425" w:num="1"/>
          <w:docGrid w:type="lines" w:linePitch="312" w:charSpace="0"/>
        </w:sectPr>
      </w:pPr>
    </w:p>
    <w:p>
      <w:pPr>
        <w:jc w:val="center"/>
        <w:rPr>
          <w:rFonts w:hint="eastAsia" w:ascii="仿宋" w:hAnsi="仿宋" w:eastAsia="仿宋" w:cs="仿宋"/>
          <w:sz w:val="24"/>
          <w:highlight w:val="none"/>
        </w:rPr>
      </w:pPr>
      <w:r>
        <w:rPr>
          <w:rFonts w:hint="eastAsia" w:ascii="黑体" w:hAnsi="黑体" w:eastAsia="黑体" w:cs="黑体"/>
          <w:sz w:val="32"/>
          <w:szCs w:val="32"/>
          <w:highlight w:val="none"/>
        </w:rPr>
        <w:t>第二部分：</w:t>
      </w:r>
      <w:r>
        <w:rPr>
          <w:rFonts w:hint="eastAsia" w:ascii="黑体" w:hAnsi="黑体" w:eastAsia="黑体" w:cs="黑体"/>
          <w:b w:val="0"/>
          <w:bCs w:val="0"/>
          <w:sz w:val="32"/>
          <w:szCs w:val="32"/>
          <w:highlight w:val="none"/>
          <w:lang w:val="en-US" w:eastAsia="zh-CN"/>
        </w:rPr>
        <w:t>环江毛南族自治县</w:t>
      </w:r>
      <w:r>
        <w:rPr>
          <w:rFonts w:hint="eastAsia" w:ascii="黑体" w:hAnsi="黑体" w:eastAsia="黑体" w:cs="黑体"/>
          <w:sz w:val="32"/>
          <w:u w:color="auto"/>
          <w:lang w:val="en-US" w:eastAsia="zh-CN"/>
        </w:rPr>
        <w:t>华山林场</w:t>
      </w:r>
      <w:r>
        <w:rPr>
          <w:rFonts w:hint="eastAsia" w:ascii="黑体" w:hAnsi="黑体" w:eastAsia="黑体" w:cs="黑体"/>
          <w:sz w:val="32"/>
          <w:szCs w:val="32"/>
          <w:highlight w:val="none"/>
        </w:rPr>
        <w:t xml:space="preserve"> 2022年度部门决算报表</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object>
          <v:shape id="_x0000_i1025" o:spt="75" type="#_x0000_t75" style="height:474.7pt;width:697.25pt;" o:ole="t" filled="f" o:preferrelative="t" stroked="f" coordsize="21600,21600">
            <v:path/>
            <v:fill on="f" focussize="0,0"/>
            <v:stroke on="f"/>
            <v:imagedata r:id="rId9" o:title=""/>
            <o:lock v:ext="edit" aspectratio="f"/>
            <w10:wrap type="none"/>
            <w10:anchorlock/>
          </v:shape>
          <o:OLEObject Type="Embed" ProgID="Excel.Sheet.8" ShapeID="_x0000_i1025" DrawAspect="Content" ObjectID="_1468075725" r:id="rId8">
            <o:LockedField>false</o:LockedField>
          </o:OLEObject>
        </w:object>
      </w:r>
    </w:p>
    <w:p>
      <w:pPr>
        <w:jc w:val="both"/>
        <w:rPr>
          <w:rFonts w:hint="eastAsia" w:ascii="仿宋" w:hAnsi="仿宋" w:eastAsia="仿宋" w:cs="仿宋"/>
          <w:sz w:val="24"/>
          <w:highlight w:val="none"/>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object>
          <v:shape id="_x0000_i1026" o:spt="75" type="#_x0000_t75" style="height:441.8pt;width:697.9pt;" o:ole="t" filled="f" o:preferrelative="t" stroked="f" coordsize="21600,21600">
            <v:path/>
            <v:fill on="f" focussize="0,0"/>
            <v:stroke on="f"/>
            <v:imagedata r:id="rId11" o:title=""/>
            <o:lock v:ext="edit" aspectratio="f"/>
            <w10:wrap type="none"/>
            <w10:anchorlock/>
          </v:shape>
          <o:OLEObject Type="Embed" ProgID="Excel.Sheet.8" ShapeID="_x0000_i1026" DrawAspect="Content" ObjectID="_1468075726" r:id="rId10">
            <o:LockedField>false</o:LockedField>
          </o:OLEObject>
        </w:objec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pPr>
      <w:r>
        <w:rPr>
          <w:rFonts w:ascii="仿宋" w:hAnsi="仿宋" w:eastAsia="仿宋" w:cs="仿宋"/>
          <w:sz w:val="24"/>
          <w:highlight w:val="none"/>
        </w:rPr>
        <w:object>
          <v:shape id="_x0000_i1027" o:spt="75" type="#_x0000_t75" style="height:492.3pt;width:697.85pt;" o:ole="t" filled="f" o:preferrelative="t" stroked="f" coordsize="21600,21600">
            <v:path/>
            <v:fill on="f" focussize="0,0"/>
            <v:stroke on="f"/>
            <v:imagedata r:id="rId13" o:title=""/>
            <o:lock v:ext="edit" aspectratio="f"/>
            <w10:wrap type="none"/>
            <w10:anchorlock/>
          </v:shape>
          <o:OLEObject Type="Embed" ProgID="Excel.Sheet.8" ShapeID="_x0000_i1027" DrawAspect="Content" ObjectID="_1468075727" r:id="rId12">
            <o:LockedField>false</o:LockedField>
          </o:OLEObject>
        </w:object>
      </w:r>
    </w:p>
    <w:p>
      <w:pPr>
        <w:jc w:val="left"/>
        <w:rPr>
          <w:rFonts w:ascii="仿宋" w:hAnsi="仿宋" w:eastAsia="仿宋" w:cs="仿宋"/>
          <w:sz w:val="24"/>
          <w:highlight w:val="none"/>
        </w:rPr>
      </w:pPr>
      <w:r>
        <w:rPr>
          <w:rFonts w:ascii="仿宋" w:hAnsi="仿宋" w:eastAsia="仿宋" w:cs="仿宋"/>
          <w:sz w:val="24"/>
          <w:highlight w:val="none"/>
        </w:rPr>
        <w:object>
          <v:shape id="_x0000_i1028" o:spt="75" type="#_x0000_t75" style="height:516.6pt;width:697.2pt;" o:ole="t" filled="f" o:preferrelative="t" stroked="f" coordsize="21600,21600">
            <v:path/>
            <v:fill on="f" focussize="0,0"/>
            <v:stroke on="f"/>
            <v:imagedata r:id="rId15" o:title=""/>
            <o:lock v:ext="edit" aspectratio="f"/>
            <w10:wrap type="none"/>
            <w10:anchorlock/>
          </v:shape>
          <o:OLEObject Type="Embed" ProgID="Excel.Sheet.8" ShapeID="_x0000_i1028" DrawAspect="Content" ObjectID="_1468075728" r:id="rId14">
            <o:LockedField>false</o:LockedField>
          </o:OLEObject>
        </w:objec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object>
          <v:shape id="_x0000_i1029" o:spt="75" type="#_x0000_t75" style="height:485.4pt;width:513.05pt;" o:ole="t" filled="f" o:preferrelative="t" stroked="f" coordsize="21600,21600">
            <v:path/>
            <v:fill on="f" focussize="0,0"/>
            <v:stroke on="f"/>
            <v:imagedata r:id="rId17" o:title=""/>
            <o:lock v:ext="edit" aspectratio="f"/>
            <w10:wrap type="none"/>
            <w10:anchorlock/>
          </v:shape>
          <o:OLEObject Type="Embed" ProgID="Excel.Sheet.8" ShapeID="_x0000_i1029" DrawAspect="Content" ObjectID="_1468075729" r:id="rId16">
            <o:LockedField>false</o:LockedField>
          </o:OLEObject>
        </w:objec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object>
          <v:shape id="_x0000_i1030" o:spt="75" type="#_x0000_t75" style="height:408.25pt;width:697.4pt;" o:ole="t" filled="f" o:preferrelative="t" stroked="f" coordsize="21600,21600">
            <v:path/>
            <v:fill on="f" focussize="0,0"/>
            <v:stroke on="f"/>
            <v:imagedata r:id="rId19" o:title=""/>
            <o:lock v:ext="edit" aspectratio="f"/>
            <w10:wrap type="none"/>
            <w10:anchorlock/>
          </v:shape>
          <o:OLEObject Type="Embed" ProgID="Excel.Sheet.8" ShapeID="_x0000_i1030" DrawAspect="Content" ObjectID="_1468075730" r:id="rId18">
            <o:LockedField>false</o:LockedField>
          </o:OLEObject>
        </w:object>
      </w: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right"/>
        <w:rPr>
          <w:rFonts w:hint="eastAsia" w:ascii="黑体" w:hAnsi="黑体" w:eastAsia="黑体" w:cs="黑体"/>
          <w:sz w:val="32"/>
          <w:szCs w:val="32"/>
          <w:highlight w:val="none"/>
        </w:rPr>
      </w:pPr>
    </w:p>
    <w:p>
      <w:pPr>
        <w:jc w:val="right"/>
        <w:rPr>
          <w:rFonts w:hint="eastAsia" w:ascii="黑体" w:hAnsi="黑体" w:eastAsia="黑体" w:cs="黑体"/>
          <w:sz w:val="32"/>
          <w:szCs w:val="32"/>
          <w:highlight w:val="none"/>
        </w:rPr>
      </w:pPr>
    </w:p>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9"/>
        <w:gridCol w:w="479"/>
        <w:gridCol w:w="479"/>
        <w:gridCol w:w="2289"/>
        <w:gridCol w:w="1563"/>
        <w:gridCol w:w="1563"/>
        <w:gridCol w:w="1185"/>
        <w:gridCol w:w="1385"/>
        <w:gridCol w:w="1564"/>
        <w:gridCol w:w="3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bdr w:val="none" w:color="auto" w:sz="0" w:space="0"/>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部门：广西河池市环江毛族自治县华</w:t>
            </w:r>
            <w:bookmarkStart w:id="3" w:name="_GoBack"/>
            <w:bookmarkEnd w:id="3"/>
            <w:r>
              <w:rPr>
                <w:rFonts w:hint="eastAsia" w:ascii="宋体" w:hAnsi="宋体" w:eastAsia="宋体" w:cs="宋体"/>
                <w:i w:val="0"/>
                <w:iCs w:val="0"/>
                <w:color w:val="000000"/>
                <w:kern w:val="0"/>
                <w:sz w:val="20"/>
                <w:szCs w:val="20"/>
                <w:u w:val="none"/>
                <w:bdr w:val="none" w:color="auto" w:sz="0" w:space="0"/>
                <w:lang w:val="en-US" w:eastAsia="zh-CN" w:bidi="ar"/>
              </w:rPr>
              <w:t>山林场</w:t>
            </w: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89"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689"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4297"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2622"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55" w:type="dxa"/>
            <w:gridSpan w:val="3"/>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89"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67"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441"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9"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2622"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5"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622"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5"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622"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right"/>
        <w:rPr>
          <w:rFonts w:hint="eastAsia" w:ascii="黑体" w:hAnsi="黑体" w:eastAsia="黑体" w:cs="黑体"/>
          <w:sz w:val="32"/>
          <w:szCs w:val="32"/>
          <w:highlight w:val="none"/>
        </w:rPr>
      </w:pPr>
    </w:p>
    <w:tbl>
      <w:tblPr>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95"/>
        <w:gridCol w:w="352"/>
        <w:gridCol w:w="352"/>
        <w:gridCol w:w="1560"/>
        <w:gridCol w:w="2062"/>
        <w:gridCol w:w="1793"/>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bdr w:val="none" w:color="auto" w:sz="0" w:space="0"/>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部门：广西河池市环江毛族自治县华山林场</w:t>
            </w: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404" w:type="dxa"/>
            <w:gridSpan w:val="3"/>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4460" w:type="dxa"/>
            <w:gridSpan w:val="3"/>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459"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265"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0" w:type="dxa"/>
            <w:vMerge w:val="restart"/>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0" w:type="dxa"/>
            <w:gridSpan w:val="3"/>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注：本表反映部门本年度国有资本经营预算财政拨款支出情况。</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bdr w:val="none" w:color="auto" w:sz="0" w:space="0"/>
                <w:lang w:val="en-US" w:eastAsia="zh-CN" w:bidi="ar"/>
              </w:rPr>
              <w:t>故本表无数据。</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object>
          <v:shape id="_x0000_i1033" o:spt="75" type="#_x0000_t75" style="height:144pt;width:697.7pt;" o:ole="t" filled="f" o:preferrelative="t" stroked="f" coordsize="21600,21600">
            <v:path/>
            <v:fill on="f" focussize="0,0"/>
            <v:stroke on="f"/>
            <v:imagedata r:id="rId21" o:title=""/>
            <o:lock v:ext="edit" aspectratio="f"/>
            <w10:wrap type="none"/>
            <w10:anchorlock/>
          </v:shape>
          <o:OLEObject Type="Embed" ProgID="Excel.Sheet.8" ShapeID="_x0000_i1033" DrawAspect="Content" ObjectID="_1468075731" r:id="rId20">
            <o:LockedField>false</o:LockedField>
          </o:OLEObject>
        </w:object>
      </w:r>
    </w:p>
    <w:p>
      <w:pPr>
        <w:jc w:val="cente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rPr>
        <w:sectPr>
          <w:pgSz w:w="16838" w:h="11906" w:orient="landscape"/>
          <w:pgMar w:top="442" w:right="1440" w:bottom="329" w:left="1440" w:header="851" w:footer="992" w:gutter="0"/>
          <w:cols w:space="0"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华山林场</w:t>
      </w:r>
      <w:r>
        <w:rPr>
          <w:rFonts w:hint="eastAsia" w:ascii="黑体" w:hAnsi="黑体" w:eastAsia="黑体" w:cs="黑体"/>
          <w:sz w:val="32"/>
          <w:szCs w:val="32"/>
          <w:highlight w:val="none"/>
        </w:rPr>
        <w:t>2022年度部门决算情况说明</w:t>
      </w:r>
    </w:p>
    <w:p>
      <w:pPr>
        <w:keepNext w:val="0"/>
        <w:keepLines w:val="0"/>
        <w:pageBreakBefore w:val="0"/>
        <w:kinsoku/>
        <w:wordWrap/>
        <w:overflowPunct/>
        <w:topLinePunct w:val="0"/>
        <w:autoSpaceDN/>
        <w:bidi w:val="0"/>
        <w:adjustRightInd/>
        <w:snapToGrid/>
        <w:spacing w:beforeAutospacing="0" w:afterAutospacing="0"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一、2022年度收入支出决算总体情况</w:t>
      </w:r>
    </w:p>
    <w:p>
      <w:pPr>
        <w:keepNext w:val="0"/>
        <w:keepLines w:val="0"/>
        <w:pageBreakBefore w:val="0"/>
        <w:kinsoku/>
        <w:wordWrap/>
        <w:overflowPunct/>
        <w:topLinePunct w:val="0"/>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hint="eastAsia" w:ascii="仿宋" w:hAnsi="仿宋" w:eastAsia="仿宋" w:cs="仿宋"/>
          <w:color w:val="auto"/>
          <w:sz w:val="32"/>
          <w:szCs w:val="32"/>
          <w:highlight w:val="none"/>
          <w:u w:color="auto"/>
          <w:lang w:val="en-US" w:eastAsia="zh-CN"/>
        </w:rPr>
        <w:t>1997.29</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szCs w:val="32"/>
          <w:highlight w:val="none"/>
          <w:u w:color="auto"/>
        </w:rPr>
        <w:t>减少</w:t>
      </w:r>
      <w:r>
        <w:rPr>
          <w:rFonts w:hint="eastAsia" w:ascii="仿宋" w:hAnsi="仿宋" w:eastAsia="仿宋" w:cs="仿宋"/>
          <w:color w:val="auto"/>
          <w:sz w:val="32"/>
          <w:szCs w:val="32"/>
          <w:highlight w:val="none"/>
          <w:u w:color="auto"/>
          <w:lang w:val="en-US" w:eastAsia="zh-CN"/>
        </w:rPr>
        <w:t>187.42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u w:color="auto"/>
        </w:rPr>
        <w:t>下降</w:t>
      </w:r>
      <w:r>
        <w:rPr>
          <w:rFonts w:hint="eastAsia" w:ascii="仿宋" w:hAnsi="仿宋" w:eastAsia="仿宋" w:cs="仿宋"/>
          <w:color w:val="auto"/>
          <w:sz w:val="32"/>
          <w:szCs w:val="32"/>
          <w:highlight w:val="none"/>
          <w:u w:color="auto"/>
          <w:lang w:val="en-US" w:eastAsia="zh-CN"/>
        </w:rPr>
        <w:t>8.58</w:t>
      </w:r>
      <w:r>
        <w:rPr>
          <w:rFonts w:hint="eastAsia" w:ascii="仿宋" w:hAnsi="仿宋" w:eastAsia="仿宋" w:cs="仿宋"/>
          <w:color w:val="auto"/>
          <w:sz w:val="32"/>
          <w:szCs w:val="32"/>
          <w:highlight w:val="none"/>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szCs w:val="32"/>
          <w:highlight w:val="none"/>
          <w:u w:color="auto"/>
          <w:lang w:val="en-US" w:eastAsia="zh-CN"/>
        </w:rPr>
        <w:t>1997.29</w:t>
      </w:r>
      <w:r>
        <w:rPr>
          <w:rFonts w:hint="eastAsia" w:ascii="仿宋" w:hAnsi="仿宋" w:eastAsia="仿宋" w:cs="仿宋"/>
          <w:color w:val="auto"/>
          <w:sz w:val="32"/>
          <w:szCs w:val="32"/>
          <w:highlight w:val="none"/>
        </w:rPr>
        <w:t>万元。收入具体情况如下。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szCs w:val="32"/>
          <w:highlight w:val="none"/>
          <w:u w:color="auto"/>
          <w:lang w:val="en-US" w:eastAsia="zh-CN"/>
        </w:rPr>
        <w:t>1997.29</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hint="eastAsia" w:ascii="仿宋" w:hAnsi="仿宋" w:eastAsia="仿宋" w:cs="仿宋"/>
          <w:color w:val="auto"/>
          <w:sz w:val="32"/>
          <w:szCs w:val="32"/>
          <w:highlight w:val="none"/>
          <w:u w:color="auto"/>
        </w:rPr>
        <w:t>减少</w:t>
      </w:r>
      <w:r>
        <w:rPr>
          <w:rFonts w:hint="eastAsia" w:ascii="仿宋" w:hAnsi="仿宋" w:eastAsia="仿宋" w:cs="仿宋"/>
          <w:color w:val="auto"/>
          <w:sz w:val="32"/>
          <w:szCs w:val="32"/>
          <w:highlight w:val="none"/>
          <w:u w:color="auto"/>
          <w:lang w:val="en-US" w:eastAsia="zh-CN"/>
        </w:rPr>
        <w:t>187.42</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highlight w:val="none"/>
          <w:u w:color="auto"/>
        </w:rPr>
        <w:t>下降</w:t>
      </w:r>
      <w:r>
        <w:rPr>
          <w:rFonts w:hint="eastAsia" w:ascii="仿宋" w:hAnsi="仿宋" w:eastAsia="仿宋" w:cs="仿宋"/>
          <w:color w:val="auto"/>
          <w:sz w:val="32"/>
          <w:szCs w:val="32"/>
          <w:highlight w:val="none"/>
          <w:u w:color="auto"/>
          <w:lang w:val="en-US" w:eastAsia="zh-CN"/>
        </w:rPr>
        <w:t>8.58</w:t>
      </w:r>
      <w:r>
        <w:rPr>
          <w:rFonts w:hint="eastAsia" w:ascii="仿宋" w:hAnsi="仿宋" w:eastAsia="仿宋" w:cs="仿宋"/>
          <w:color w:val="auto"/>
          <w:sz w:val="32"/>
          <w:szCs w:val="32"/>
          <w:highlight w:val="none"/>
          <w:u w:color="auto"/>
        </w:rPr>
        <w:t>%</w:t>
      </w:r>
      <w:r>
        <w:rPr>
          <w:rFonts w:hint="eastAsia" w:ascii="仿宋" w:hAnsi="仿宋" w:eastAsia="仿宋" w:cs="仿宋"/>
          <w:color w:val="auto"/>
          <w:kern w:val="2"/>
          <w:sz w:val="32"/>
          <w:szCs w:val="32"/>
          <w:highlight w:val="none"/>
          <w:lang w:val="en-US" w:eastAsia="zh-CN" w:bidi="ar"/>
        </w:rPr>
        <w:t>，主要原因：人员减少，项目经费减少。</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u w:color="auto"/>
        </w:rPr>
      </w:pPr>
      <w:r>
        <w:rPr>
          <w:rFonts w:hint="eastAsia" w:ascii="仿宋" w:hAnsi="仿宋" w:eastAsia="仿宋" w:cs="仿宋"/>
          <w:color w:val="auto"/>
          <w:kern w:val="2"/>
          <w:sz w:val="32"/>
          <w:szCs w:val="32"/>
          <w:highlight w:val="none"/>
          <w:lang w:val="en-US" w:eastAsia="zh-CN" w:bidi="ar"/>
        </w:rPr>
        <w:t>2.政府性基金预算财政拨款收入</w:t>
      </w:r>
      <w:r>
        <w:rPr>
          <w:rFonts w:hint="eastAsia" w:ascii="仿宋" w:hAnsi="仿宋" w:eastAsia="仿宋" w:cs="仿宋"/>
          <w:color w:val="auto"/>
          <w:sz w:val="32"/>
          <w:szCs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hint="eastAsia" w:ascii="仿宋" w:hAnsi="仿宋" w:eastAsia="仿宋" w:cs="仿宋"/>
          <w:color w:val="auto"/>
          <w:sz w:val="32"/>
          <w:szCs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hint="eastAsia" w:ascii="仿宋" w:hAnsi="仿宋" w:eastAsia="仿宋" w:cs="仿宋"/>
          <w:color w:val="auto"/>
          <w:sz w:val="32"/>
          <w:szCs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河池市</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hint="eastAsia" w:ascii="仿宋" w:hAnsi="仿宋" w:eastAsia="仿宋" w:cs="仿宋"/>
          <w:color w:val="auto"/>
          <w:sz w:val="32"/>
          <w:szCs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szCs w:val="32"/>
          <w:highlight w:val="none"/>
          <w:u w:color="auto"/>
          <w:lang w:val="en-US" w:eastAsia="zh-CN"/>
        </w:rPr>
        <w:t>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hint="eastAsia" w:ascii="仿宋" w:hAnsi="仿宋" w:eastAsia="仿宋" w:cs="仿宋"/>
          <w:color w:val="auto"/>
          <w:sz w:val="32"/>
          <w:szCs w:val="32"/>
          <w:u w:color="auto"/>
        </w:rPr>
        <w:t>增加</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增长</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sz w:val="32"/>
          <w:szCs w:val="32"/>
          <w:u w:color="auto"/>
        </w:rPr>
        <w:t>%</w:t>
      </w:r>
      <w:r>
        <w:rPr>
          <w:rFonts w:hint="eastAsia" w:ascii="仿宋" w:hAnsi="仿宋" w:eastAsia="仿宋" w:cs="仿宋"/>
          <w:color w:val="auto"/>
          <w:kern w:val="2"/>
          <w:sz w:val="32"/>
          <w:szCs w:val="32"/>
          <w:highlight w:val="none"/>
          <w:lang w:val="en-US" w:eastAsia="zh-CN" w:bidi="ar"/>
        </w:rPr>
        <w:t>，主要原因是：本单位没有上级补助收入。</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30"/>
        <w:textAlignment w:val="auto"/>
        <w:rPr>
          <w:rFonts w:hint="eastAsia" w:ascii="仿宋" w:hAnsi="仿宋" w:eastAsia="仿宋" w:cs="仿宋"/>
          <w:color w:val="auto"/>
          <w:sz w:val="32"/>
          <w:szCs w:val="32"/>
          <w:shd w:val="clear" w:fill="FFFFFF"/>
        </w:rPr>
      </w:pPr>
      <w:r>
        <w:rPr>
          <w:rFonts w:hint="eastAsia" w:ascii="仿宋" w:hAnsi="仿宋" w:eastAsia="仿宋" w:cs="仿宋"/>
          <w:color w:val="auto"/>
          <w:kern w:val="2"/>
          <w:sz w:val="32"/>
          <w:szCs w:val="32"/>
          <w:highlight w:val="none"/>
          <w:lang w:val="en-US" w:eastAsia="zh-CN" w:bidi="ar"/>
        </w:rPr>
        <w:t>5.事业收入</w:t>
      </w:r>
      <w:r>
        <w:rPr>
          <w:rFonts w:hint="eastAsia" w:ascii="仿宋" w:hAnsi="仿宋" w:eastAsia="仿宋" w:cs="仿宋"/>
          <w:color w:val="auto"/>
          <w:sz w:val="32"/>
          <w:szCs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hint="eastAsia" w:ascii="仿宋" w:hAnsi="仿宋" w:eastAsia="仿宋" w:cs="仿宋"/>
          <w:color w:val="auto"/>
          <w:sz w:val="32"/>
          <w:szCs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shd w:val="clear" w:fill="FFFFFF"/>
        </w:rPr>
        <w:t>2017年林场改革为公益性一类事业单位后无业务开展未取得活动收入。</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3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hint="eastAsia" w:ascii="仿宋" w:hAnsi="仿宋" w:eastAsia="仿宋" w:cs="仿宋"/>
          <w:color w:val="auto"/>
          <w:sz w:val="32"/>
          <w:szCs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shd w:val="clear" w:fill="FFFFFF"/>
        </w:rPr>
        <w:t>本单位无经营性业务，所以无经营性收入。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7.附属单位上缴收入</w:t>
      </w:r>
      <w:r>
        <w:rPr>
          <w:rFonts w:hint="eastAsia" w:ascii="仿宋" w:hAnsi="仿宋" w:eastAsia="仿宋" w:cs="仿宋"/>
          <w:color w:val="auto"/>
          <w:sz w:val="32"/>
          <w:szCs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hint="eastAsia" w:ascii="仿宋" w:hAnsi="仿宋" w:eastAsia="仿宋" w:cs="仿宋"/>
          <w:color w:val="auto"/>
          <w:sz w:val="32"/>
          <w:szCs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color w:val="auto"/>
          <w:sz w:val="32"/>
          <w:szCs w:val="32"/>
          <w:u w:color="auto"/>
        </w:rPr>
        <w:t>减少</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下降</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sz w:val="32"/>
          <w:szCs w:val="32"/>
          <w:u w:color="auto"/>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9.使用非财政拨款结余</w:t>
      </w:r>
      <w:r>
        <w:rPr>
          <w:rFonts w:hint="eastAsia" w:ascii="仿宋" w:hAnsi="仿宋" w:eastAsia="仿宋" w:cs="仿宋"/>
          <w:color w:val="auto"/>
          <w:sz w:val="32"/>
          <w:szCs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hint="eastAsia" w:ascii="仿宋" w:hAnsi="仿宋" w:eastAsia="仿宋" w:cs="仿宋"/>
          <w:color w:val="auto"/>
          <w:sz w:val="32"/>
          <w:szCs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color w:val="auto"/>
          <w:sz w:val="32"/>
          <w:szCs w:val="32"/>
          <w:u w:color="auto"/>
        </w:rPr>
        <w:t>减少</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szCs w:val="32"/>
          <w:u w:color="auto"/>
        </w:rPr>
        <w:t>下降</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sz w:val="32"/>
          <w:szCs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kinsoku/>
        <w:wordWrap/>
        <w:overflowPunct/>
        <w:topLinePunct w:val="0"/>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hint="eastAsia" w:ascii="仿宋" w:hAnsi="仿宋" w:eastAsia="仿宋" w:cs="仿宋"/>
          <w:color w:val="auto"/>
          <w:sz w:val="32"/>
          <w:u w:color="auto"/>
          <w:lang w:val="en-US" w:eastAsia="zh-CN"/>
        </w:rPr>
        <w:t>1997.29</w:t>
      </w:r>
      <w:r>
        <w:rPr>
          <w:rFonts w:hint="eastAsia" w:ascii="仿宋" w:hAnsi="仿宋" w:eastAsia="仿宋" w:cs="仿宋"/>
          <w:color w:val="auto"/>
          <w:sz w:val="32"/>
          <w:szCs w:val="32"/>
          <w:highlight w:val="none"/>
        </w:rPr>
        <w:t>万元，其中本年支</w:t>
      </w:r>
      <w:r>
        <w:rPr>
          <w:rFonts w:hint="eastAsia" w:ascii="仿宋" w:hAnsi="仿宋" w:eastAsia="仿宋" w:cs="仿宋"/>
          <w:color w:val="auto"/>
          <w:sz w:val="32"/>
          <w:szCs w:val="32"/>
          <w:highlight w:val="none"/>
          <w:lang w:val="en-US" w:eastAsia="zh-CN"/>
        </w:rPr>
        <w:t>出</w:t>
      </w:r>
      <w:r>
        <w:rPr>
          <w:rFonts w:hint="eastAsia" w:ascii="仿宋" w:hAnsi="仿宋" w:eastAsia="仿宋" w:cs="仿宋"/>
          <w:color w:val="auto"/>
          <w:sz w:val="32"/>
          <w:u w:color="auto"/>
          <w:lang w:val="en-US" w:eastAsia="zh-CN"/>
        </w:rPr>
        <w:t>1997.29</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w:t>
      </w:r>
      <w:r>
        <w:rPr>
          <w:rFonts w:hint="eastAsia" w:ascii="仿宋" w:hAnsi="仿宋" w:eastAsia="仿宋" w:cs="仿宋"/>
          <w:color w:val="auto"/>
          <w:sz w:val="32"/>
          <w:highlight w:val="none"/>
          <w:u w:color="auto"/>
          <w:lang w:val="en-US" w:eastAsia="zh-CN"/>
        </w:rPr>
        <w:t>187.42</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下降</w:t>
      </w:r>
      <w:r>
        <w:rPr>
          <w:rFonts w:hint="eastAsia" w:ascii="仿宋" w:hAnsi="仿宋" w:eastAsia="仿宋" w:cs="仿宋"/>
          <w:color w:val="auto"/>
          <w:sz w:val="32"/>
          <w:highlight w:val="none"/>
          <w:u w:color="auto"/>
          <w:lang w:val="en-US" w:eastAsia="zh-CN"/>
        </w:rPr>
        <w:t>8.58</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。支出具体情况如下：</w:t>
      </w:r>
    </w:p>
    <w:p>
      <w:pPr>
        <w:keepNext w:val="0"/>
        <w:keepLines w:val="0"/>
        <w:pageBreakBefore w:val="0"/>
        <w:kinsoku/>
        <w:wordWrap/>
        <w:overflowPunct/>
        <w:topLinePunct w:val="0"/>
        <w:autoSpaceDN/>
        <w:bidi w:val="0"/>
        <w:adjustRightInd/>
        <w:snapToGrid/>
        <w:spacing w:beforeAutospacing="0" w:afterAutospacing="0"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1、一般公共服务支出（201类）：21.25万元。主要用于：工会经费支出，较2021年</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减少3.2万元，下降13.09%，主要原因是：人员减少。</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161.74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ascii="仿宋" w:hAnsi="仿宋" w:eastAsia="仿宋" w:cs="仿宋"/>
          <w:color w:val="auto"/>
          <w:sz w:val="31"/>
          <w:szCs w:val="31"/>
          <w:shd w:val="clear" w:fill="FFFFFF"/>
        </w:rPr>
        <w:t>机关事业单位基本养老保险支出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16.35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9.18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主要原因是：人员减少。</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1412.28</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ascii="仿宋" w:hAnsi="仿宋" w:eastAsia="仿宋" w:cs="仿宋"/>
          <w:color w:val="auto"/>
          <w:sz w:val="31"/>
          <w:szCs w:val="31"/>
          <w:shd w:val="clear" w:fill="FFFFFF"/>
        </w:rPr>
        <w:t>农业、事业机构运行、行业业务管理运行、其他林业和草原支出。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36.28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主要原因是：人员减少。</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122.36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ascii="仿宋" w:hAnsi="仿宋" w:eastAsia="仿宋" w:cs="仿宋"/>
          <w:color w:val="auto"/>
          <w:sz w:val="31"/>
          <w:szCs w:val="31"/>
          <w:shd w:val="clear" w:fill="FFFFFF"/>
        </w:rPr>
        <w:t>按照国家政策规定为职工缴纳的住房公积金支出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7.93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6.09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主要原因是：人员减少。</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5、灾害防治及应急管理支出（224类）30.00万元，主要用于久仁分场管护用房建设项目，</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增加30.00万元，增长100%。主要原因：年中下达中央生态保护和修复支撑体系专项资金。</w:t>
      </w:r>
    </w:p>
    <w:p>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6、其他支出（229类）249.68万元，主要用于津贴补贴、奖金、伙食补助，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150.72万元，下降37.64%，</w:t>
      </w:r>
      <w:r>
        <w:rPr>
          <w:rFonts w:hint="eastAsia" w:ascii="仿宋" w:hAnsi="仿宋" w:eastAsia="仿宋" w:cs="仿宋"/>
          <w:color w:val="auto"/>
          <w:kern w:val="2"/>
          <w:sz w:val="32"/>
          <w:szCs w:val="32"/>
          <w:highlight w:val="none"/>
          <w:lang w:val="en-US" w:eastAsia="zh-CN" w:bidi="ar"/>
        </w:rPr>
        <w:t>人员减少。</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20" w:firstLineChars="200"/>
        <w:jc w:val="left"/>
        <w:textAlignment w:val="auto"/>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华山林场</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szCs w:val="32"/>
          <w:u w:color="auto"/>
          <w:lang w:val="en-US" w:eastAsia="zh-CN"/>
        </w:rPr>
        <w:t>1997.29</w:t>
      </w:r>
      <w:r>
        <w:rPr>
          <w:rFonts w:hint="eastAsia" w:ascii="仿宋" w:hAnsi="仿宋" w:eastAsia="仿宋" w:cs="仿宋"/>
          <w:sz w:val="32"/>
          <w:szCs w:val="32"/>
          <w:highlight w:val="none"/>
        </w:rPr>
        <w:t>万元，较2021年度决算数</w:t>
      </w:r>
      <w:r>
        <w:rPr>
          <w:rFonts w:ascii="仿宋" w:hAnsi="仿宋" w:eastAsia="仿宋" w:cs="仿宋"/>
          <w:sz w:val="32"/>
          <w:szCs w:val="32"/>
          <w:u w:color="auto"/>
        </w:rPr>
        <w:t>减少</w:t>
      </w:r>
      <w:r>
        <w:rPr>
          <w:rFonts w:hint="eastAsia" w:ascii="仿宋" w:hAnsi="仿宋" w:eastAsia="仿宋" w:cs="仿宋"/>
          <w:color w:val="auto"/>
          <w:sz w:val="32"/>
          <w:szCs w:val="32"/>
          <w:highlight w:val="none"/>
          <w:u w:color="auto"/>
          <w:lang w:val="en-US" w:eastAsia="zh-CN"/>
        </w:rPr>
        <w:t>187.42</w:t>
      </w:r>
      <w:r>
        <w:rPr>
          <w:rFonts w:hint="eastAsia" w:ascii="仿宋" w:hAnsi="仿宋" w:eastAsia="仿宋" w:cs="仿宋"/>
          <w:sz w:val="32"/>
          <w:szCs w:val="32"/>
          <w:highlight w:val="none"/>
        </w:rPr>
        <w:t>万元，</w:t>
      </w:r>
      <w:r>
        <w:rPr>
          <w:rFonts w:ascii="仿宋" w:hAnsi="仿宋" w:eastAsia="仿宋" w:cs="仿宋"/>
          <w:sz w:val="32"/>
          <w:szCs w:val="32"/>
          <w:u w:color="auto"/>
        </w:rPr>
        <w:t>下降</w:t>
      </w:r>
      <w:r>
        <w:rPr>
          <w:rFonts w:hint="eastAsia" w:ascii="仿宋" w:hAnsi="仿宋" w:eastAsia="仿宋" w:cs="仿宋"/>
          <w:sz w:val="32"/>
          <w:szCs w:val="32"/>
          <w:u w:color="auto"/>
          <w:lang w:val="en-US" w:eastAsia="zh-CN"/>
        </w:rPr>
        <w:t>8.58</w:t>
      </w:r>
      <w:r>
        <w:rPr>
          <w:rFonts w:ascii="仿宋" w:hAnsi="仿宋" w:eastAsia="仿宋" w:cs="仿宋"/>
          <w:sz w:val="32"/>
          <w:szCs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szCs w:val="32"/>
          <w:u w:color="auto"/>
          <w:lang w:val="en-US" w:eastAsia="zh-CN"/>
        </w:rPr>
        <w:t>1642.82</w:t>
      </w:r>
      <w:r>
        <w:rPr>
          <w:rFonts w:hint="eastAsia" w:ascii="仿宋" w:hAnsi="仿宋" w:eastAsia="仿宋" w:cs="仿宋"/>
          <w:sz w:val="32"/>
          <w:szCs w:val="32"/>
          <w:highlight w:val="none"/>
        </w:rPr>
        <w:t>万元，项目支出</w:t>
      </w:r>
      <w:r>
        <w:rPr>
          <w:rFonts w:hint="eastAsia" w:ascii="仿宋" w:hAnsi="仿宋" w:eastAsia="仿宋" w:cs="仿宋"/>
          <w:sz w:val="32"/>
          <w:szCs w:val="32"/>
          <w:u w:color="auto"/>
          <w:lang w:val="en-US" w:eastAsia="zh-CN"/>
        </w:rPr>
        <w:t>354.47</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sz w:val="32"/>
          <w:szCs w:val="32"/>
          <w:highlight w:val="none"/>
        </w:rPr>
      </w:pPr>
      <w:r>
        <w:rPr>
          <w:rFonts w:hint="eastAsia" w:ascii="仿宋" w:hAnsi="仿宋" w:eastAsia="仿宋" w:cs="仿宋"/>
          <w:sz w:val="32"/>
          <w:szCs w:val="32"/>
          <w:highlight w:val="none"/>
          <w:lang w:val="en-US" w:eastAsia="zh-CN"/>
        </w:rPr>
        <w:t>华山林场</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color w:val="auto"/>
          <w:sz w:val="32"/>
          <w:szCs w:val="32"/>
          <w:highlight w:val="none"/>
          <w:u w:color="auto"/>
          <w:lang w:val="en-US" w:eastAsia="zh-CN"/>
        </w:rPr>
        <w:t>1459.06</w:t>
      </w:r>
      <w:r>
        <w:rPr>
          <w:rFonts w:hint="eastAsia" w:ascii="仿宋" w:hAnsi="仿宋" w:eastAsia="仿宋" w:cs="仿宋"/>
          <w:sz w:val="32"/>
          <w:szCs w:val="32"/>
          <w:highlight w:val="none"/>
        </w:rPr>
        <w:t>万元，支出决算为</w:t>
      </w:r>
      <w:r>
        <w:rPr>
          <w:rFonts w:hint="eastAsia" w:ascii="仿宋" w:hAnsi="仿宋" w:eastAsia="仿宋" w:cs="仿宋"/>
          <w:sz w:val="32"/>
          <w:szCs w:val="32"/>
          <w:u w:color="auto"/>
          <w:lang w:val="en-US" w:eastAsia="zh-CN"/>
        </w:rPr>
        <w:t>1997.29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u w:color="auto"/>
          <w:lang w:val="en-US" w:eastAsia="zh-CN"/>
        </w:rPr>
        <w:t>136.89</w:t>
      </w:r>
      <w:r>
        <w:rPr>
          <w:rFonts w:ascii="仿宋" w:hAnsi="仿宋" w:eastAsia="仿宋" w:cs="仿宋"/>
          <w:sz w:val="32"/>
          <w:szCs w:val="32"/>
          <w:u w:color="auto"/>
        </w:rPr>
        <w:t>%</w:t>
      </w:r>
      <w:r>
        <w:rPr>
          <w:rFonts w:hint="eastAsia" w:ascii="仿宋" w:hAnsi="仿宋" w:eastAsia="仿宋" w:cs="仿宋"/>
          <w:sz w:val="32"/>
          <w:szCs w:val="32"/>
          <w:highlight w:val="none"/>
        </w:rPr>
        <w:t>。</w:t>
      </w:r>
      <w:bookmarkStart w:id="1" w:name="OLE_LINK2"/>
      <w:bookmarkEnd w:id="1"/>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eastAsia="仿宋"/>
          <w:color w:val="FF0000"/>
          <w:sz w:val="32"/>
          <w:szCs w:val="32"/>
          <w:highlight w:val="none"/>
          <w:lang w:val="en-US" w:eastAsia="zh-CN"/>
        </w:rPr>
      </w:pPr>
      <w:r>
        <w:rPr>
          <w:rFonts w:hint="eastAsia" w:ascii="仿宋" w:hAnsi="仿宋" w:eastAsia="仿宋" w:cs="仿宋"/>
          <w:sz w:val="32"/>
          <w:szCs w:val="32"/>
          <w:highlight w:val="none"/>
          <w:lang w:val="en-US" w:eastAsia="zh-CN"/>
        </w:rPr>
        <w:t>一般公共服务支出</w:t>
      </w:r>
      <w:r>
        <w:rPr>
          <w:rFonts w:ascii="仿宋" w:hAnsi="仿宋" w:eastAsia="仿宋"/>
          <w:sz w:val="32"/>
          <w:szCs w:val="32"/>
          <w:u w:color="auto"/>
        </w:rPr>
        <w:t>（20</w:t>
      </w:r>
      <w:r>
        <w:rPr>
          <w:rFonts w:hint="eastAsia" w:ascii="仿宋" w:hAnsi="仿宋" w:eastAsia="仿宋"/>
          <w:sz w:val="32"/>
          <w:szCs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21.25</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rPr>
        <w:t>21.25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jc w:val="center"/>
        <w:rPr>
          <w:rFonts w:hint="eastAsia" w:ascii="仿宋" w:hAnsi="仿宋" w:eastAsia="仿宋"/>
          <w:sz w:val="32"/>
          <w:szCs w:val="32"/>
          <w:highlight w:val="none"/>
        </w:rPr>
      </w:pPr>
    </w:p>
    <w:p>
      <w:pPr>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4445" t="4445" r="16510" b="1841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169.97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161.74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 xml:space="preserve"> 95.16 </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169.97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161.74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161.74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3065780" cy="1969135"/>
            <wp:effectExtent l="4445" t="4445" r="15875" b="762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1140.37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1412.28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 xml:space="preserve">123.84 </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人员经费增加，年中追加项目。</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29"/>
        <w:gridCol w:w="974"/>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3.79</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退休人员生活补助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2130112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行业业务管理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0.03</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各分场、场部基础建设（2021年底收回指标）</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追加2021年度收回指标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1101.99</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1301.59</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118.11%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工资上调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森林资源培育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1.85</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50.55</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自治区财政林业改革发展资金(林木良种补助2022)、营林防火生产费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年中下达项目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技术推广与转化</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3.76</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289.23%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技术推广与转化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追加2021年度收回指标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森林资源管理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26.93</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26.38</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营林防火生产费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财政资金紧张，部分资金未支付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2130213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执法与监督</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10.49</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000000"/>
                <w:kern w:val="0"/>
                <w:sz w:val="18"/>
                <w:szCs w:val="18"/>
                <w:u w:val="none"/>
                <w:lang w:val="en-US" w:eastAsia="zh-CN" w:bidi="ar"/>
              </w:rPr>
              <w:t>林地综合整治业务费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auto"/>
                <w:sz w:val="18"/>
                <w:szCs w:val="18"/>
                <w:highlight w:val="none"/>
                <w:u w:val="none"/>
                <w:lang w:val="en-US" w:eastAsia="zh-CN"/>
              </w:rPr>
              <w:t>追加2021年度收回指标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2130234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林业草原防灾减灾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4.79</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森林防火经费、森林病虫害防治经费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追加 2021年底收回指标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2130237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行业业务管理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华山馨园桥维修项目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年中追加项目</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12920" cy="2672715"/>
            <wp:effectExtent l="4445" t="4445" r="6985"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eastAsia="仿宋"/>
          <w:color w:val="auto"/>
          <w:highlight w:val="none"/>
          <w:lang w:val="en-US" w:eastAsia="zh-CN"/>
        </w:rPr>
      </w:pP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127.48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122.36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95.98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人员减少。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95.98%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
        </w:rPr>
        <w:t>灾害防治及应急管理支出（224类）</w:t>
      </w: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 xml:space="preserve"> 0 </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30.00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 xml:space="preserve">100 </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存有</w:t>
      </w:r>
      <w:r>
        <w:rPr>
          <w:rFonts w:hint="eastAsia" w:ascii="仿宋" w:hAnsi="仿宋" w:eastAsia="仿宋" w:cs="仿宋"/>
          <w:color w:val="auto"/>
          <w:sz w:val="32"/>
          <w:szCs w:val="32"/>
          <w:highlight w:val="none"/>
        </w:rPr>
        <w:t>差异</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请根据该实际情况自行补充原因。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2249999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其他灾害防治及应急管理支出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18"/>
                <w:szCs w:val="18"/>
                <w:highlight w:val="none"/>
                <w:u w:val="none"/>
                <w:lang w:val="en-US" w:eastAsia="zh-CN" w:bidi="ar-SA"/>
              </w:rPr>
              <w:t>30.00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bidi="ar"/>
              </w:rPr>
              <w:t>久仁分场管护用房建设项目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年中下达项目指标</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3684270" cy="2596515"/>
            <wp:effectExtent l="4445" t="4445" r="6985"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eastAsia="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
        </w:rPr>
        <w:t>其他支出（229类）</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249.68</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 xml:space="preserve">100 </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年中下达项目指标。</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2"/>
                <w:sz w:val="20"/>
                <w:szCs w:val="20"/>
                <w:highlight w:val="none"/>
                <w:lang w:val="en-US" w:eastAsia="zh-CN" w:bidi="ar"/>
              </w:rPr>
              <w:t>津贴补贴、奖金、伙食补助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年中下达指标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lang w:val="en-US" w:eastAsia="zh-CN" w:bidi="ar"/>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w:t>
      </w:r>
    </w:p>
    <w:p>
      <w:pPr>
        <w:jc w:val="left"/>
        <w:rPr>
          <w:rFonts w:hint="eastAsia" w:ascii="黑体" w:hAnsi="黑体" w:eastAsia="黑体" w:cs="黑体"/>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3437890" cy="2844800"/>
            <wp:effectExtent l="4445" t="4445" r="5715" b="825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华山林场</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1642.82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1592.96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49.87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20" w:firstLineChars="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1480.32</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117.26</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主要原因是：人员工资上调。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407.94万元，30102津贴补贴166.53万元，30103奖金322.07万元，30106伙食补助费21.6万元，30107绩效工资204.46万元，30108机关事业单位基本养老保险缴费161.74万元，30110职工基本医疗保险缴费66.64万元，30111公务员医疗补助缴费0万元，30112其他社会保障缴费6.98万元，30113住房公积金122.36万元，30199其他工资福利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723005" cy="2616835"/>
            <wp:effectExtent l="4445" t="4445" r="6350" b="762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20" w:firstLineChars="0"/>
        <w:jc w:val="left"/>
        <w:textAlignment w:val="auto"/>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u w:color="auto"/>
          <w:lang w:val="en-US" w:eastAsia="zh-CN"/>
        </w:rPr>
        <w:t>49.87</w:t>
      </w:r>
      <w:r>
        <w:rPr>
          <w:rFonts w:ascii="仿宋" w:hAnsi="仿宋" w:eastAsia="仿宋" w:cs="仿宋"/>
          <w:sz w:val="32"/>
          <w:szCs w:val="32"/>
          <w:highlight w:val="none"/>
          <w:u w:color="auto"/>
        </w:rPr>
        <w:t>万元，</w:t>
      </w:r>
      <w:r>
        <w:rPr>
          <w:rFonts w:hint="default" w:ascii="仿宋_GB2312" w:hAnsi="微软雅黑" w:eastAsia="仿宋_GB2312" w:cs="仿宋_GB2312"/>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97.31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2"/>
          <w:szCs w:val="32"/>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主要原因是：部分办公经费未支付完毕。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10.83万元，30205水费0.13万元，30206电费6.71万元，30207邮电费0.78万元，30211差旅费9.36万元，30215会议费0万元，30216培训费0万元，30226劳务费0万元，30228工会经费21.25万元，30217公务接待费0.37万元，30299其他商品和服务支出0.45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790315" cy="2579370"/>
            <wp:effectExtent l="4445" t="4445" r="15240" b="698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20" w:firstLineChars="0"/>
        <w:jc w:val="left"/>
        <w:textAlignment w:val="auto"/>
        <w:rPr>
          <w:rFonts w:hint="eastAsia"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112.64</w:t>
      </w:r>
      <w:r>
        <w:rPr>
          <w:rFonts w:hint="eastAsia" w:ascii="仿宋" w:hAnsi="仿宋" w:eastAsia="仿宋" w:cs="仿宋"/>
          <w:sz w:val="32"/>
          <w:u w:color="auto"/>
        </w:rPr>
        <w:t>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111.14</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主要原因是：退休补助费增加、抚恤金增加。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30301离休费0万元，30302退休费0万元，30304抚恤金7.54万元，30305生活补助103.89万元，30309奖励金1.21万元。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56380" cy="2807335"/>
            <wp:effectExtent l="4445" t="4445" r="15875" b="762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hint="eastAsia" w:ascii="仿宋" w:hAnsi="仿宋" w:eastAsia="仿宋" w:cs="仿宋"/>
          <w:sz w:val="32"/>
          <w:u w:color="auto"/>
        </w:rPr>
        <w:t>0.00万元，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主要原因是：无。</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rPr>
        <w:t>0.00万元，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lang w:val="en-US" w:eastAsia="zh-CN"/>
        </w:rPr>
        <w:t>主要原因是：无。</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rPr>
        <w:t>0.00万元，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lang w:val="en-US" w:eastAsia="zh-CN"/>
        </w:rPr>
        <w:t>主要原因是：无。</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2022年度政府性基金支出0.00万元，较2021年度决算数增加0.00万元，增长0%其中：基本支出0.00万元，项目支出0.00万元。</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2022年度政府性基金支出年初预算为0.00万元，支出决算为0.00万元，完成年初预算的0%。</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u w:color="auto"/>
        </w:rPr>
        <w:t>没有政府性基金收入，也没有政府性基金收入安排的支出</w:t>
      </w:r>
      <w:r>
        <w:rPr>
          <w:rFonts w:hint="eastAsia" w:ascii="仿宋" w:hAnsi="仿宋" w:eastAsia="仿宋" w:cs="仿宋"/>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2022年度国有资本经营预算支出决算情况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2022年度国有资本经营预算支出0.00万元。其中：基本支出0.00万元，项目支出0.00万元。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2022 年度国有资本经营预算支出年初预算为0.00万元，支出决算为0.00万元，完成年初预算的0%。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highlight w:val="none"/>
          <w:u w:color="auto"/>
        </w:rPr>
        <w:t>没有国有资本经营预算收入，也没有国有资本经营预算收入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安排的支出</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六、一般公共预算财政拨款安排的“三公”经费支出决算情况说明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2022年度一般公共预算财政拨款安排的“三公”经费支出</w:t>
      </w:r>
      <w:r>
        <w:rPr>
          <w:rFonts w:hint="eastAsia" w:ascii="仿宋" w:hAnsi="仿宋" w:eastAsia="仿宋" w:cs="仿宋"/>
          <w:color w:val="auto"/>
          <w:sz w:val="32"/>
          <w:szCs w:val="32"/>
          <w:highlight w:val="none"/>
          <w:lang w:val="en-US" w:eastAsia="zh-CN"/>
        </w:rPr>
        <w:t>0.37</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%，比上年增加</w:t>
      </w:r>
      <w:r>
        <w:rPr>
          <w:rFonts w:hint="eastAsia" w:ascii="仿宋" w:hAnsi="仿宋" w:eastAsia="仿宋" w:cs="仿宋"/>
          <w:color w:val="auto"/>
          <w:sz w:val="32"/>
          <w:szCs w:val="32"/>
          <w:highlight w:val="none"/>
          <w:lang w:val="en-US" w:eastAsia="zh-CN"/>
        </w:rPr>
        <w:t>0.37</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主要原因是：年中公用经费调剂使用。</w:t>
      </w:r>
      <w:r>
        <w:rPr>
          <w:rFonts w:hint="eastAsia" w:ascii="仿宋" w:hAnsi="仿宋" w:eastAsia="仿宋" w:cs="仿宋"/>
          <w:color w:val="auto"/>
          <w:sz w:val="32"/>
          <w:szCs w:val="32"/>
          <w:highlight w:val="none"/>
        </w:rPr>
        <w:t>其中：因公出国（境）费支出决算0.00万元，公务用车购置及运行费支出决算0.00万元，公务接待费支出决算</w:t>
      </w:r>
      <w:r>
        <w:rPr>
          <w:rFonts w:hint="eastAsia" w:ascii="仿宋" w:hAnsi="仿宋" w:eastAsia="仿宋" w:cs="仿宋"/>
          <w:color w:val="auto"/>
          <w:sz w:val="32"/>
          <w:szCs w:val="32"/>
          <w:highlight w:val="none"/>
          <w:lang w:val="en-US" w:eastAsia="zh-CN"/>
        </w:rPr>
        <w:t>0.37</w:t>
      </w:r>
      <w:r>
        <w:rPr>
          <w:rFonts w:hint="eastAsia" w:ascii="仿宋" w:hAnsi="仿宋" w:eastAsia="仿宋" w:cs="仿宋"/>
          <w:color w:val="auto"/>
          <w:sz w:val="32"/>
          <w:szCs w:val="32"/>
          <w:highlight w:val="none"/>
        </w:rPr>
        <w:t>万元。</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keepNext w:val="0"/>
        <w:keepLines w:val="0"/>
        <w:pageBreakBefore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因公出国（境）费支出0.00万元，完成年初预算的0%，比上年增加0.00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sz w:val="32"/>
          <w:szCs w:val="32"/>
          <w:lang w:val="en-US" w:eastAsia="zh-CN"/>
        </w:rPr>
        <w:t>无因公出国（境）人员。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2" w:name="PO_part3A6B2IncReason1"/>
      <w:r>
        <w:rPr>
          <w:rFonts w:hint="eastAsia" w:ascii="仿宋" w:hAnsi="仿宋" w:eastAsia="仿宋" w:cs="仿宋"/>
          <w:color w:val="auto"/>
          <w:sz w:val="32"/>
          <w:szCs w:val="32"/>
        </w:rPr>
        <w:t>本部门无公务用车购置</w:t>
      </w:r>
      <w:bookmarkEnd w:id="2"/>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u w:color="auto"/>
        </w:rPr>
        <w:t>增加0.00</w:t>
      </w:r>
      <w:r>
        <w:rPr>
          <w:rFonts w:hint="eastAsia" w:ascii="仿宋" w:hAnsi="仿宋" w:eastAsia="仿宋" w:cs="仿宋"/>
          <w:color w:val="auto"/>
          <w:sz w:val="32"/>
          <w:szCs w:val="32"/>
          <w:highlight w:val="none"/>
        </w:rPr>
        <w:t>万元。2022年，</w:t>
      </w:r>
      <w:r>
        <w:rPr>
          <w:rFonts w:hint="eastAsia" w:ascii="仿宋" w:hAnsi="仿宋" w:eastAsia="仿宋" w:cs="仿宋"/>
          <w:color w:val="auto"/>
          <w:sz w:val="32"/>
          <w:u w:color="auto"/>
          <w:lang w:val="en-US" w:eastAsia="zh-CN"/>
        </w:rPr>
        <w:t>华山林场</w:t>
      </w:r>
      <w:r>
        <w:rPr>
          <w:rFonts w:hint="eastAsia" w:ascii="仿宋" w:hAnsi="仿宋" w:eastAsia="仿宋" w:cs="仿宋"/>
          <w:color w:val="auto"/>
          <w:sz w:val="32"/>
          <w:szCs w:val="32"/>
          <w:highlight w:val="none"/>
        </w:rPr>
        <w:t>开支财政拨款的公务用车保有量为</w:t>
      </w:r>
      <w:r>
        <w:rPr>
          <w:rFonts w:hint="eastAsia"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0.37</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 比上年增加</w:t>
      </w:r>
      <w:r>
        <w:rPr>
          <w:rFonts w:hint="eastAsia" w:ascii="仿宋" w:hAnsi="仿宋" w:eastAsia="仿宋" w:cs="仿宋"/>
          <w:color w:val="auto"/>
          <w:sz w:val="32"/>
          <w:szCs w:val="32"/>
          <w:highlight w:val="none"/>
          <w:lang w:val="en-US" w:eastAsia="zh-CN"/>
        </w:rPr>
        <w:t>0.37</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主要原因是：用于广西林科院专家、上级林业主管部门领导、国家林业和草原局森林草原防火司到林场指导工作等业务接待。</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40</w:t>
      </w:r>
      <w:r>
        <w:rPr>
          <w:rFonts w:hint="eastAsia" w:ascii="仿宋" w:hAnsi="仿宋" w:eastAsia="仿宋" w:cs="仿宋"/>
          <w:color w:val="auto"/>
          <w:sz w:val="32"/>
          <w:szCs w:val="32"/>
          <w:highlight w:val="none"/>
        </w:rPr>
        <w:t>次，国（境）外公务接待批次0次，人次0次。</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本部门2022年度机关运行经费支出</w:t>
      </w:r>
      <w:r>
        <w:rPr>
          <w:rFonts w:hint="eastAsia" w:ascii="仿宋" w:hAnsi="仿宋" w:eastAsia="仿宋" w:cs="仿宋"/>
          <w:color w:val="auto"/>
          <w:sz w:val="32"/>
          <w:szCs w:val="32"/>
          <w:highlight w:val="none"/>
          <w:lang w:val="en-US" w:eastAsia="zh-CN"/>
        </w:rPr>
        <w:t>28.18</w:t>
      </w:r>
      <w:r>
        <w:rPr>
          <w:rFonts w:hint="eastAsia" w:ascii="仿宋" w:hAnsi="仿宋" w:eastAsia="仿宋" w:cs="仿宋"/>
          <w:color w:val="auto"/>
          <w:sz w:val="32"/>
          <w:szCs w:val="32"/>
          <w:highlight w:val="none"/>
        </w:rPr>
        <w:t>万元，比年初预算数减少</w:t>
      </w:r>
      <w:r>
        <w:rPr>
          <w:rFonts w:hint="eastAsia" w:ascii="仿宋" w:hAnsi="仿宋" w:eastAsia="仿宋" w:cs="仿宋"/>
          <w:color w:val="auto"/>
          <w:sz w:val="32"/>
          <w:szCs w:val="32"/>
          <w:highlight w:val="none"/>
          <w:lang w:val="en-US" w:eastAsia="zh-CN"/>
        </w:rPr>
        <w:t>1.82</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6.07</w:t>
      </w:r>
      <w:r>
        <w:rPr>
          <w:rFonts w:hint="eastAsia" w:ascii="仿宋" w:hAnsi="仿宋" w:eastAsia="仿宋" w:cs="仿宋"/>
          <w:color w:val="auto"/>
          <w:sz w:val="32"/>
          <w:szCs w:val="32"/>
          <w:highlight w:val="none"/>
        </w:rPr>
        <w:t>%，比上年决算数增加</w:t>
      </w:r>
      <w:r>
        <w:rPr>
          <w:rFonts w:hint="eastAsia" w:ascii="仿宋" w:hAnsi="仿宋" w:eastAsia="仿宋" w:cs="仿宋"/>
          <w:color w:val="auto"/>
          <w:sz w:val="32"/>
          <w:szCs w:val="32"/>
          <w:highlight w:val="none"/>
          <w:lang w:val="en-US" w:eastAsia="zh-CN"/>
        </w:rPr>
        <w:t>12.29</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77.34</w:t>
      </w:r>
      <w:r>
        <w:rPr>
          <w:rFonts w:hint="eastAsia" w:ascii="仿宋" w:hAnsi="仿宋" w:eastAsia="仿宋" w:cs="仿宋"/>
          <w:color w:val="auto"/>
          <w:sz w:val="32"/>
          <w:szCs w:val="32"/>
          <w:highlight w:val="none"/>
        </w:rPr>
        <w:t>%。主要原因是：办公设施设备购置经费增加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差旅费增加。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hint="eastAsia" w:ascii="仿宋" w:hAnsi="仿宋" w:eastAsia="仿宋" w:cs="仿宋"/>
          <w:color w:val="auto"/>
          <w:sz w:val="32"/>
          <w:szCs w:val="32"/>
          <w:highlight w:val="none"/>
          <w:lang w:val="en-US" w:eastAsia="zh-CN"/>
        </w:rPr>
        <w:t>6.462</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6.462</w:t>
      </w:r>
      <w:r>
        <w:rPr>
          <w:rFonts w:hint="eastAsia" w:ascii="仿宋" w:hAnsi="仿宋" w:eastAsia="仿宋" w:cs="仿宋"/>
          <w:color w:val="auto"/>
          <w:sz w:val="32"/>
          <w:szCs w:val="32"/>
          <w:highlight w:val="none"/>
        </w:rPr>
        <w:t>万元、政府采购工程支出0.00万元、政府采购服务支出1005.77万元。授予中小企业合同金额0.00万元，占政府采购支出总额的0.00%，其中：授予小微企业合同金额0.00万元，占授予中小企业合同金额的0%。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（三）国有资产占用情况说明</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元以上专用设备0台（套）。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55.03</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15.52</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1997.29</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万元。组织对</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1997.29</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部门整体绩效自评得分100分，自评等级一等。完成年初基本支出、项目支出预算目标，完成年度生产任务及县委、县政府及上级主管部门交办的其他事项。</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default" w:ascii="仿宋" w:hAnsi="仿宋" w:eastAsia="仿宋" w:cs="仿宋"/>
          <w:kern w:val="0"/>
          <w:sz w:val="32"/>
          <w:szCs w:val="32"/>
          <w:shd w:val="clear" w:fill="D6E6FF"/>
          <w:lang w:val="en-US" w:eastAsia="zh-CN" w:bidi="ar"/>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shd w:val="clear" w:color="auto" w:fill="auto"/>
          <w14:textFill>
            <w14:solidFill>
              <w14:schemeClr w14:val="tx1"/>
            </w14:solidFill>
          </w14:textFill>
        </w:rPr>
        <w:t>，</w:t>
      </w:r>
      <w:r>
        <w:rPr>
          <w:rFonts w:hint="eastAsia" w:ascii="仿宋" w:hAnsi="仿宋" w:eastAsia="仿宋" w:cs="仿宋"/>
          <w:kern w:val="0"/>
          <w:sz w:val="32"/>
          <w:szCs w:val="32"/>
          <w:shd w:val="clear" w:color="auto" w:fill="auto"/>
          <w:lang w:val="en-US" w:eastAsia="zh-CN" w:bidi="ar"/>
        </w:rPr>
        <w:t>对12个项目开展了绩效自评，结果如下：</w:t>
      </w:r>
    </w:p>
    <w:tbl>
      <w:tblPr>
        <w:tblStyle w:val="6"/>
        <w:tblW w:w="108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785"/>
        <w:gridCol w:w="675"/>
        <w:gridCol w:w="405"/>
        <w:gridCol w:w="720"/>
        <w:gridCol w:w="840"/>
        <w:gridCol w:w="735"/>
        <w:gridCol w:w="645"/>
        <w:gridCol w:w="645"/>
        <w:gridCol w:w="360"/>
        <w:gridCol w:w="404"/>
        <w:gridCol w:w="1730"/>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exact"/>
        </w:trPr>
        <w:tc>
          <w:tcPr>
            <w:tcW w:w="45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序列</w:t>
            </w:r>
          </w:p>
        </w:tc>
        <w:tc>
          <w:tcPr>
            <w:tcW w:w="178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名称</w:t>
            </w:r>
          </w:p>
        </w:tc>
        <w:tc>
          <w:tcPr>
            <w:tcW w:w="67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年初预算数</w:t>
            </w:r>
          </w:p>
        </w:tc>
        <w:tc>
          <w:tcPr>
            <w:tcW w:w="40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资金归口处室</w:t>
            </w:r>
          </w:p>
        </w:tc>
        <w:tc>
          <w:tcPr>
            <w:tcW w:w="72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当年预算数</w:t>
            </w:r>
          </w:p>
        </w:tc>
        <w:tc>
          <w:tcPr>
            <w:tcW w:w="8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全年执行数</w:t>
            </w:r>
          </w:p>
        </w:tc>
        <w:tc>
          <w:tcPr>
            <w:tcW w:w="73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项目总金额</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预算执行率</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得分</w:t>
            </w:r>
          </w:p>
        </w:tc>
        <w:tc>
          <w:tcPr>
            <w:tcW w:w="36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自评结论</w:t>
            </w:r>
          </w:p>
        </w:tc>
        <w:tc>
          <w:tcPr>
            <w:tcW w:w="40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截止天数</w:t>
            </w:r>
          </w:p>
        </w:tc>
        <w:tc>
          <w:tcPr>
            <w:tcW w:w="173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一级项目名称</w:t>
            </w:r>
          </w:p>
        </w:tc>
        <w:tc>
          <w:tcPr>
            <w:tcW w:w="140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一级项目编码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各分场、场部基础建设费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50000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52119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50285.18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274000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96.48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99.65</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专线资金项目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自治区财政林业改革发展资金(林木良种补助2022)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500000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500000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500000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自治区财政林业改革发展资金(林木良种补助)</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451226220000000004087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病虫害防治费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18500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22390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22390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36100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专线资金项目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2022年生态保护和修复支撑体系专项中央基建投资</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08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300000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300000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300000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生态保护和修复支撑体系专项中央基建投资</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451226220000000004154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林业技术推广与转化</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13000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41580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37576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26000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90.37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99.04</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专线资金项目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营林防火生产费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269300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269300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269300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1084300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专线资金项目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林地综合整治业务费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60000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116251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116244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189000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99.99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专线资金项目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森林防火经费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23000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25540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25517.4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154300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99.91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99.99</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专线资金项目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华山馨园桥维修项目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108953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108953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108953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党支部组织生活费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6200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6200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4770.4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17400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76.94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95.38</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788083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788083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1354083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90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451226220000000004233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2017-2018年退休职工养老金差额补发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2109700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2109700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一等</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451226210000000004000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Helvetica" w:hAnsi="Helvetica" w:eastAsia="Helvetica" w:cs="Helvetica"/>
          <w:kern w:val="0"/>
          <w:sz w:val="21"/>
          <w:szCs w:val="21"/>
          <w:shd w:val="clear" w:fill="D6E6FF"/>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部分项目预算执行率未达100%。原因：</w:t>
      </w:r>
      <w:r>
        <w:rPr>
          <w:rFonts w:hint="eastAsia" w:ascii="仿宋" w:hAnsi="仿宋" w:eastAsia="仿宋" w:cs="仿宋"/>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项目进度缓慢，未及时做好报帐手续。</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财政资金紧张，部分资金未完成支付，导致执行率未达100%</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及时做好项目验收结算报帐</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财政加快支付进度，保障项目资金执行率达100%。</w:t>
      </w:r>
    </w:p>
    <w:p>
      <w:pP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br w:type="page"/>
      </w:r>
    </w:p>
    <w:p>
      <w:pPr>
        <w:jc w:val="both"/>
        <w:rPr>
          <w:rFonts w:hint="eastAsia" w:ascii="仿宋" w:hAnsi="仿宋" w:eastAsia="仿宋" w:cs="仿宋"/>
          <w:color w:val="FF0000"/>
          <w:sz w:val="32"/>
          <w:szCs w:val="32"/>
        </w:rPr>
        <w:sectPr>
          <w:pgSz w:w="11906" w:h="16838"/>
          <w:pgMar w:top="1440" w:right="1236" w:bottom="1440" w:left="952" w:header="851" w:footer="992" w:gutter="0"/>
          <w:cols w:space="0"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236" w:bottom="1440" w:left="952"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30204"/>
    <w:charset w:val="00"/>
    <w:family w:val="auto"/>
    <w:pitch w:val="default"/>
    <w:sig w:usb0="00000000" w:usb1="00000000" w:usb2="00000000" w:usb3="00000000" w:csb0="00000093"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726519D3"/>
    <w:multiLevelType w:val="singleLevel"/>
    <w:tmpl w:val="726519D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3F7483"/>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4EDB"/>
    <w:rsid w:val="00AA78EE"/>
    <w:rsid w:val="00AB53E1"/>
    <w:rsid w:val="00AE5F66"/>
    <w:rsid w:val="00B07A0B"/>
    <w:rsid w:val="00B22F28"/>
    <w:rsid w:val="00B34633"/>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D5C30"/>
    <w:rsid w:val="01234E98"/>
    <w:rsid w:val="015F1951"/>
    <w:rsid w:val="01B661C6"/>
    <w:rsid w:val="01E83B97"/>
    <w:rsid w:val="020C171D"/>
    <w:rsid w:val="02105EC9"/>
    <w:rsid w:val="0216715F"/>
    <w:rsid w:val="02E0291A"/>
    <w:rsid w:val="03AF30E5"/>
    <w:rsid w:val="0438145A"/>
    <w:rsid w:val="045875B5"/>
    <w:rsid w:val="04E54546"/>
    <w:rsid w:val="05064296"/>
    <w:rsid w:val="050B3064"/>
    <w:rsid w:val="05477DE2"/>
    <w:rsid w:val="055B3DBE"/>
    <w:rsid w:val="05992762"/>
    <w:rsid w:val="05DC58AA"/>
    <w:rsid w:val="05F41ACE"/>
    <w:rsid w:val="07340F71"/>
    <w:rsid w:val="07B0770E"/>
    <w:rsid w:val="08AF0BCB"/>
    <w:rsid w:val="0928437A"/>
    <w:rsid w:val="0942143F"/>
    <w:rsid w:val="09926C3F"/>
    <w:rsid w:val="0B2E7CE5"/>
    <w:rsid w:val="0B761DC5"/>
    <w:rsid w:val="0B930BB5"/>
    <w:rsid w:val="0C0666EB"/>
    <w:rsid w:val="0C4E6EF7"/>
    <w:rsid w:val="0D0928B3"/>
    <w:rsid w:val="0D100297"/>
    <w:rsid w:val="0D202B45"/>
    <w:rsid w:val="0D3C254C"/>
    <w:rsid w:val="0D544A14"/>
    <w:rsid w:val="0D6F1519"/>
    <w:rsid w:val="0D992EEC"/>
    <w:rsid w:val="0E39045D"/>
    <w:rsid w:val="0E7F107C"/>
    <w:rsid w:val="0F214C70"/>
    <w:rsid w:val="0F854CB9"/>
    <w:rsid w:val="0F8D4C87"/>
    <w:rsid w:val="0F9339B1"/>
    <w:rsid w:val="10161FDD"/>
    <w:rsid w:val="10505FAA"/>
    <w:rsid w:val="105F7E7E"/>
    <w:rsid w:val="11126856"/>
    <w:rsid w:val="1155113E"/>
    <w:rsid w:val="11E56B5B"/>
    <w:rsid w:val="12445B3A"/>
    <w:rsid w:val="125C77AB"/>
    <w:rsid w:val="13C83D86"/>
    <w:rsid w:val="13D90378"/>
    <w:rsid w:val="14B15CF2"/>
    <w:rsid w:val="14C10AEB"/>
    <w:rsid w:val="14CB726E"/>
    <w:rsid w:val="153637FF"/>
    <w:rsid w:val="15B90272"/>
    <w:rsid w:val="161E2FA4"/>
    <w:rsid w:val="165E1841"/>
    <w:rsid w:val="166E657F"/>
    <w:rsid w:val="16EB49D1"/>
    <w:rsid w:val="174E374F"/>
    <w:rsid w:val="174F49CD"/>
    <w:rsid w:val="17AF353E"/>
    <w:rsid w:val="17E92249"/>
    <w:rsid w:val="18674F25"/>
    <w:rsid w:val="18D304F1"/>
    <w:rsid w:val="199E2BFC"/>
    <w:rsid w:val="199F0ECE"/>
    <w:rsid w:val="19CB099F"/>
    <w:rsid w:val="19EC3571"/>
    <w:rsid w:val="19F32577"/>
    <w:rsid w:val="19F45B80"/>
    <w:rsid w:val="19F9039C"/>
    <w:rsid w:val="1AB54CBD"/>
    <w:rsid w:val="1AC75E8C"/>
    <w:rsid w:val="1B0C078D"/>
    <w:rsid w:val="1B2B31E2"/>
    <w:rsid w:val="1B432AF6"/>
    <w:rsid w:val="1B4C295A"/>
    <w:rsid w:val="1B973C63"/>
    <w:rsid w:val="1BA1001E"/>
    <w:rsid w:val="1BFC71DB"/>
    <w:rsid w:val="1C2D5D81"/>
    <w:rsid w:val="1C325040"/>
    <w:rsid w:val="1C8275DA"/>
    <w:rsid w:val="1C9F6277"/>
    <w:rsid w:val="1D317259"/>
    <w:rsid w:val="1DAC0791"/>
    <w:rsid w:val="1DBD26D8"/>
    <w:rsid w:val="1E664F5B"/>
    <w:rsid w:val="1EAB52A8"/>
    <w:rsid w:val="1EB34BE1"/>
    <w:rsid w:val="1F8B5F20"/>
    <w:rsid w:val="1FA85442"/>
    <w:rsid w:val="1FFD05A3"/>
    <w:rsid w:val="205A41B7"/>
    <w:rsid w:val="20DC0E61"/>
    <w:rsid w:val="21135C74"/>
    <w:rsid w:val="21274F2B"/>
    <w:rsid w:val="21343943"/>
    <w:rsid w:val="215E639F"/>
    <w:rsid w:val="219162D8"/>
    <w:rsid w:val="21EC3183"/>
    <w:rsid w:val="21F96E37"/>
    <w:rsid w:val="22511BD2"/>
    <w:rsid w:val="225E72CD"/>
    <w:rsid w:val="22816C88"/>
    <w:rsid w:val="231E14A9"/>
    <w:rsid w:val="234F7600"/>
    <w:rsid w:val="23626B1C"/>
    <w:rsid w:val="2392159C"/>
    <w:rsid w:val="23B6212F"/>
    <w:rsid w:val="23D80148"/>
    <w:rsid w:val="240F3012"/>
    <w:rsid w:val="246E2F77"/>
    <w:rsid w:val="24DB723D"/>
    <w:rsid w:val="250826D0"/>
    <w:rsid w:val="250D551C"/>
    <w:rsid w:val="254B1EBF"/>
    <w:rsid w:val="254B4E2B"/>
    <w:rsid w:val="25DE6FA8"/>
    <w:rsid w:val="25E71D3E"/>
    <w:rsid w:val="25EC3C23"/>
    <w:rsid w:val="25F5515A"/>
    <w:rsid w:val="26033517"/>
    <w:rsid w:val="26255192"/>
    <w:rsid w:val="265F2C81"/>
    <w:rsid w:val="26A6534D"/>
    <w:rsid w:val="26EB3B6A"/>
    <w:rsid w:val="272746DA"/>
    <w:rsid w:val="27392E24"/>
    <w:rsid w:val="275D40FD"/>
    <w:rsid w:val="277B3D54"/>
    <w:rsid w:val="27F80D57"/>
    <w:rsid w:val="283D7C94"/>
    <w:rsid w:val="28526934"/>
    <w:rsid w:val="28932FDB"/>
    <w:rsid w:val="28C03CAF"/>
    <w:rsid w:val="28DC43AF"/>
    <w:rsid w:val="29480E03"/>
    <w:rsid w:val="2983634D"/>
    <w:rsid w:val="2AAF494C"/>
    <w:rsid w:val="2AFE5245"/>
    <w:rsid w:val="2B9833BD"/>
    <w:rsid w:val="2BB02055"/>
    <w:rsid w:val="2BED2F82"/>
    <w:rsid w:val="2BFD34C3"/>
    <w:rsid w:val="2C575A56"/>
    <w:rsid w:val="2C885513"/>
    <w:rsid w:val="2D0E6EA0"/>
    <w:rsid w:val="2D283624"/>
    <w:rsid w:val="2D2B6274"/>
    <w:rsid w:val="2D3308D8"/>
    <w:rsid w:val="2D4B5198"/>
    <w:rsid w:val="2D8639BE"/>
    <w:rsid w:val="2D8D5C78"/>
    <w:rsid w:val="2DB32987"/>
    <w:rsid w:val="2DCD6330"/>
    <w:rsid w:val="2DD227B8"/>
    <w:rsid w:val="2F257714"/>
    <w:rsid w:val="2F302D5E"/>
    <w:rsid w:val="2F3275E5"/>
    <w:rsid w:val="2F6B28DA"/>
    <w:rsid w:val="304B305B"/>
    <w:rsid w:val="3082203F"/>
    <w:rsid w:val="30AA08EF"/>
    <w:rsid w:val="30D23D1C"/>
    <w:rsid w:val="30E26C43"/>
    <w:rsid w:val="31221CF5"/>
    <w:rsid w:val="31400178"/>
    <w:rsid w:val="321E3342"/>
    <w:rsid w:val="327759C8"/>
    <w:rsid w:val="33185FE3"/>
    <w:rsid w:val="33373050"/>
    <w:rsid w:val="3374249B"/>
    <w:rsid w:val="33D032DD"/>
    <w:rsid w:val="33FF2DAF"/>
    <w:rsid w:val="34311A53"/>
    <w:rsid w:val="343659B5"/>
    <w:rsid w:val="34EE2E36"/>
    <w:rsid w:val="34F72A78"/>
    <w:rsid w:val="353B2C7B"/>
    <w:rsid w:val="356F1741"/>
    <w:rsid w:val="358502B1"/>
    <w:rsid w:val="35F33790"/>
    <w:rsid w:val="361104EB"/>
    <w:rsid w:val="36777241"/>
    <w:rsid w:val="37CD7B1B"/>
    <w:rsid w:val="383144F1"/>
    <w:rsid w:val="3891738E"/>
    <w:rsid w:val="389C791D"/>
    <w:rsid w:val="38A951DB"/>
    <w:rsid w:val="38B31605"/>
    <w:rsid w:val="38E02D2C"/>
    <w:rsid w:val="38F534E0"/>
    <w:rsid w:val="39003F4F"/>
    <w:rsid w:val="39242BC8"/>
    <w:rsid w:val="39CF4999"/>
    <w:rsid w:val="39F07CBA"/>
    <w:rsid w:val="3AF24E44"/>
    <w:rsid w:val="3B1C5C89"/>
    <w:rsid w:val="3B4E1CDB"/>
    <w:rsid w:val="3B5F6BA9"/>
    <w:rsid w:val="3B6E0271"/>
    <w:rsid w:val="3B86550F"/>
    <w:rsid w:val="3C065C06"/>
    <w:rsid w:val="3C07002B"/>
    <w:rsid w:val="3CAA48F5"/>
    <w:rsid w:val="3CBD116E"/>
    <w:rsid w:val="3D0D152A"/>
    <w:rsid w:val="3D527E27"/>
    <w:rsid w:val="3DF62756"/>
    <w:rsid w:val="3E6A08F3"/>
    <w:rsid w:val="3E6F0D06"/>
    <w:rsid w:val="3E963E4C"/>
    <w:rsid w:val="3EA572C5"/>
    <w:rsid w:val="3EB47090"/>
    <w:rsid w:val="3F123CBF"/>
    <w:rsid w:val="3F1B7587"/>
    <w:rsid w:val="3F483D77"/>
    <w:rsid w:val="3F595FFD"/>
    <w:rsid w:val="3FA833C6"/>
    <w:rsid w:val="3FDF78A0"/>
    <w:rsid w:val="400A23FA"/>
    <w:rsid w:val="4012322E"/>
    <w:rsid w:val="40337EDF"/>
    <w:rsid w:val="4106342F"/>
    <w:rsid w:val="413A36FE"/>
    <w:rsid w:val="41E57B4F"/>
    <w:rsid w:val="41EC2CBF"/>
    <w:rsid w:val="42000FFE"/>
    <w:rsid w:val="42207242"/>
    <w:rsid w:val="422B1328"/>
    <w:rsid w:val="425B77A3"/>
    <w:rsid w:val="425F7FAB"/>
    <w:rsid w:val="428377AF"/>
    <w:rsid w:val="42977E3A"/>
    <w:rsid w:val="431C44AA"/>
    <w:rsid w:val="432F26F6"/>
    <w:rsid w:val="43820755"/>
    <w:rsid w:val="43880F63"/>
    <w:rsid w:val="43D87641"/>
    <w:rsid w:val="43EF4E19"/>
    <w:rsid w:val="441C5A6F"/>
    <w:rsid w:val="44371303"/>
    <w:rsid w:val="44C44FCC"/>
    <w:rsid w:val="44CC7369"/>
    <w:rsid w:val="44DA5705"/>
    <w:rsid w:val="452A34E8"/>
    <w:rsid w:val="456A25AF"/>
    <w:rsid w:val="457F5108"/>
    <w:rsid w:val="468A764A"/>
    <w:rsid w:val="46951B6B"/>
    <w:rsid w:val="46971D13"/>
    <w:rsid w:val="46F337F6"/>
    <w:rsid w:val="477A6033"/>
    <w:rsid w:val="47FB07A5"/>
    <w:rsid w:val="48293873"/>
    <w:rsid w:val="485E084A"/>
    <w:rsid w:val="486812E2"/>
    <w:rsid w:val="48C51ABB"/>
    <w:rsid w:val="48D07BD4"/>
    <w:rsid w:val="49767158"/>
    <w:rsid w:val="49921B40"/>
    <w:rsid w:val="49A34401"/>
    <w:rsid w:val="49F153DD"/>
    <w:rsid w:val="4A0D4D0D"/>
    <w:rsid w:val="4A3E30AB"/>
    <w:rsid w:val="4AC14DAC"/>
    <w:rsid w:val="4AC27CB3"/>
    <w:rsid w:val="4AD124CC"/>
    <w:rsid w:val="4B8C4763"/>
    <w:rsid w:val="4BAA4805"/>
    <w:rsid w:val="4BE0681D"/>
    <w:rsid w:val="4BE24A38"/>
    <w:rsid w:val="4BED3CA4"/>
    <w:rsid w:val="4C73189D"/>
    <w:rsid w:val="4D154C85"/>
    <w:rsid w:val="4DAA31BF"/>
    <w:rsid w:val="4EC8553A"/>
    <w:rsid w:val="4F6C4371"/>
    <w:rsid w:val="4FC518B0"/>
    <w:rsid w:val="4FE047F5"/>
    <w:rsid w:val="508F4E24"/>
    <w:rsid w:val="50DF4CBB"/>
    <w:rsid w:val="51461E90"/>
    <w:rsid w:val="51463753"/>
    <w:rsid w:val="52553A93"/>
    <w:rsid w:val="52754A33"/>
    <w:rsid w:val="52970EF0"/>
    <w:rsid w:val="53075C2D"/>
    <w:rsid w:val="53521F8B"/>
    <w:rsid w:val="538E2A85"/>
    <w:rsid w:val="53E22F47"/>
    <w:rsid w:val="54522FF8"/>
    <w:rsid w:val="54AB3F7A"/>
    <w:rsid w:val="54D6663F"/>
    <w:rsid w:val="55450629"/>
    <w:rsid w:val="55744AAA"/>
    <w:rsid w:val="55850C4E"/>
    <w:rsid w:val="55DF5787"/>
    <w:rsid w:val="561A16CF"/>
    <w:rsid w:val="562F2266"/>
    <w:rsid w:val="5668047A"/>
    <w:rsid w:val="56692963"/>
    <w:rsid w:val="567C3CF2"/>
    <w:rsid w:val="567D7990"/>
    <w:rsid w:val="568B0F48"/>
    <w:rsid w:val="56CB04DB"/>
    <w:rsid w:val="5786217B"/>
    <w:rsid w:val="58083479"/>
    <w:rsid w:val="58306C40"/>
    <w:rsid w:val="586732DC"/>
    <w:rsid w:val="58A75AB6"/>
    <w:rsid w:val="593309E8"/>
    <w:rsid w:val="59337A15"/>
    <w:rsid w:val="59810274"/>
    <w:rsid w:val="59D13D69"/>
    <w:rsid w:val="5A166ED2"/>
    <w:rsid w:val="5A5305D0"/>
    <w:rsid w:val="5AA10BBF"/>
    <w:rsid w:val="5AC31602"/>
    <w:rsid w:val="5B066A5F"/>
    <w:rsid w:val="5B867F38"/>
    <w:rsid w:val="5BDA6DFE"/>
    <w:rsid w:val="5C186FA6"/>
    <w:rsid w:val="5C4E7358"/>
    <w:rsid w:val="5C4F7660"/>
    <w:rsid w:val="5CA96A00"/>
    <w:rsid w:val="5CB116E0"/>
    <w:rsid w:val="5CF730BC"/>
    <w:rsid w:val="5E065D78"/>
    <w:rsid w:val="5E105AC0"/>
    <w:rsid w:val="5E355B65"/>
    <w:rsid w:val="5E5F0DCE"/>
    <w:rsid w:val="5E712AFE"/>
    <w:rsid w:val="5F14417F"/>
    <w:rsid w:val="5F1E5F23"/>
    <w:rsid w:val="5FA40A7B"/>
    <w:rsid w:val="5FD56D29"/>
    <w:rsid w:val="5FE61F45"/>
    <w:rsid w:val="5FEC7F3F"/>
    <w:rsid w:val="60C80D9C"/>
    <w:rsid w:val="60F74BC3"/>
    <w:rsid w:val="617D3BF8"/>
    <w:rsid w:val="61841F6A"/>
    <w:rsid w:val="621351F3"/>
    <w:rsid w:val="623007A9"/>
    <w:rsid w:val="62731D94"/>
    <w:rsid w:val="6317701F"/>
    <w:rsid w:val="637D7558"/>
    <w:rsid w:val="640267D6"/>
    <w:rsid w:val="642021C6"/>
    <w:rsid w:val="644F19AC"/>
    <w:rsid w:val="656D07F8"/>
    <w:rsid w:val="65AA4920"/>
    <w:rsid w:val="65B54B2E"/>
    <w:rsid w:val="65BF4C1E"/>
    <w:rsid w:val="65C8055F"/>
    <w:rsid w:val="65F17726"/>
    <w:rsid w:val="66271BD4"/>
    <w:rsid w:val="66464C58"/>
    <w:rsid w:val="6677027B"/>
    <w:rsid w:val="6678672C"/>
    <w:rsid w:val="6680599F"/>
    <w:rsid w:val="66842D8F"/>
    <w:rsid w:val="668B64F1"/>
    <w:rsid w:val="67694F1E"/>
    <w:rsid w:val="67831827"/>
    <w:rsid w:val="678E0566"/>
    <w:rsid w:val="68336E43"/>
    <w:rsid w:val="69012E9C"/>
    <w:rsid w:val="690A5240"/>
    <w:rsid w:val="69431851"/>
    <w:rsid w:val="69597934"/>
    <w:rsid w:val="6AA17D54"/>
    <w:rsid w:val="6AC45A36"/>
    <w:rsid w:val="6B0F11ED"/>
    <w:rsid w:val="6B695F28"/>
    <w:rsid w:val="6B8916E0"/>
    <w:rsid w:val="6B964DDC"/>
    <w:rsid w:val="6BC71231"/>
    <w:rsid w:val="6BED1FE0"/>
    <w:rsid w:val="6C277C1D"/>
    <w:rsid w:val="6C2C1B05"/>
    <w:rsid w:val="6C783074"/>
    <w:rsid w:val="6D5A740C"/>
    <w:rsid w:val="6D9E65C6"/>
    <w:rsid w:val="6DA81947"/>
    <w:rsid w:val="6DCD3EDB"/>
    <w:rsid w:val="6E166656"/>
    <w:rsid w:val="6EB66DE2"/>
    <w:rsid w:val="6ED3075F"/>
    <w:rsid w:val="6F123AC7"/>
    <w:rsid w:val="6F2A2D4B"/>
    <w:rsid w:val="6F376285"/>
    <w:rsid w:val="6F5D1357"/>
    <w:rsid w:val="6F8A0C1E"/>
    <w:rsid w:val="6FFE360F"/>
    <w:rsid w:val="703F45D4"/>
    <w:rsid w:val="70563825"/>
    <w:rsid w:val="70B25771"/>
    <w:rsid w:val="70E368E2"/>
    <w:rsid w:val="712268B1"/>
    <w:rsid w:val="713B3A5A"/>
    <w:rsid w:val="715D6546"/>
    <w:rsid w:val="715F2025"/>
    <w:rsid w:val="71980A85"/>
    <w:rsid w:val="71BE069E"/>
    <w:rsid w:val="71CD3100"/>
    <w:rsid w:val="71E17E8B"/>
    <w:rsid w:val="71E25E63"/>
    <w:rsid w:val="72DD06FF"/>
    <w:rsid w:val="73953409"/>
    <w:rsid w:val="73D0568F"/>
    <w:rsid w:val="73D93DA0"/>
    <w:rsid w:val="73E069A3"/>
    <w:rsid w:val="748A502D"/>
    <w:rsid w:val="749F5591"/>
    <w:rsid w:val="74FB1D9B"/>
    <w:rsid w:val="75331EE9"/>
    <w:rsid w:val="755A0A19"/>
    <w:rsid w:val="7671495D"/>
    <w:rsid w:val="76FE3A5B"/>
    <w:rsid w:val="775C2F0E"/>
    <w:rsid w:val="77B83B7D"/>
    <w:rsid w:val="78104AA8"/>
    <w:rsid w:val="7823082E"/>
    <w:rsid w:val="78705D77"/>
    <w:rsid w:val="789C57B2"/>
    <w:rsid w:val="78E257C5"/>
    <w:rsid w:val="78E83871"/>
    <w:rsid w:val="793144E1"/>
    <w:rsid w:val="794B35BE"/>
    <w:rsid w:val="7950085E"/>
    <w:rsid w:val="7A1E0C67"/>
    <w:rsid w:val="7AAC4F5C"/>
    <w:rsid w:val="7B0A3A31"/>
    <w:rsid w:val="7B2232DA"/>
    <w:rsid w:val="7B3360ED"/>
    <w:rsid w:val="7B5319F3"/>
    <w:rsid w:val="7BDF037E"/>
    <w:rsid w:val="7BF50948"/>
    <w:rsid w:val="7C5F4699"/>
    <w:rsid w:val="7CE66A78"/>
    <w:rsid w:val="7D0E4CCC"/>
    <w:rsid w:val="7D17344E"/>
    <w:rsid w:val="7D23564C"/>
    <w:rsid w:val="7D3014EE"/>
    <w:rsid w:val="7D5E062D"/>
    <w:rsid w:val="7DF76CD8"/>
    <w:rsid w:val="7E09208C"/>
    <w:rsid w:val="7F025695"/>
    <w:rsid w:val="7F393C25"/>
    <w:rsid w:val="7F695C26"/>
    <w:rsid w:val="7FA25C7B"/>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333333"/>
      <w:u w:val="none"/>
    </w:rPr>
  </w:style>
  <w:style w:type="character" w:styleId="9">
    <w:name w:val="Emphasis"/>
    <w:basedOn w:val="7"/>
    <w:qFormat/>
    <w:uiPriority w:val="0"/>
    <w:rPr>
      <w:i/>
    </w:rPr>
  </w:style>
  <w:style w:type="character" w:styleId="10">
    <w:name w:val="Hyperlink"/>
    <w:basedOn w:val="7"/>
    <w:qFormat/>
    <w:uiPriority w:val="0"/>
    <w:rPr>
      <w:color w:val="333333"/>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pages"/>
    <w:basedOn w:val="7"/>
    <w:qFormat/>
    <w:uiPriority w:val="0"/>
    <w:rPr>
      <w:color w:val="222222"/>
      <w:bdr w:val="single" w:color="DFDFDF" w:sz="6" w:space="0"/>
      <w:shd w:val="clear" w:fill="F9F9F9"/>
    </w:rPr>
  </w:style>
  <w:style w:type="character" w:customStyle="1" w:styleId="15">
    <w:name w:val="current"/>
    <w:basedOn w:val="7"/>
    <w:qFormat/>
    <w:uiPriority w:val="0"/>
    <w:rPr>
      <w:bdr w:val="single" w:color="BBBBBB" w:sz="6" w:space="0"/>
      <w:shd w:val="clear" w:fill="EEEEEE"/>
    </w:rPr>
  </w:style>
  <w:style w:type="character" w:customStyle="1" w:styleId="16">
    <w:name w:val="current1"/>
    <w:basedOn w:val="7"/>
    <w:qFormat/>
    <w:uiPriority w:val="0"/>
    <w:rPr>
      <w:color w:val="FFFFFF"/>
      <w:shd w:val="clear" w:fill="00B2EE"/>
    </w:rPr>
  </w:style>
  <w:style w:type="character" w:customStyle="1" w:styleId="17">
    <w:name w:val="extend"/>
    <w:basedOn w:val="7"/>
    <w:qFormat/>
    <w:uiPriority w:val="0"/>
    <w:rPr>
      <w:b/>
      <w:bCs/>
    </w:rPr>
  </w:style>
  <w:style w:type="character" w:customStyle="1" w:styleId="18">
    <w:name w:val="current2"/>
    <w:basedOn w:val="7"/>
    <w:qFormat/>
    <w:uiPriority w:val="0"/>
    <w:rPr>
      <w:color w:val="FFFFFF"/>
      <w:shd w:val="clear" w:fill="00B2EE"/>
    </w:rPr>
  </w:style>
  <w:style w:type="character" w:customStyle="1" w:styleId="19">
    <w:name w:val="rbtn"/>
    <w:basedOn w:val="7"/>
    <w:qFormat/>
    <w:uiPriority w:val="0"/>
    <w:rPr>
      <w:color w:val="469DEA"/>
      <w:bdr w:val="single" w:color="E5E5E5" w:sz="6" w:space="0"/>
    </w:rPr>
  </w:style>
  <w:style w:type="character" w:customStyle="1" w:styleId="20">
    <w:name w:val="rbtn1"/>
    <w:basedOn w:val="7"/>
    <w:qFormat/>
    <w:uiPriority w:val="0"/>
    <w:rPr>
      <w:color w:val="469DEA"/>
      <w:bdr w:val="single" w:color="E5E5E5" w:sz="6" w:space="0"/>
    </w:rPr>
  </w:style>
  <w:style w:type="character" w:customStyle="1" w:styleId="21">
    <w:name w:val="hilite6"/>
    <w:basedOn w:val="7"/>
    <w:qFormat/>
    <w:uiPriority w:val="0"/>
    <w:rPr>
      <w:color w:val="FFFFFF"/>
      <w:shd w:val="clear" w:fill="666677"/>
    </w:rPr>
  </w:style>
  <w:style w:type="character" w:customStyle="1" w:styleId="22">
    <w:name w:val="layui-laypage-curr"/>
    <w:basedOn w:val="7"/>
    <w:qFormat/>
    <w:uiPriority w:val="0"/>
  </w:style>
  <w:style w:type="character" w:customStyle="1" w:styleId="23">
    <w:name w:val="active6"/>
    <w:basedOn w:val="7"/>
    <w:qFormat/>
    <w:uiPriority w:val="0"/>
    <w:rPr>
      <w:color w:val="00FF00"/>
      <w:shd w:val="clear" w:fill="000000"/>
    </w:rPr>
  </w:style>
  <w:style w:type="character" w:customStyle="1" w:styleId="24">
    <w:name w:val="layui-this2"/>
    <w:basedOn w:val="7"/>
    <w:qFormat/>
    <w:uiPriority w:val="0"/>
    <w:rPr>
      <w:bdr w:val="single" w:color="EEEEEE" w:sz="6" w:space="0"/>
      <w:shd w:val="clear" w:fill="FFFFFF"/>
    </w:rPr>
  </w:style>
  <w:style w:type="character" w:customStyle="1" w:styleId="25">
    <w:name w:val="first-child"/>
    <w:basedOn w:val="7"/>
    <w:qFormat/>
    <w:uiPriority w:val="0"/>
  </w:style>
  <w:style w:type="character" w:customStyle="1" w:styleId="26">
    <w:name w:val="font11"/>
    <w:basedOn w:val="7"/>
    <w:qFormat/>
    <w:uiPriority w:val="0"/>
    <w:rPr>
      <w:rFonts w:hint="eastAsia" w:ascii="宋体" w:hAnsi="宋体" w:eastAsia="宋体" w:cs="宋体"/>
      <w:b/>
      <w:bCs/>
      <w:color w:val="000000"/>
      <w:sz w:val="36"/>
      <w:szCs w:val="36"/>
      <w:u w:val="none"/>
    </w:rPr>
  </w:style>
  <w:style w:type="character" w:customStyle="1" w:styleId="27">
    <w:name w:val="font21"/>
    <w:basedOn w:val="7"/>
    <w:qFormat/>
    <w:uiPriority w:val="0"/>
    <w:rPr>
      <w:rFonts w:hint="eastAsia" w:ascii="宋体" w:hAnsi="宋体" w:eastAsia="宋体" w:cs="宋体"/>
      <w:b/>
      <w:bCs/>
      <w:color w:val="000000"/>
      <w:sz w:val="36"/>
      <w:szCs w:val="36"/>
      <w:u w:val="none"/>
    </w:rPr>
  </w:style>
  <w:style w:type="character" w:customStyle="1" w:styleId="28">
    <w:name w:val="font3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chart" Target="charts/chart14.xml"/><Relationship Id="rId34" Type="http://schemas.openxmlformats.org/officeDocument/2006/relationships/chart" Target="charts/chart13.xml"/><Relationship Id="rId33" Type="http://schemas.openxmlformats.org/officeDocument/2006/relationships/chart" Target="charts/chart12.xml"/><Relationship Id="rId32" Type="http://schemas.openxmlformats.org/officeDocument/2006/relationships/chart" Target="charts/chart11.xml"/><Relationship Id="rId31" Type="http://schemas.openxmlformats.org/officeDocument/2006/relationships/chart" Target="charts/chart10.xml"/><Relationship Id="rId30" Type="http://schemas.openxmlformats.org/officeDocument/2006/relationships/chart" Target="charts/chart9.xml"/><Relationship Id="rId3" Type="http://schemas.openxmlformats.org/officeDocument/2006/relationships/footnotes" Target="footnotes.xml"/><Relationship Id="rId29" Type="http://schemas.openxmlformats.org/officeDocument/2006/relationships/chart" Target="charts/chart8.xml"/><Relationship Id="rId28" Type="http://schemas.openxmlformats.org/officeDocument/2006/relationships/chart" Target="charts/chart7.xml"/><Relationship Id="rId27" Type="http://schemas.openxmlformats.org/officeDocument/2006/relationships/chart" Target="charts/chart6.xml"/><Relationship Id="rId26" Type="http://schemas.openxmlformats.org/officeDocument/2006/relationships/chart" Target="charts/chart5.xml"/><Relationship Id="rId25" Type="http://schemas.openxmlformats.org/officeDocument/2006/relationships/chart" Target="charts/chart4.xml"/><Relationship Id="rId24" Type="http://schemas.openxmlformats.org/officeDocument/2006/relationships/chart" Target="charts/chart3.xml"/><Relationship Id="rId23" Type="http://schemas.openxmlformats.org/officeDocument/2006/relationships/chart" Target="charts/chart2.xml"/><Relationship Id="rId22" Type="http://schemas.openxmlformats.org/officeDocument/2006/relationships/chart" Target="charts/chart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1997.29</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Sheet1!$A$4:$A$30</c:f>
              <c:numCache>
                <c:formatCode>General</c:formatCode>
                <c:ptCount val="27"/>
                <c:pt idx="0">
                  <c:v>30203</c:v>
                </c:pt>
                <c:pt idx="1">
                  <c:v>30204</c:v>
                </c:pt>
                <c:pt idx="2">
                  <c:v>30205</c:v>
                </c:pt>
                <c:pt idx="3">
                  <c:v>30206</c:v>
                </c:pt>
                <c:pt idx="4">
                  <c:v>30207</c:v>
                </c:pt>
                <c:pt idx="5">
                  <c:v>30208</c:v>
                </c:pt>
                <c:pt idx="6">
                  <c:v>30209</c:v>
                </c:pt>
                <c:pt idx="7">
                  <c:v>30211</c:v>
                </c:pt>
                <c:pt idx="8">
                  <c:v>30212</c:v>
                </c:pt>
                <c:pt idx="9">
                  <c:v>30213</c:v>
                </c:pt>
                <c:pt idx="10">
                  <c:v>30214</c:v>
                </c:pt>
                <c:pt idx="11">
                  <c:v>30215</c:v>
                </c:pt>
                <c:pt idx="12">
                  <c:v>30216</c:v>
                </c:pt>
                <c:pt idx="13">
                  <c:v>30217</c:v>
                </c:pt>
                <c:pt idx="14">
                  <c:v>30218</c:v>
                </c:pt>
                <c:pt idx="15">
                  <c:v>30224</c:v>
                </c:pt>
                <c:pt idx="16">
                  <c:v>30225</c:v>
                </c:pt>
                <c:pt idx="17">
                  <c:v>30226</c:v>
                </c:pt>
                <c:pt idx="18">
                  <c:v>30227</c:v>
                </c:pt>
                <c:pt idx="19">
                  <c:v>30228</c:v>
                </c:pt>
                <c:pt idx="20">
                  <c:v>30229</c:v>
                </c:pt>
                <c:pt idx="21">
                  <c:v>30231</c:v>
                </c:pt>
                <c:pt idx="22">
                  <c:v>30239</c:v>
                </c:pt>
                <c:pt idx="23">
                  <c:v>30240</c:v>
                </c:pt>
                <c:pt idx="24">
                  <c:v>30299</c:v>
                </c:pt>
              </c:numCache>
            </c:numRef>
          </c:cat>
          <c:val>
            <c:numRef>
              <c:f>Sheet1!$B$4:$B$30</c:f>
              <c:numCache>
                <c:formatCode>#,##0.00</c:formatCode>
                <c:ptCount val="27"/>
                <c:pt idx="0">
                  <c:v>0</c:v>
                </c:pt>
                <c:pt idx="1">
                  <c:v>0</c:v>
                </c:pt>
                <c:pt idx="2">
                  <c:v>0.13</c:v>
                </c:pt>
                <c:pt idx="3">
                  <c:v>6.71</c:v>
                </c:pt>
                <c:pt idx="4">
                  <c:v>0.78</c:v>
                </c:pt>
                <c:pt idx="5">
                  <c:v>0</c:v>
                </c:pt>
                <c:pt idx="6">
                  <c:v>0</c:v>
                </c:pt>
                <c:pt idx="7">
                  <c:v>9.36</c:v>
                </c:pt>
                <c:pt idx="8">
                  <c:v>0</c:v>
                </c:pt>
                <c:pt idx="9">
                  <c:v>0</c:v>
                </c:pt>
                <c:pt idx="10">
                  <c:v>0</c:v>
                </c:pt>
                <c:pt idx="11">
                  <c:v>0</c:v>
                </c:pt>
                <c:pt idx="12">
                  <c:v>0</c:v>
                </c:pt>
                <c:pt idx="13">
                  <c:v>0.37</c:v>
                </c:pt>
                <c:pt idx="14">
                  <c:v>0</c:v>
                </c:pt>
                <c:pt idx="15">
                  <c:v>0</c:v>
                </c:pt>
                <c:pt idx="16">
                  <c:v>0</c:v>
                </c:pt>
                <c:pt idx="17">
                  <c:v>0</c:v>
                </c:pt>
                <c:pt idx="18">
                  <c:v>0</c:v>
                </c:pt>
                <c:pt idx="19">
                  <c:v>21.25</c:v>
                </c:pt>
                <c:pt idx="20">
                  <c:v>0</c:v>
                </c:pt>
                <c:pt idx="21">
                  <c:v>0</c:v>
                </c:pt>
                <c:pt idx="22">
                  <c:v>0</c:v>
                </c:pt>
                <c:pt idx="23">
                  <c:v>0</c:v>
                </c:pt>
                <c:pt idx="24">
                  <c:v>0.45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#,##0.00</c:formatCode>
                <c:ptCount val="12"/>
                <c:pt idx="0">
                  <c:v>0</c:v>
                </c:pt>
                <c:pt idx="1">
                  <c:v>0</c:v>
                </c:pt>
                <c:pt idx="2">
                  <c:v>0</c:v>
                </c:pt>
                <c:pt idx="3">
                  <c:v>7.54</c:v>
                </c:pt>
                <c:pt idx="4">
                  <c:v>103.89</c:v>
                </c:pt>
                <c:pt idx="5">
                  <c:v>0</c:v>
                </c:pt>
                <c:pt idx="6">
                  <c:v>0</c:v>
                </c:pt>
                <c:pt idx="7">
                  <c:v>0</c:v>
                </c:pt>
                <c:pt idx="8">
                  <c:v>1.21</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农林水支出
</c:v>
                </c:pt>
                <c:pt idx="2">
                  <c:v>社会保障和就业支出</c:v>
                </c:pt>
                <c:pt idx="3">
                  <c:v>灾害防治及应急管理支出</c:v>
                </c:pt>
                <c:pt idx="4">
                  <c:v>住房保障支出</c:v>
                </c:pt>
              </c:strCache>
            </c:strRef>
          </c:cat>
          <c:val>
            <c:numRef>
              <c:f>Sheet1!$B$2:$B$6</c:f>
              <c:numCache>
                <c:formatCode>General</c:formatCode>
                <c:ptCount val="5"/>
                <c:pt idx="0">
                  <c:v>24.45</c:v>
                </c:pt>
                <c:pt idx="1">
                  <c:v>1448.56</c:v>
                </c:pt>
                <c:pt idx="2">
                  <c:v>178.09</c:v>
                </c:pt>
                <c:pt idx="3">
                  <c:v>0</c:v>
                </c:pt>
                <c:pt idx="4">
                  <c:v>130.29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农林水支出
</c:v>
                </c:pt>
                <c:pt idx="2">
                  <c:v>社会保障和就业支出</c:v>
                </c:pt>
                <c:pt idx="3">
                  <c:v>灾害防治及应急管理支出</c:v>
                </c:pt>
                <c:pt idx="4">
                  <c:v>住房保障支出</c:v>
                </c:pt>
              </c:strCache>
            </c:strRef>
          </c:cat>
          <c:val>
            <c:numRef>
              <c:f>Sheet1!$C$2:$C$6</c:f>
              <c:numCache>
                <c:formatCode>General</c:formatCode>
                <c:ptCount val="5"/>
                <c:pt idx="0">
                  <c:v>21.25</c:v>
                </c:pt>
                <c:pt idx="1">
                  <c:v>1412.28</c:v>
                </c:pt>
                <c:pt idx="2">
                  <c:v>169.97</c:v>
                </c:pt>
                <c:pt idx="3">
                  <c:v>30</c:v>
                </c:pt>
                <c:pt idx="4">
                  <c:v>122.36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21.25</c:v>
                </c:pt>
                <c:pt idx="1">
                  <c:v>21.25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161.74</c:v>
                </c:pt>
                <c:pt idx="1">
                  <c:v>161.74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2130104</c:v>
                </c:pt>
                <c:pt idx="1">
                  <c:v>2130112</c:v>
                </c:pt>
                <c:pt idx="2">
                  <c:v>2130204</c:v>
                </c:pt>
                <c:pt idx="3">
                  <c:v>2130205</c:v>
                </c:pt>
              </c:numCache>
            </c:numRef>
          </c:cat>
          <c:val>
            <c:numRef>
              <c:f>Sheet1!$B$2:$B$5</c:f>
              <c:numCache>
                <c:formatCode>General</c:formatCode>
                <c:ptCount val="4"/>
                <c:pt idx="0">
                  <c:v>3.79</c:v>
                </c:pt>
                <c:pt idx="1">
                  <c:v>0.03</c:v>
                </c:pt>
                <c:pt idx="2">
                  <c:v>1301.59</c:v>
                </c:pt>
                <c:pt idx="3">
                  <c:v>50.55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住房公积金</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122.36</c:v>
                </c:pt>
                <c:pt idx="1">
                  <c:v>122.36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灾害防治及应急管理支出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2249999</c:v>
                </c:pt>
              </c:numCache>
            </c:numRef>
          </c:cat>
          <c:val>
            <c:numRef>
              <c:f>Sheet1!$B$2:$B$3</c:f>
              <c:numCache>
                <c:formatCode>General</c:formatCode>
                <c:ptCount val="2"/>
                <c:pt idx="0">
                  <c:v>30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249.68</c:v>
                </c:pt>
                <c:pt idx="1">
                  <c:v>249.68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356.71</c:v>
                </c:pt>
                <c:pt idx="1">
                  <c:v>162.24</c:v>
                </c:pt>
                <c:pt idx="2">
                  <c:v>100.19</c:v>
                </c:pt>
                <c:pt idx="3">
                  <c:v>24.3</c:v>
                </c:pt>
                <c:pt idx="4">
                  <c:v>238.59</c:v>
                </c:pt>
                <c:pt idx="5">
                  <c:v>131.11</c:v>
                </c:pt>
                <c:pt idx="6">
                  <c:v>0</c:v>
                </c:pt>
                <c:pt idx="7">
                  <c:v>53.35</c:v>
                </c:pt>
                <c:pt idx="8">
                  <c:v>50.92</c:v>
                </c:pt>
                <c:pt idx="9">
                  <c:v>3.75</c:v>
                </c:pt>
                <c:pt idx="10">
                  <c:v>98.52</c:v>
                </c:pt>
                <c:pt idx="11">
                  <c:v>0</c:v>
                </c:pt>
                <c:pt idx="12">
                  <c:v>5.29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2023-11-17T08:32:00Z</cp:lastPrinted>
  <dcterms:modified xsi:type="dcterms:W3CDTF">2023-11-23T08:52:38Z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AE3BB873841D440FBEF870C3E94684F9</vt:lpwstr>
  </property>
</Properties>
</file>