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环江毛南族自治县林业局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环江毛南族自治县林业局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环江毛南族自治县林业局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环江毛南族自治县林业局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环江毛南族自治县林业局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环江毛南族自治县林业局</w:t>
      </w:r>
      <w:r>
        <w:rPr>
          <w:rFonts w:hint="eastAsia" w:ascii="仿宋" w:hAnsi="仿宋" w:eastAsia="仿宋" w:cs="仿宋"/>
          <w:color w:val="auto"/>
          <w:sz w:val="32"/>
          <w:szCs w:val="32"/>
        </w:rPr>
        <w:t>的主要职能是：</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1、负责全县林业及其生态建设的监督管理。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2、承担组织、协调、指导和监督全县造林绿化的责任。</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3、承担全县森林资源保护发展监督管理的责任。</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4、承担组织、指导和监督全县陆生野生动植物资源的保护和合理开发利用。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5、协助河池市林业局对全县林业系统自然保护区的监督管理。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6、组织、协调、指导和监督全县湿地保护工作。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7、组织、协调、指导和监督全县石漠化和沙化土地防治工作。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8、参与拟订自治县林业及其生态建设的财政、金融、价格、贸易等经济调节政策。</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9、承担推进全县林业改革，维护农民经营林业合法权益的责任。</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10、指导全县各产业对森林、湿地和陆生野生动植物资源的开发利用。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11、组织指导全县林业及其生态建设的科技、教育、人才、外事和信息化管理；指导全县林业队伍的建设；指导各乡镇林业工作站开展业务工作。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12、承担组织、协调、指导、监督全县森林防火工作。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13、承办县委、县政府交办的其他事项。</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本部门由我局共设置机构29个：其中局属各单位8个股室，12个乡镇林业工作站，3个国营苗圃，5个固定木材检查站（值勤室）， 1个自然保护区管理站（文雅）。</w:t>
      </w:r>
      <w:r>
        <w:rPr>
          <w:rFonts w:hint="eastAsia" w:ascii="仿宋" w:hAnsi="仿宋" w:eastAsia="仿宋" w:cs="仿宋"/>
          <w:color w:val="auto"/>
          <w:sz w:val="32"/>
          <w:szCs w:val="32"/>
          <w:lang w:val="en-US" w:eastAsia="zh-CN"/>
        </w:rPr>
        <w:t>单位性质及</w:t>
      </w:r>
      <w:r>
        <w:rPr>
          <w:rFonts w:hint="eastAsia" w:ascii="仿宋" w:hAnsi="仿宋" w:eastAsia="仿宋" w:cs="仿宋"/>
          <w:color w:val="auto"/>
          <w:sz w:val="32"/>
          <w:szCs w:val="32"/>
        </w:rPr>
        <w:t>人员情况如下表：</w:t>
      </w:r>
    </w:p>
    <w:tbl>
      <w:tblPr>
        <w:tblStyle w:val="7"/>
        <w:tblW w:w="868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3"/>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2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87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环江毛南族自治县林业局</w:t>
            </w:r>
          </w:p>
        </w:tc>
        <w:tc>
          <w:tcPr>
            <w:tcW w:w="281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行政</w:t>
            </w:r>
          </w:p>
        </w:tc>
      </w:tr>
      <w:bookmarkEnd w:id="0"/>
    </w:tbl>
    <w:p>
      <w:pPr>
        <w:ind w:firstLine="640" w:firstLineChars="200"/>
        <w:jc w:val="left"/>
        <w:rPr>
          <w:rFonts w:hint="eastAsia" w:ascii="仿宋" w:hAnsi="仿宋" w:eastAsia="仿宋" w:cs="仿宋"/>
          <w:sz w:val="32"/>
          <w:szCs w:val="32"/>
        </w:rPr>
      </w:pPr>
    </w:p>
    <w:p>
      <w:pPr>
        <w:ind w:firstLine="6400" w:firstLineChars="2000"/>
        <w:rPr>
          <w:rFonts w:hint="eastAsia" w:ascii="仿宋_GB2312" w:hAnsi="宋体" w:eastAsia="仿宋_GB2312"/>
          <w:sz w:val="32"/>
          <w:szCs w:val="32"/>
        </w:rPr>
      </w:pPr>
      <w:r>
        <w:rPr>
          <w:rFonts w:hint="eastAsia" w:ascii="仿宋_GB2312" w:hAnsi="宋体" w:eastAsia="仿宋_GB2312"/>
          <w:sz w:val="32"/>
          <w:szCs w:val="32"/>
        </w:rPr>
        <w:t xml:space="preserve">    单位：人</w:t>
      </w:r>
    </w:p>
    <w:tbl>
      <w:tblPr>
        <w:tblStyle w:val="7"/>
        <w:tblW w:w="8522" w:type="dxa"/>
        <w:jc w:val="center"/>
        <w:tblLayout w:type="fixed"/>
        <w:tblCellMar>
          <w:top w:w="0" w:type="dxa"/>
          <w:left w:w="0" w:type="dxa"/>
          <w:bottom w:w="0" w:type="dxa"/>
          <w:right w:w="0" w:type="dxa"/>
        </w:tblCellMar>
      </w:tblPr>
      <w:tblGrid>
        <w:gridCol w:w="1854"/>
        <w:gridCol w:w="700"/>
        <w:gridCol w:w="816"/>
        <w:gridCol w:w="950"/>
        <w:gridCol w:w="1200"/>
        <w:gridCol w:w="1567"/>
        <w:gridCol w:w="1435"/>
      </w:tblGrid>
      <w:tr>
        <w:trPr>
          <w:cantSplit/>
          <w:trHeight w:val="735" w:hRule="atLeast"/>
          <w:jc w:val="center"/>
        </w:trPr>
        <w:tc>
          <w:tcPr>
            <w:tcW w:w="1854" w:type="dxa"/>
            <w:vMerge w:val="restart"/>
            <w:tcBorders>
              <w:top w:val="single" w:color="auto" w:sz="4" w:space="0"/>
              <w:left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firstLine="480" w:firstLineChars="200"/>
              <w:rPr>
                <w:rFonts w:hint="eastAsia" w:ascii="仿宋_GB2312" w:hAnsi="宋体" w:eastAsia="仿宋_GB2312"/>
                <w:sz w:val="24"/>
              </w:rPr>
            </w:pPr>
            <w:r>
              <w:rPr>
                <w:rFonts w:hint="eastAsia" w:ascii="仿宋_GB2312" w:hAnsi="宋体" w:eastAsia="仿宋_GB2312"/>
                <w:sz w:val="24"/>
              </w:rPr>
              <w:t>项    目</w:t>
            </w:r>
          </w:p>
        </w:tc>
        <w:tc>
          <w:tcPr>
            <w:tcW w:w="700" w:type="dxa"/>
            <w:vMerge w:val="restart"/>
            <w:tcBorders>
              <w:top w:val="single" w:color="auto" w:sz="4" w:space="0"/>
              <w:left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合 计</w:t>
            </w:r>
          </w:p>
        </w:tc>
        <w:tc>
          <w:tcPr>
            <w:tcW w:w="816" w:type="dxa"/>
            <w:vMerge w:val="restart"/>
            <w:tcBorders>
              <w:top w:val="single" w:color="auto" w:sz="4" w:space="0"/>
              <w:left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行政</w:t>
            </w:r>
          </w:p>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2150" w:type="dxa"/>
            <w:gridSpan w:val="2"/>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财政拨款</w:t>
            </w:r>
          </w:p>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事业单位</w:t>
            </w:r>
          </w:p>
        </w:tc>
        <w:tc>
          <w:tcPr>
            <w:tcW w:w="1567" w:type="dxa"/>
            <w:vMerge w:val="restart"/>
            <w:tcBorders>
              <w:top w:val="single" w:color="auto" w:sz="4" w:space="0"/>
              <w:left w:val="nil"/>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财政补助</w:t>
            </w:r>
          </w:p>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事业单位</w:t>
            </w:r>
          </w:p>
        </w:tc>
        <w:tc>
          <w:tcPr>
            <w:tcW w:w="1435" w:type="dxa"/>
            <w:vMerge w:val="restart"/>
            <w:tcBorders>
              <w:top w:val="single" w:color="auto" w:sz="4" w:space="0"/>
              <w:left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聘用人员</w:t>
            </w:r>
          </w:p>
        </w:tc>
      </w:tr>
      <w:tr>
        <w:tblPrEx>
          <w:tblCellMar>
            <w:top w:w="0" w:type="dxa"/>
            <w:left w:w="0" w:type="dxa"/>
            <w:bottom w:w="0" w:type="dxa"/>
            <w:right w:w="0" w:type="dxa"/>
          </w:tblCellMar>
        </w:tblPrEx>
        <w:trPr>
          <w:cantSplit/>
          <w:trHeight w:val="195" w:hRule="atLeast"/>
          <w:jc w:val="center"/>
        </w:trPr>
        <w:tc>
          <w:tcPr>
            <w:tcW w:w="1854" w:type="dxa"/>
            <w:vMerge w:val="continue"/>
            <w:tcBorders>
              <w:left w:val="single" w:color="auto" w:sz="4" w:space="0"/>
              <w:bottom w:val="nil"/>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firstLine="480" w:firstLineChars="200"/>
              <w:rPr>
                <w:rFonts w:hint="eastAsia" w:ascii="仿宋_GB2312" w:hAnsi="宋体" w:eastAsia="仿宋_GB2312"/>
                <w:sz w:val="24"/>
              </w:rPr>
            </w:pPr>
          </w:p>
        </w:tc>
        <w:tc>
          <w:tcPr>
            <w:tcW w:w="700" w:type="dxa"/>
            <w:vMerge w:val="continue"/>
            <w:tcBorders>
              <w:left w:val="single" w:color="auto" w:sz="4" w:space="0"/>
              <w:bottom w:val="nil"/>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p>
        </w:tc>
        <w:tc>
          <w:tcPr>
            <w:tcW w:w="816" w:type="dxa"/>
            <w:vMerge w:val="continue"/>
            <w:tcBorders>
              <w:left w:val="single" w:color="auto" w:sz="4" w:space="0"/>
              <w:bottom w:val="nil"/>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p>
        </w:tc>
        <w:tc>
          <w:tcPr>
            <w:tcW w:w="950" w:type="dxa"/>
            <w:tcBorders>
              <w:top w:val="single" w:color="auto" w:sz="4" w:space="0"/>
              <w:left w:val="nil"/>
              <w:bottom w:val="nil"/>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参（依）公管理</w:t>
            </w:r>
          </w:p>
        </w:tc>
        <w:tc>
          <w:tcPr>
            <w:tcW w:w="1200" w:type="dxa"/>
            <w:tcBorders>
              <w:top w:val="single" w:color="auto" w:sz="4" w:space="0"/>
              <w:left w:val="nil"/>
              <w:bottom w:val="nil"/>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其他</w:t>
            </w:r>
          </w:p>
        </w:tc>
        <w:tc>
          <w:tcPr>
            <w:tcW w:w="1567" w:type="dxa"/>
            <w:vMerge w:val="continue"/>
            <w:tcBorders>
              <w:left w:val="nil"/>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p>
        </w:tc>
        <w:tc>
          <w:tcPr>
            <w:tcW w:w="1435" w:type="dxa"/>
            <w:vMerge w:val="continue"/>
            <w:tcBorders>
              <w:left w:val="single" w:color="auto" w:sz="4" w:space="0"/>
              <w:right w:val="single" w:color="auto" w:sz="4" w:space="0"/>
            </w:tcBorders>
            <w:noWrap w:val="0"/>
            <w:tcMar>
              <w:top w:w="20" w:type="dxa"/>
              <w:left w:w="20" w:type="dxa"/>
              <w:bottom w:w="0" w:type="dxa"/>
              <w:right w:w="2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宋体" w:eastAsia="仿宋_GB2312"/>
                <w:sz w:val="24"/>
              </w:rPr>
            </w:pPr>
          </w:p>
        </w:tc>
      </w:tr>
      <w:tr>
        <w:tblPrEx>
          <w:tblCellMar>
            <w:top w:w="0" w:type="dxa"/>
            <w:left w:w="0" w:type="dxa"/>
            <w:bottom w:w="0" w:type="dxa"/>
            <w:right w:w="0" w:type="dxa"/>
          </w:tblCellMar>
        </w:tblPrEx>
        <w:trPr>
          <w:trHeight w:val="227" w:hRule="atLeast"/>
          <w:jc w:val="center"/>
        </w:trPr>
        <w:tc>
          <w:tcPr>
            <w:tcW w:w="185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rPr>
                <w:rFonts w:hint="eastAsia" w:ascii="仿宋_GB2312" w:hAnsi="宋体" w:eastAsia="仿宋_GB2312"/>
                <w:sz w:val="24"/>
              </w:rPr>
            </w:pPr>
            <w:r>
              <w:rPr>
                <w:rFonts w:hint="eastAsia" w:ascii="仿宋_GB2312" w:hAnsi="宋体" w:eastAsia="仿宋_GB2312"/>
                <w:sz w:val="24"/>
              </w:rPr>
              <w:t>编制数</w:t>
            </w:r>
          </w:p>
        </w:tc>
        <w:tc>
          <w:tcPr>
            <w:tcW w:w="70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jc w:val="center"/>
              <w:rPr>
                <w:rFonts w:hint="default" w:ascii="仿宋_GB2312" w:hAnsi="宋体" w:eastAsia="仿宋_GB2312"/>
                <w:sz w:val="24"/>
                <w:lang w:val="en-US"/>
              </w:rPr>
            </w:pPr>
            <w:r>
              <w:rPr>
                <w:rFonts w:hint="eastAsia" w:ascii="仿宋_GB2312" w:hAnsi="宋体" w:eastAsia="仿宋_GB2312"/>
                <w:sz w:val="24"/>
                <w:lang w:val="en-US" w:eastAsia="zh-CN"/>
              </w:rPr>
              <w:t>158</w:t>
            </w:r>
          </w:p>
        </w:tc>
        <w:tc>
          <w:tcPr>
            <w:tcW w:w="816"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lang w:val="en-US"/>
              </w:rPr>
            </w:pPr>
            <w:r>
              <w:rPr>
                <w:rFonts w:hint="eastAsia" w:ascii="仿宋_GB2312" w:hAnsi="宋体" w:eastAsia="仿宋_GB2312"/>
                <w:sz w:val="24"/>
                <w:lang w:val="en-US" w:eastAsia="zh-CN"/>
              </w:rPr>
              <w:t>7</w:t>
            </w:r>
          </w:p>
        </w:tc>
        <w:tc>
          <w:tcPr>
            <w:tcW w:w="95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lang w:val="en-US"/>
              </w:rPr>
            </w:pPr>
            <w:r>
              <w:rPr>
                <w:rFonts w:hint="eastAsia" w:ascii="仿宋_GB2312" w:hAnsi="宋体" w:eastAsia="仿宋_GB2312"/>
                <w:sz w:val="24"/>
                <w:lang w:val="en-US" w:eastAsia="zh-CN"/>
              </w:rPr>
              <w:t>34</w:t>
            </w:r>
          </w:p>
        </w:tc>
        <w:tc>
          <w:tcPr>
            <w:tcW w:w="120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rPr>
            </w:pPr>
            <w:r>
              <w:rPr>
                <w:rFonts w:hint="eastAsia" w:ascii="仿宋_GB2312" w:hAnsi="宋体" w:eastAsia="仿宋_GB2312"/>
                <w:sz w:val="24"/>
                <w:lang w:val="en-US" w:eastAsia="zh-CN"/>
              </w:rPr>
              <w:t>41</w:t>
            </w:r>
          </w:p>
        </w:tc>
        <w:tc>
          <w:tcPr>
            <w:tcW w:w="156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76</w:t>
            </w:r>
          </w:p>
        </w:tc>
        <w:tc>
          <w:tcPr>
            <w:tcW w:w="143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center"/>
              <w:rPr>
                <w:rFonts w:hint="eastAsia" w:ascii="仿宋_GB2312" w:hAnsi="宋体" w:eastAsia="仿宋_GB2312"/>
                <w:sz w:val="24"/>
              </w:rPr>
            </w:pPr>
          </w:p>
        </w:tc>
      </w:tr>
      <w:tr>
        <w:tblPrEx>
          <w:tblCellMar>
            <w:top w:w="0" w:type="dxa"/>
            <w:left w:w="0" w:type="dxa"/>
            <w:bottom w:w="0" w:type="dxa"/>
            <w:right w:w="0" w:type="dxa"/>
          </w:tblCellMar>
        </w:tblPrEx>
        <w:trPr>
          <w:trHeight w:val="306" w:hRule="atLeast"/>
          <w:jc w:val="center"/>
        </w:trPr>
        <w:tc>
          <w:tcPr>
            <w:tcW w:w="1854"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rPr>
                <w:rFonts w:hint="eastAsia" w:ascii="仿宋_GB2312" w:hAnsi="宋体" w:eastAsia="仿宋_GB2312"/>
                <w:sz w:val="24"/>
              </w:rPr>
            </w:pPr>
            <w:r>
              <w:rPr>
                <w:rFonts w:hint="eastAsia" w:ascii="仿宋_GB2312" w:hAnsi="宋体" w:eastAsia="仿宋_GB2312"/>
                <w:sz w:val="24"/>
              </w:rPr>
              <w:t>在职人数</w:t>
            </w:r>
          </w:p>
        </w:tc>
        <w:tc>
          <w:tcPr>
            <w:tcW w:w="7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jc w:val="center"/>
              <w:rPr>
                <w:rFonts w:hint="default" w:ascii="仿宋_GB2312" w:hAnsi="宋体" w:eastAsia="仿宋_GB2312"/>
                <w:sz w:val="24"/>
                <w:lang w:val="en-US"/>
              </w:rPr>
            </w:pPr>
            <w:r>
              <w:rPr>
                <w:rFonts w:hint="eastAsia" w:ascii="仿宋_GB2312" w:hAnsi="宋体" w:eastAsia="仿宋_GB2312"/>
                <w:sz w:val="24"/>
                <w:lang w:val="en-US" w:eastAsia="zh-CN"/>
              </w:rPr>
              <w:t>139</w:t>
            </w:r>
          </w:p>
        </w:tc>
        <w:tc>
          <w:tcPr>
            <w:tcW w:w="816"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lang w:val="en-US"/>
              </w:rPr>
            </w:pPr>
            <w:r>
              <w:rPr>
                <w:rFonts w:hint="eastAsia" w:ascii="仿宋_GB2312" w:hAnsi="宋体" w:eastAsia="仿宋_GB2312"/>
                <w:sz w:val="24"/>
                <w:lang w:val="en-US" w:eastAsia="zh-CN"/>
              </w:rPr>
              <w:t>7</w:t>
            </w:r>
          </w:p>
        </w:tc>
        <w:tc>
          <w:tcPr>
            <w:tcW w:w="95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rPr>
            </w:pPr>
            <w:r>
              <w:rPr>
                <w:rFonts w:hint="eastAsia" w:ascii="仿宋_GB2312" w:hAnsi="宋体" w:eastAsia="仿宋_GB2312"/>
                <w:sz w:val="24"/>
                <w:lang w:val="en-US" w:eastAsia="zh-CN"/>
              </w:rPr>
              <w:t>28</w:t>
            </w:r>
          </w:p>
        </w:tc>
        <w:tc>
          <w:tcPr>
            <w:tcW w:w="12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rPr>
            </w:pPr>
            <w:r>
              <w:rPr>
                <w:rFonts w:hint="eastAsia" w:ascii="仿宋_GB2312" w:hAnsi="宋体" w:eastAsia="仿宋_GB2312"/>
                <w:sz w:val="24"/>
                <w:lang w:val="en-US" w:eastAsia="zh-CN"/>
              </w:rPr>
              <w:t>40</w:t>
            </w:r>
          </w:p>
        </w:tc>
        <w:tc>
          <w:tcPr>
            <w:tcW w:w="1567"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64</w:t>
            </w:r>
          </w:p>
        </w:tc>
        <w:tc>
          <w:tcPr>
            <w:tcW w:w="143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center"/>
              <w:rPr>
                <w:rFonts w:hint="eastAsia" w:ascii="仿宋_GB2312" w:hAnsi="宋体" w:eastAsia="仿宋_GB2312"/>
                <w:sz w:val="24"/>
              </w:rPr>
            </w:pPr>
          </w:p>
        </w:tc>
      </w:tr>
      <w:tr>
        <w:tblPrEx>
          <w:tblCellMar>
            <w:top w:w="0" w:type="dxa"/>
            <w:left w:w="0" w:type="dxa"/>
            <w:bottom w:w="0" w:type="dxa"/>
            <w:right w:w="0" w:type="dxa"/>
          </w:tblCellMar>
        </w:tblPrEx>
        <w:trPr>
          <w:trHeight w:val="227" w:hRule="atLeast"/>
          <w:jc w:val="center"/>
        </w:trPr>
        <w:tc>
          <w:tcPr>
            <w:tcW w:w="1854"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120" w:firstLineChars="50"/>
              <w:rPr>
                <w:rFonts w:hint="eastAsia" w:ascii="仿宋_GB2312" w:hAnsi="宋体" w:eastAsia="仿宋_GB2312"/>
                <w:sz w:val="24"/>
              </w:rPr>
            </w:pPr>
            <w:r>
              <w:rPr>
                <w:rFonts w:hint="eastAsia" w:ascii="仿宋_GB2312" w:hAnsi="宋体" w:eastAsia="仿宋_GB2312"/>
                <w:sz w:val="24"/>
              </w:rPr>
              <w:t>其中：在岗人数</w:t>
            </w:r>
          </w:p>
        </w:tc>
        <w:tc>
          <w:tcPr>
            <w:tcW w:w="7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139</w:t>
            </w:r>
          </w:p>
        </w:tc>
        <w:tc>
          <w:tcPr>
            <w:tcW w:w="816"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lang w:val="en-US" w:eastAsia="zh-CN"/>
              </w:rPr>
            </w:pPr>
            <w:r>
              <w:rPr>
                <w:rFonts w:hint="eastAsia" w:ascii="仿宋_GB2312" w:hAnsi="宋体" w:eastAsia="仿宋_GB2312"/>
                <w:sz w:val="24"/>
                <w:lang w:val="en-US" w:eastAsia="zh-CN"/>
              </w:rPr>
              <w:t>7</w:t>
            </w:r>
          </w:p>
        </w:tc>
        <w:tc>
          <w:tcPr>
            <w:tcW w:w="95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28</w:t>
            </w:r>
          </w:p>
        </w:tc>
        <w:tc>
          <w:tcPr>
            <w:tcW w:w="12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40</w:t>
            </w:r>
          </w:p>
        </w:tc>
        <w:tc>
          <w:tcPr>
            <w:tcW w:w="1567"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64</w:t>
            </w:r>
          </w:p>
        </w:tc>
        <w:tc>
          <w:tcPr>
            <w:tcW w:w="143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center"/>
              <w:rPr>
                <w:rFonts w:hint="eastAsia" w:ascii="仿宋_GB2312" w:hAnsi="宋体" w:eastAsia="仿宋_GB2312"/>
                <w:sz w:val="24"/>
                <w:lang w:val="en-US" w:eastAsia="zh-CN"/>
              </w:rPr>
            </w:pPr>
          </w:p>
        </w:tc>
      </w:tr>
      <w:tr>
        <w:tblPrEx>
          <w:tblCellMar>
            <w:top w:w="0" w:type="dxa"/>
            <w:left w:w="0" w:type="dxa"/>
            <w:bottom w:w="0" w:type="dxa"/>
            <w:right w:w="0" w:type="dxa"/>
          </w:tblCellMar>
        </w:tblPrEx>
        <w:trPr>
          <w:trHeight w:val="227" w:hRule="atLeast"/>
          <w:jc w:val="center"/>
        </w:trPr>
        <w:tc>
          <w:tcPr>
            <w:tcW w:w="1854"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rPr>
                <w:rFonts w:hint="eastAsia" w:ascii="仿宋_GB2312" w:hAnsi="宋体" w:eastAsia="仿宋_GB2312"/>
                <w:sz w:val="24"/>
              </w:rPr>
            </w:pPr>
            <w:r>
              <w:rPr>
                <w:rFonts w:hint="eastAsia" w:ascii="仿宋_GB2312" w:hAnsi="宋体" w:eastAsia="仿宋_GB2312"/>
                <w:sz w:val="24"/>
              </w:rPr>
              <w:t>离退休人数</w:t>
            </w:r>
          </w:p>
        </w:tc>
        <w:tc>
          <w:tcPr>
            <w:tcW w:w="7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jc w:val="center"/>
              <w:rPr>
                <w:rFonts w:hint="default" w:ascii="仿宋_GB2312" w:hAnsi="宋体" w:eastAsia="仿宋_GB2312"/>
                <w:sz w:val="24"/>
                <w:lang w:val="en-US"/>
              </w:rPr>
            </w:pPr>
            <w:r>
              <w:rPr>
                <w:rFonts w:hint="eastAsia" w:ascii="仿宋_GB2312" w:hAnsi="宋体" w:eastAsia="仿宋_GB2312"/>
                <w:sz w:val="24"/>
                <w:lang w:val="en-US" w:eastAsia="zh-CN"/>
              </w:rPr>
              <w:t>69</w:t>
            </w:r>
          </w:p>
        </w:tc>
        <w:tc>
          <w:tcPr>
            <w:tcW w:w="816"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69</w:t>
            </w:r>
          </w:p>
        </w:tc>
        <w:tc>
          <w:tcPr>
            <w:tcW w:w="95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2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56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43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center"/>
              <w:rPr>
                <w:rFonts w:hint="eastAsia" w:ascii="仿宋_GB2312" w:hAnsi="宋体" w:eastAsia="仿宋_GB2312"/>
                <w:sz w:val="24"/>
              </w:rPr>
            </w:pPr>
          </w:p>
        </w:tc>
      </w:tr>
      <w:tr>
        <w:tblPrEx>
          <w:tblCellMar>
            <w:top w:w="0" w:type="dxa"/>
            <w:left w:w="0" w:type="dxa"/>
            <w:bottom w:w="0" w:type="dxa"/>
            <w:right w:w="0" w:type="dxa"/>
          </w:tblCellMar>
        </w:tblPrEx>
        <w:trPr>
          <w:trHeight w:val="227" w:hRule="atLeast"/>
          <w:jc w:val="center"/>
        </w:trPr>
        <w:tc>
          <w:tcPr>
            <w:tcW w:w="185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120" w:firstLineChars="50"/>
              <w:rPr>
                <w:rFonts w:hint="eastAsia" w:ascii="仿宋_GB2312" w:hAnsi="宋体" w:eastAsia="仿宋_GB2312"/>
                <w:sz w:val="24"/>
              </w:rPr>
            </w:pPr>
            <w:r>
              <w:rPr>
                <w:rFonts w:hint="eastAsia" w:ascii="仿宋_GB2312" w:hAnsi="宋体" w:eastAsia="仿宋_GB2312"/>
                <w:sz w:val="24"/>
              </w:rPr>
              <w:t>其中：离休人数</w:t>
            </w:r>
          </w:p>
        </w:tc>
        <w:tc>
          <w:tcPr>
            <w:tcW w:w="70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jc w:val="center"/>
              <w:rPr>
                <w:rFonts w:hint="default" w:ascii="仿宋_GB2312" w:hAnsi="宋体" w:eastAsia="仿宋_GB2312"/>
                <w:sz w:val="24"/>
                <w:lang w:val="en-US" w:eastAsia="zh-CN"/>
              </w:rPr>
            </w:pPr>
          </w:p>
        </w:tc>
        <w:tc>
          <w:tcPr>
            <w:tcW w:w="816"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p>
        </w:tc>
        <w:tc>
          <w:tcPr>
            <w:tcW w:w="95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200"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56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eastAsia" w:ascii="仿宋_GB2312" w:hAnsi="宋体" w:eastAsia="仿宋_GB2312"/>
                <w:sz w:val="24"/>
              </w:rPr>
            </w:pPr>
          </w:p>
        </w:tc>
        <w:tc>
          <w:tcPr>
            <w:tcW w:w="143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center"/>
              <w:rPr>
                <w:rFonts w:hint="eastAsia" w:ascii="仿宋_GB2312" w:hAnsi="宋体" w:eastAsia="仿宋_GB2312"/>
                <w:sz w:val="24"/>
              </w:rPr>
            </w:pPr>
          </w:p>
        </w:tc>
      </w:tr>
      <w:tr>
        <w:tblPrEx>
          <w:tblCellMar>
            <w:top w:w="0" w:type="dxa"/>
            <w:left w:w="0" w:type="dxa"/>
            <w:bottom w:w="0" w:type="dxa"/>
            <w:right w:w="0" w:type="dxa"/>
          </w:tblCellMar>
        </w:tblPrEx>
        <w:trPr>
          <w:trHeight w:val="227" w:hRule="atLeast"/>
          <w:jc w:val="center"/>
        </w:trPr>
        <w:tc>
          <w:tcPr>
            <w:tcW w:w="1854"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840" w:firstLineChars="350"/>
              <w:rPr>
                <w:rFonts w:hint="eastAsia" w:ascii="仿宋_GB2312" w:hAnsi="宋体" w:eastAsia="仿宋_GB2312"/>
                <w:sz w:val="24"/>
              </w:rPr>
            </w:pPr>
            <w:r>
              <w:rPr>
                <w:rFonts w:hint="eastAsia" w:ascii="仿宋_GB2312" w:hAnsi="宋体" w:eastAsia="仿宋_GB2312"/>
                <w:sz w:val="24"/>
              </w:rPr>
              <w:t>退休人数</w:t>
            </w:r>
          </w:p>
        </w:tc>
        <w:tc>
          <w:tcPr>
            <w:tcW w:w="7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240" w:firstLineChars="1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69</w:t>
            </w:r>
          </w:p>
        </w:tc>
        <w:tc>
          <w:tcPr>
            <w:tcW w:w="816"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480" w:firstLineChars="200"/>
              <w:jc w:val="both"/>
              <w:rPr>
                <w:rFonts w:hint="default" w:ascii="仿宋_GB2312" w:hAnsi="宋体" w:eastAsia="仿宋_GB2312"/>
                <w:sz w:val="24"/>
                <w:lang w:val="en-US" w:eastAsia="zh-CN"/>
              </w:rPr>
            </w:pPr>
            <w:r>
              <w:rPr>
                <w:rFonts w:hint="eastAsia" w:ascii="仿宋_GB2312" w:hAnsi="宋体" w:eastAsia="仿宋_GB2312"/>
                <w:sz w:val="24"/>
                <w:lang w:val="en-US" w:eastAsia="zh-CN"/>
              </w:rPr>
              <w:t>69</w:t>
            </w:r>
          </w:p>
        </w:tc>
        <w:tc>
          <w:tcPr>
            <w:tcW w:w="95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859" w:firstLineChars="358"/>
              <w:jc w:val="both"/>
              <w:rPr>
                <w:rFonts w:hint="eastAsia" w:ascii="仿宋_GB2312" w:hAnsi="宋体" w:eastAsia="仿宋_GB2312"/>
                <w:sz w:val="24"/>
              </w:rPr>
            </w:pPr>
          </w:p>
        </w:tc>
        <w:tc>
          <w:tcPr>
            <w:tcW w:w="1200"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859" w:firstLineChars="358"/>
              <w:jc w:val="both"/>
              <w:rPr>
                <w:rFonts w:hint="eastAsia" w:ascii="仿宋_GB2312" w:hAnsi="宋体" w:eastAsia="仿宋_GB2312"/>
                <w:sz w:val="24"/>
              </w:rPr>
            </w:pPr>
          </w:p>
        </w:tc>
        <w:tc>
          <w:tcPr>
            <w:tcW w:w="1567" w:type="dxa"/>
            <w:tcBorders>
              <w:top w:val="nil"/>
              <w:left w:val="nil"/>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859" w:firstLineChars="358"/>
              <w:jc w:val="both"/>
              <w:rPr>
                <w:rFonts w:hint="eastAsia" w:ascii="仿宋_GB2312" w:hAnsi="宋体" w:eastAsia="仿宋_GB2312"/>
                <w:sz w:val="24"/>
              </w:rPr>
            </w:pPr>
          </w:p>
        </w:tc>
        <w:tc>
          <w:tcPr>
            <w:tcW w:w="1435"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top"/>
          </w:tcPr>
          <w:p>
            <w:pPr>
              <w:keepNext w:val="0"/>
              <w:keepLines w:val="0"/>
              <w:suppressLineNumbers w:val="0"/>
              <w:spacing w:before="0" w:beforeAutospacing="0" w:after="0" w:afterAutospacing="0"/>
              <w:ind w:left="0" w:right="0" w:firstLine="859" w:firstLineChars="358"/>
              <w:jc w:val="center"/>
              <w:rPr>
                <w:rFonts w:hint="eastAsia" w:ascii="仿宋_GB2312" w:hAnsi="宋体" w:eastAsia="仿宋_GB2312"/>
                <w:sz w:val="24"/>
              </w:rPr>
            </w:pPr>
          </w:p>
        </w:tc>
      </w:tr>
    </w:tbl>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环江毛南族自治县林业局</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9,016.47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9,016.47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9,016.47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9,016.47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9,016.47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生态保护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其他节能环保支出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林业和草原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7,311.75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7,311.75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执法与监督</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2130234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1,222.96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1,222.96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9,016.47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2,062.35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6,954.12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2110401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生态保护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其他节能环保支出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2119999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1,334.49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5,987.85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林业和草原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7,311.75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1,330.75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5,981.00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事业机构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执法与监督</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2130234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1,222.96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1,190.08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5" w:type="pct"/>
        <w:tblInd w:w="0" w:type="dxa"/>
        <w:tblLayout w:type="fixed"/>
        <w:tblCellMar>
          <w:top w:w="0" w:type="dxa"/>
          <w:left w:w="108" w:type="dxa"/>
          <w:bottom w:w="0" w:type="dxa"/>
          <w:right w:w="108" w:type="dxa"/>
        </w:tblCellMar>
      </w:tblPr>
      <w:tblGrid>
        <w:gridCol w:w="2214"/>
        <w:gridCol w:w="785"/>
        <w:gridCol w:w="1307"/>
        <w:gridCol w:w="2360"/>
        <w:gridCol w:w="853"/>
        <w:gridCol w:w="1194"/>
        <w:gridCol w:w="1667"/>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9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59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9,016.47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217.39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966.27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7,322.34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9,016.47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9,016.47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9,016.47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9,016.47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2,062.35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6,954.12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217.39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966.27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966.27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2110401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生态保护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2119999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7,322.34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1,334.49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5,987.85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林业和草原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7,311.75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5,981.00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森林资源培育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1,050.30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3,598.48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动植物保护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执法与监督</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2130234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52.92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其他林业和草原支出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1,222.96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1,190.08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1,920.21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373.12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316.14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460.97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249.28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234.81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27.17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1,953.54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0.00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环江毛南族自治县林业局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1.01</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环江毛南族自治县林业局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9,016.47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w:t>
      </w:r>
      <w:r>
        <w:rPr>
          <w:rFonts w:hint="eastAsia" w:ascii="仿宋" w:hAnsi="仿宋" w:eastAsia="仿宋" w:cs="仿宋"/>
          <w:sz w:val="32"/>
          <w:u w:color="auto"/>
        </w:rPr>
        <w:t>1</w:t>
      </w:r>
      <w:r>
        <w:rPr>
          <w:rFonts w:hint="eastAsia" w:ascii="仿宋" w:hAnsi="仿宋" w:eastAsia="仿宋" w:cs="仿宋"/>
          <w:sz w:val="32"/>
          <w:u w:color="auto"/>
          <w:lang w:eastAsia="zh-CN"/>
        </w:rPr>
        <w:t>，</w:t>
      </w:r>
      <w:r>
        <w:rPr>
          <w:rFonts w:hint="eastAsia" w:ascii="仿宋" w:hAnsi="仿宋" w:eastAsia="仿宋" w:cs="仿宋"/>
          <w:sz w:val="32"/>
          <w:u w:color="auto"/>
        </w:rPr>
        <w:t>241.31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增加15.97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9,016.47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9,016.47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rPr>
        <w:t>增加1，241.31万元，增加15.97</w:t>
      </w:r>
      <w:r>
        <w:rPr>
          <w:rFonts w:hint="eastAsia"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2021年重点区域生态保护和修复专项中央基建投资（预算）拨款资金-2021年湘桂岩溶地区石漠化综合治理项目在2022年支付，2022年县级追加资金支付国家储备林建设暨乡村振兴、现代林业产业发展项目经费和森林火灾风险普查工作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河池市</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河池市</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w:t>
      </w:r>
      <w:r>
        <w:rPr>
          <w:rFonts w:hint="eastAsia" w:ascii="仿宋" w:hAnsi="仿宋" w:eastAsia="仿宋" w:cs="仿宋"/>
          <w:color w:val="auto"/>
          <w:kern w:val="2"/>
          <w:sz w:val="32"/>
          <w:szCs w:val="32"/>
          <w:highlight w:val="none"/>
          <w:lang w:val="en-US" w:eastAsia="zh-CN" w:bidi="ar"/>
        </w:rPr>
        <w:t>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hint="eastAsia" w:ascii="仿宋" w:hAnsi="仿宋" w:eastAsia="仿宋" w:cs="仿宋"/>
          <w:color w:val="auto"/>
          <w:sz w:val="32"/>
          <w:u w:color="auto"/>
          <w:lang w:val="en-US" w:eastAsia="zh-CN"/>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lang w:val="en-US" w:eastAsia="zh-CN"/>
        </w:rPr>
        <w:t>增加0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w:t>
      </w:r>
      <w:r>
        <w:rPr>
          <w:rFonts w:hint="eastAsia" w:ascii="仿宋" w:hAnsi="仿宋" w:eastAsia="仿宋" w:cs="仿宋"/>
          <w:color w:val="auto"/>
          <w:kern w:val="2"/>
          <w:sz w:val="32"/>
          <w:szCs w:val="32"/>
          <w:highlight w:val="none"/>
          <w:lang w:val="en-US" w:eastAsia="zh-CN" w:bidi="ar"/>
        </w:rPr>
        <w:t>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减少1</w:t>
      </w:r>
      <w:r>
        <w:rPr>
          <w:rFonts w:hint="eastAsia" w:ascii="仿宋" w:hAnsi="仿宋" w:eastAsia="仿宋" w:cs="仿宋"/>
          <w:color w:val="auto"/>
          <w:sz w:val="32"/>
          <w:u w:color="auto"/>
          <w:lang w:eastAsia="zh-CN"/>
        </w:rPr>
        <w:t>，</w:t>
      </w:r>
      <w:r>
        <w:rPr>
          <w:rFonts w:hint="eastAsia" w:ascii="仿宋" w:hAnsi="仿宋" w:eastAsia="仿宋" w:cs="仿宋"/>
          <w:color w:val="auto"/>
          <w:sz w:val="32"/>
          <w:u w:color="auto"/>
          <w:lang w:val="en-US" w:eastAsia="zh-CN"/>
        </w:rPr>
        <w:t>675.03</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9016.47</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9016.47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rPr>
        <w:t>增加1，241.31万元，增加15.97%，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w:t>
      </w:r>
      <w:r>
        <w:rPr>
          <w:rFonts w:hint="eastAsia" w:ascii="仿宋" w:hAnsi="仿宋" w:eastAsia="仿宋" w:cs="仿宋"/>
          <w:color w:val="auto"/>
          <w:sz w:val="32"/>
          <w:szCs w:val="32"/>
          <w:highlight w:val="none"/>
          <w:lang w:bidi="ar"/>
        </w:rPr>
        <w:t>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w:t>
      </w:r>
      <w:r>
        <w:rPr>
          <w:rFonts w:hint="eastAsia" w:ascii="仿宋" w:hAnsi="仿宋" w:eastAsia="仿宋" w:cs="仿宋"/>
          <w:color w:val="auto"/>
          <w:sz w:val="32"/>
          <w:szCs w:val="32"/>
          <w:highlight w:val="none"/>
          <w:lang w:val="en-US" w:eastAsia="zh-CN" w:bidi="ar"/>
        </w:rPr>
        <w:t>7.17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工会经费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增加1.32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增加5.11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主要原因是：2022年开始下达工会经费指标。</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217.39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机关事业单位基本养老保险缴费支出和机关事业单位职业年金缴费支出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减少46.42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17.60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主要原因是：2021年补拨2021年在职在编应缴养老保险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节能环保支出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w:t>
      </w:r>
      <w:r>
        <w:rPr>
          <w:rFonts w:hint="eastAsia" w:ascii="仿宋" w:hAnsi="仿宋" w:eastAsia="仿宋" w:cs="仿宋"/>
          <w:color w:val="auto"/>
          <w:sz w:val="32"/>
          <w:szCs w:val="32"/>
          <w:highlight w:val="none"/>
          <w:lang w:val="en-US" w:eastAsia="zh-CN" w:bidi="ar"/>
        </w:rPr>
        <w:t>1</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966.27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2021年重点区域生态保护和修复专项中央基建投资（预算）拨款资金-2021年湘桂岩溶地区石漠化综合治理项目和禁食野生动物补偿资金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增加889.71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增加1162.11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w:t>
      </w:r>
      <w:r>
        <w:rPr>
          <w:rFonts w:hint="eastAsia" w:ascii="仿宋" w:hAnsi="仿宋" w:eastAsia="仿宋" w:cs="仿宋"/>
          <w:color w:val="auto"/>
          <w:sz w:val="32"/>
          <w:szCs w:val="32"/>
          <w:highlight w:val="none"/>
          <w:lang w:val="en-US" w:eastAsia="zh-CN"/>
        </w:rPr>
        <w:t>湘桂岩溶地区石漠化综合治理</w:t>
      </w:r>
      <w:r>
        <w:rPr>
          <w:rFonts w:hint="eastAsia" w:ascii="仿宋" w:hAnsi="仿宋" w:eastAsia="仿宋" w:cs="仿宋"/>
          <w:color w:val="auto"/>
          <w:kern w:val="2"/>
          <w:sz w:val="32"/>
          <w:szCs w:val="32"/>
          <w:highlight w:val="none"/>
          <w:lang w:val="en-US" w:eastAsia="zh-CN" w:bidi="ar"/>
        </w:rPr>
        <w:t>项目在2022年支付。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7,322.34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事业运行、事业机构、森林资源管理、技术推广与转化、森林生态效益补偿、 动植物保护、执法与监督、林业草原防灾减灾、其他林业和草原支出、生产发展</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lang w:bidi="ar"/>
        </w:rPr>
        <w:t>673.59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增加</w:t>
      </w:r>
      <w:r>
        <w:rPr>
          <w:rFonts w:hint="eastAsia" w:ascii="仿宋" w:hAnsi="仿宋" w:eastAsia="仿宋" w:cs="仿宋"/>
          <w:color w:val="auto"/>
          <w:sz w:val="32"/>
          <w:szCs w:val="32"/>
          <w:highlight w:val="none"/>
          <w:lang w:bidi="ar"/>
        </w:rPr>
        <w:t>10.13%</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主要原因是：农林水项目补助支出增加。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153.05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按照国家政策规定向职工发放的住房公积金、提租补贴、购房补贴等住房改革方面的支出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减少9.52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下降5.86%%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主要原因是：公积金基数及人员变动。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：单位无提取的专用结余、缴纳所得税和转入非财政拨款结余。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w:t>
      </w:r>
      <w:r>
        <w:rPr>
          <w:rFonts w:hint="eastAsia" w:ascii="仿宋" w:hAnsi="仿宋" w:eastAsia="仿宋" w:cs="仿宋"/>
          <w:color w:val="auto"/>
          <w:sz w:val="32"/>
          <w:szCs w:val="32"/>
          <w:highlight w:val="none"/>
        </w:rPr>
        <w:t>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主要原因是：年末结转和结余0万元。</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47260" cy="295592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9,016.47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rPr>
        <w:t>增加1，241.31万元，增加15.97%</w:t>
      </w:r>
      <w:r>
        <w:rPr>
          <w:rFonts w:hint="eastAsia" w:ascii="仿宋" w:hAnsi="仿宋" w:eastAsia="仿宋" w:cs="仿宋"/>
          <w:sz w:val="32"/>
          <w:szCs w:val="32"/>
          <w:highlight w:val="none"/>
        </w:rPr>
        <w:t>。其中：基本支出</w:t>
      </w:r>
      <w:r>
        <w:rPr>
          <w:rFonts w:hint="eastAsia" w:ascii="仿宋" w:hAnsi="仿宋" w:eastAsia="仿宋" w:cs="仿宋"/>
          <w:sz w:val="32"/>
          <w:u w:color="auto"/>
        </w:rPr>
        <w:t>2,062.35</w:t>
      </w:r>
      <w:r>
        <w:rPr>
          <w:rFonts w:hint="eastAsia" w:ascii="仿宋" w:hAnsi="仿宋" w:eastAsia="仿宋" w:cs="仿宋"/>
          <w:sz w:val="32"/>
          <w:szCs w:val="32"/>
          <w:highlight w:val="none"/>
        </w:rPr>
        <w:t>万元，项目支出</w:t>
      </w:r>
      <w:r>
        <w:rPr>
          <w:rFonts w:hint="eastAsia" w:ascii="仿宋" w:hAnsi="仿宋" w:eastAsia="仿宋" w:cs="仿宋"/>
          <w:sz w:val="32"/>
          <w:u w:color="auto"/>
        </w:rPr>
        <w:t>6,954.12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rPr>
        <w:t>9,016.47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9016.47</w:t>
      </w:r>
      <w:r>
        <w:rPr>
          <w:rFonts w:hint="eastAsia" w:ascii="仿宋" w:hAnsi="仿宋" w:eastAsia="仿宋" w:cs="仿宋"/>
          <w:sz w:val="32"/>
          <w:szCs w:val="32"/>
          <w:highlight w:val="none"/>
        </w:rPr>
        <w:t>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0</w:t>
      </w:r>
      <w:r>
        <w:rPr>
          <w:rFonts w:ascii="仿宋" w:hAnsi="仿宋" w:eastAsia="仿宋" w:cs="仿宋"/>
          <w:sz w:val="32"/>
          <w:u w:color="auto"/>
        </w:rPr>
        <w:t>0%</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类）年初预算为27.17万元，支出决算为27.17万元，完成年初预算的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类）年初预算为217.39万元，支出决算为217.39万元，完成年初预算的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205.68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205.68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sz w:val="20"/>
                <w:szCs w:val="20"/>
              </w:rPr>
              <w:t>2080506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机关事业单位职业年金缴费支出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机关事业单位职业年金缴费支出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217.39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217.39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节能环保支出</w:t>
      </w:r>
      <w:r>
        <w:rPr>
          <w:rFonts w:ascii="仿宋" w:hAnsi="仿宋" w:eastAsia="仿宋"/>
          <w:sz w:val="32"/>
          <w:u w:color="auto"/>
        </w:rPr>
        <w:t>（210</w:t>
      </w:r>
      <w:r>
        <w:rPr>
          <w:rFonts w:hint="eastAsia" w:ascii="仿宋" w:hAnsi="仿宋" w:eastAsia="仿宋"/>
          <w:sz w:val="32"/>
          <w:szCs w:val="32"/>
          <w:highlight w:val="none"/>
        </w:rPr>
        <w:t>类）年初预算为966.27万元，支出决算为966.27万元，完成年初预算的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bookmarkStart w:id="5" w:name="OLE_LINK5"/>
            <w:r>
              <w:rPr>
                <w:rFonts w:hint="eastAsia" w:ascii="宋体" w:hAnsi="宋体" w:eastAsia="宋体" w:cs="宋体"/>
                <w:i w:val="0"/>
                <w:iCs w:val="0"/>
                <w:color w:val="000000"/>
                <w:sz w:val="20"/>
                <w:szCs w:val="20"/>
                <w:highlight w:val="none"/>
                <w:u w:val="none"/>
                <w:lang w:val="en-US" w:eastAsia="zh-CN"/>
              </w:rPr>
              <w:t>2110401</w:t>
            </w:r>
            <w:bookmarkEnd w:id="5"/>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生态保护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2022年护林员人身意外保险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其他节能环保支出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2021年重点区域生态保护和修复专项中央基建投资（预算）拨款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966.27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966.27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类）年初预算为7,322.34万元，支出决算为7,322.34万元，完成年初预算的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1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52"/>
        <w:gridCol w:w="1033"/>
        <w:gridCol w:w="1084"/>
        <w:gridCol w:w="866"/>
        <w:gridCol w:w="1521"/>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r>
              <w:rPr>
                <w:rFonts w:hint="eastAsia" w:ascii="宋体" w:hAnsi="宋体" w:eastAsia="宋体" w:cs="宋体"/>
                <w:i w:val="0"/>
                <w:iCs w:val="0"/>
                <w:color w:val="000000"/>
                <w:sz w:val="20"/>
                <w:szCs w:val="20"/>
                <w:highlight w:val="none"/>
                <w:u w:val="none"/>
                <w:lang w:val="en-US" w:eastAsia="zh-CN"/>
              </w:rPr>
              <w:tab/>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3.73</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3.73</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离退休人员生活补助</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2130204</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事业机构</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1,297.87</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1,297.87</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单位基本运行、抚恤金、机关公务移动通信补贴、公务用车运行维护费、遗属生活补助、独生子女保健费、工资性支出、奖励性绩效工资</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2130205</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森林资源培育</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1,050.30</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1,050.30</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林木良种补助、油茶低产低效林改造补助、木本油料等特色经济林产业发展补助、绿化景观提升补助、古树名木管护补助、森林抚育补助、重点区域绿化补助、国家储备林建设暨乡村振兴、现代林业产业发展项目</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2130206</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技术推广与转化</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49.89</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49.89</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林业科技推广示范补助</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2130209</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森林生态效益补偿</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3,598.48</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3,598.48</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森林生态效益补偿</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2130211</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动植物保护</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1.75</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1.75</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禁食野生动物补偿资金</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2130213</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执法与监督</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37.58</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37.58</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案件鉴定费</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2130234</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林业草原防灾减灾</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52.92</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52.92</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马尾松枯死木清理费</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2130299</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1,222.96</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1,222.96</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林业基础设施建设、天保工程区天然商品停伐管理补助、名目古树补助、森林火灾风险普查技术服务费、预算项目支出</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2130505</w:t>
            </w:r>
            <w:r>
              <w:rPr>
                <w:rFonts w:hint="eastAsia" w:ascii="宋体" w:hAnsi="宋体" w:eastAsia="宋体" w:cs="宋体"/>
                <w:i w:val="0"/>
                <w:iCs w:val="0"/>
                <w:color w:val="000000"/>
                <w:sz w:val="18"/>
                <w:szCs w:val="18"/>
                <w:highlight w:val="none"/>
                <w:u w:val="none"/>
                <w:lang w:val="en-US" w:eastAsia="zh-CN"/>
              </w:rPr>
              <w:tab/>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生产发展</w:t>
            </w: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6.85</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6.85</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贫工作差旅费、异地扶贫搬迁拆旧房新建板房</w:t>
            </w: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7,322.34</w:t>
            </w:r>
          </w:p>
        </w:tc>
        <w:tc>
          <w:tcPr>
            <w:tcW w:w="108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1672.20</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5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4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类）年初预算为153.05万元，支出决算为153.05万元，完成年初预算的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153.05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153.05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单位在职人员住房公积金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1530.5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153.05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92400"/>
            <wp:effectExtent l="4445" t="4445" r="16510" b="825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类）年初预算为330.25万元，支出决算为330.25万元，完成年初预算的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不存在</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330.25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绩效考评奖金、伙食补助费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330.25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330.25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rPr>
        <w:t>2,062.35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1953.54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108.81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highlight w:val="none"/>
          <w:u w:color="auto"/>
        </w:rPr>
        <w:t>1,920.21</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预决算无</w:t>
      </w:r>
      <w:r>
        <w:rPr>
          <w:rFonts w:hint="eastAsia" w:ascii="仿宋" w:hAnsi="仿宋" w:eastAsia="仿宋" w:cs="仿宋"/>
          <w:sz w:val="32"/>
          <w:szCs w:val="32"/>
          <w:highlight w:val="none"/>
        </w:rPr>
        <w:t>差</w:t>
      </w:r>
      <w:r>
        <w:rPr>
          <w:rFonts w:hint="eastAsia" w:ascii="仿宋" w:hAnsi="仿宋" w:eastAsia="仿宋" w:cs="仿宋"/>
          <w:color w:val="000000" w:themeColor="text1"/>
          <w:sz w:val="32"/>
          <w:szCs w:val="32"/>
          <w:highlight w:val="none"/>
          <w14:textFill>
            <w14:solidFill>
              <w14:schemeClr w14:val="tx1"/>
            </w14:solidFill>
          </w14:textFill>
        </w:rPr>
        <w:t>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373.12万元，30102津贴补贴316.14万元，30103奖金460.97万元，30106伙食补助费25.73万元，30107绩效工资249.28万元，30108机关事业单位基本养老保险缴费234.81万元，30109职业年金缴费15.46万元，30110职工基本医疗保险缴费82.05万元，30112其他社会保障缴费8.59万元，30113住房公积金153.05万元，30114 医疗费1.00万元。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u w:color="auto"/>
        </w:rPr>
        <w:t>108.81</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30201办公费0.12万元，30205水费5.31万元，30206电费13.56万元，30207邮电费9.95万元，30209  物业管理费0.28万元，30211差旅费0.04万元，30213  维修（护）费0.07万元，30214租赁费0.03万元，30228工会经费27.17万元，30231  公务用车运行维护费18.39万元，30239其他交通费用29.78万元，30299其他商品和服务支出4.10万元。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33.33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：30304抚恤金6.36</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30305生活补助26.65万元，30399其他对个人和家庭的补助0.32万元。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w:t>
      </w:r>
      <w:r>
        <w:rPr>
          <w:rFonts w:hint="eastAsia" w:ascii="仿宋" w:hAnsi="仿宋" w:eastAsia="仿宋" w:cs="仿宋"/>
          <w:color w:val="auto"/>
          <w:sz w:val="32"/>
          <w:szCs w:val="32"/>
          <w:highlight w:val="none"/>
        </w:rPr>
        <w:t>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2022年度政府性基金支出年</w:t>
      </w:r>
      <w:r>
        <w:rPr>
          <w:rFonts w:hint="eastAsia" w:ascii="仿宋" w:hAnsi="仿宋" w:eastAsia="仿宋" w:cs="仿宋"/>
          <w:color w:val="auto"/>
          <w:sz w:val="32"/>
          <w:szCs w:val="32"/>
          <w:highlight w:val="none"/>
        </w:rPr>
        <w:t>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环江毛南族自治县林业局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环江毛南族自治县林业局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环江毛南族自治县林业局</w:t>
      </w:r>
      <w:r>
        <w:rPr>
          <w:rFonts w:hint="eastAsia" w:ascii="仿宋" w:hAnsi="仿宋" w:eastAsia="仿宋" w:cs="仿宋"/>
          <w:color w:val="auto"/>
          <w:sz w:val="32"/>
          <w:szCs w:val="32"/>
          <w:highlight w:val="none"/>
        </w:rPr>
        <w:t>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6" w:name="PO_part3A5B1C1DiffReason1"/>
      <w:r>
        <w:rPr>
          <w:rFonts w:hint="eastAsia" w:ascii="仿宋_GB2312" w:hAnsi="Times New Roman" w:eastAsia="仿宋_GB2312" w:cs="Times New Roman"/>
          <w:color w:val="auto"/>
          <w:sz w:val="32"/>
          <w:szCs w:val="32"/>
          <w:lang w:eastAsia="zh-CN"/>
        </w:rPr>
        <w:t>环江毛南族自治县林业局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21.39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减少22.36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因是：上一年单位公车报废后，因工作需要有公务用车购置费支出。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hint="eastAsia" w:ascii="仿宋" w:hAnsi="仿宋" w:eastAsia="仿宋" w:cs="仿宋"/>
          <w:color w:val="auto"/>
          <w:sz w:val="32"/>
          <w:szCs w:val="32"/>
          <w:highlight w:val="none"/>
          <w:lang w:val="en-US" w:eastAsia="zh-CN"/>
        </w:rPr>
        <w:t>21.39</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原因是：本单位无</w:t>
      </w:r>
      <w:r>
        <w:rPr>
          <w:rFonts w:hint="eastAsia" w:ascii="仿宋_GB2312" w:hAnsi="Times New Roman" w:eastAsia="仿宋_GB2312" w:cs="Times New Roman"/>
          <w:color w:val="auto"/>
          <w:sz w:val="32"/>
          <w:szCs w:val="32"/>
          <w:lang w:val="en-US" w:eastAsia="zh-CN"/>
        </w:rPr>
        <w:t>因公出国（境）费支出。</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局</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hint="eastAsia" w:ascii="仿宋" w:hAnsi="仿宋" w:eastAsia="仿宋" w:cs="仿宋"/>
          <w:color w:val="auto"/>
          <w:sz w:val="32"/>
          <w:u w:color="auto"/>
          <w:lang w:val="en-US" w:eastAsia="zh-CN"/>
        </w:rPr>
        <w:t>21.39</w:t>
      </w:r>
      <w:r>
        <w:rPr>
          <w:rFonts w:hint="eastAsia" w:ascii="仿宋" w:hAnsi="仿宋" w:eastAsia="仿宋" w:cs="仿宋"/>
          <w:color w:val="auto"/>
          <w:sz w:val="32"/>
          <w:szCs w:val="32"/>
          <w:highlight w:val="none"/>
        </w:rPr>
        <w:t>万</w:t>
      </w:r>
      <w:r>
        <w:rPr>
          <w:rFonts w:hint="eastAsia" w:ascii="仿宋" w:hAnsi="仿宋" w:eastAsia="仿宋" w:cs="仿宋"/>
          <w:sz w:val="32"/>
          <w:szCs w:val="32"/>
          <w:highlight w:val="none"/>
        </w:rPr>
        <w:t>元。其中：公务用车购置支</w:t>
      </w:r>
      <w:r>
        <w:rPr>
          <w:rFonts w:hint="eastAsia" w:ascii="仿宋" w:hAnsi="仿宋" w:eastAsia="仿宋" w:cs="仿宋"/>
          <w:color w:val="auto"/>
          <w:sz w:val="32"/>
          <w:szCs w:val="32"/>
          <w:highlight w:val="none"/>
        </w:rPr>
        <w:t>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u w:color="auto"/>
          <w:lang w:val="en-US" w:eastAsia="zh-CN"/>
        </w:rPr>
        <w:t>减少22.83</w:t>
      </w:r>
      <w:r>
        <w:rPr>
          <w:rFonts w:hint="eastAsia" w:ascii="仿宋" w:hAnsi="仿宋" w:eastAsia="仿宋" w:cs="仿宋"/>
          <w:color w:val="auto"/>
          <w:sz w:val="32"/>
          <w:szCs w:val="32"/>
          <w:highlight w:val="none"/>
        </w:rPr>
        <w:t>万元。</w:t>
      </w:r>
      <w:bookmarkStart w:id="7" w:name="PO_part3A6B2IncReason1"/>
      <w:r>
        <w:rPr>
          <w:rFonts w:hint="eastAsia" w:ascii="仿宋" w:hAnsi="仿宋" w:eastAsia="仿宋" w:cs="仿宋"/>
          <w:color w:val="auto"/>
          <w:sz w:val="32"/>
          <w:szCs w:val="32"/>
        </w:rPr>
        <w:t>本部门无公务用车购置</w:t>
      </w:r>
      <w:bookmarkEnd w:id="7"/>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21.39</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0.48</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正常公车维护维修</w:t>
      </w:r>
      <w:r>
        <w:rPr>
          <w:rFonts w:hint="eastAsia" w:ascii="仿宋" w:hAnsi="仿宋" w:eastAsia="仿宋" w:cs="仿宋"/>
          <w:color w:val="auto"/>
          <w:sz w:val="32"/>
          <w:szCs w:val="32"/>
          <w:highlight w:val="none"/>
        </w:rPr>
        <w:t>。主要用于机要文件交换、市内因公出行以及开展</w:t>
      </w:r>
      <w:r>
        <w:rPr>
          <w:rFonts w:hint="eastAsia" w:ascii="仿宋" w:hAnsi="仿宋" w:eastAsia="仿宋" w:cs="仿宋"/>
          <w:color w:val="auto"/>
          <w:sz w:val="32"/>
          <w:szCs w:val="32"/>
          <w:highlight w:val="none"/>
          <w:lang w:val="en-US" w:eastAsia="zh-CN"/>
        </w:rPr>
        <w:t>林业</w:t>
      </w:r>
      <w:r>
        <w:rPr>
          <w:rFonts w:hint="eastAsia" w:ascii="仿宋" w:hAnsi="仿宋" w:eastAsia="仿宋" w:cs="仿宋"/>
          <w:color w:val="auto"/>
          <w:sz w:val="32"/>
          <w:szCs w:val="32"/>
          <w:highlight w:val="none"/>
        </w:rPr>
        <w:t>业务所需车辆燃料费、维修费、过路过桥费、保险费等。2022年，</w:t>
      </w:r>
      <w:r>
        <w:rPr>
          <w:rFonts w:hint="eastAsia" w:ascii="仿宋" w:hAnsi="仿宋" w:eastAsia="仿宋" w:cs="仿宋"/>
          <w:color w:val="auto"/>
          <w:sz w:val="32"/>
          <w:u w:color="auto"/>
          <w:lang w:eastAsia="zh-CN"/>
        </w:rPr>
        <w:t>环江毛南族自治县林业局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6</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21.39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3.565</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hint="eastAsia" w:ascii="仿宋" w:hAnsi="仿宋" w:eastAsia="仿宋" w:cs="仿宋"/>
          <w:color w:val="auto"/>
          <w:sz w:val="32"/>
          <w:szCs w:val="32"/>
          <w:highlight w:val="none"/>
          <w:lang w:val="en-US" w:eastAsia="zh-CN"/>
        </w:rPr>
        <w:t>减少</w:t>
      </w:r>
      <w:r>
        <w:rPr>
          <w:rFonts w:ascii="仿宋" w:hAnsi="仿宋" w:eastAsia="仿宋" w:cs="仿宋"/>
          <w:color w:val="auto"/>
          <w:sz w:val="32"/>
          <w:szCs w:val="32"/>
          <w:highlight w:val="none"/>
        </w:rPr>
        <w:t>1.01</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主要原因是：接待单据未能支付。</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108.81</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54.39</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99.94</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。主要原因是：办公设施设备购置经费增加、资产运行维护支出增加、信息系统运行维护支出增加。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本部门2022年度政府采购支出总额897.9</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万元，其中：政府采购货物支出21.07万元、政府采购工程支出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万元、政府采购服务支出876.9</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832.22</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92.68</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753.22</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83.88</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47</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二等项目22个，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4956.48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71.27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组织对“营造林工作经费”等</w:t>
      </w:r>
      <w:r>
        <w:rPr>
          <w:rFonts w:hint="eastAsia" w:ascii="仿宋" w:hAnsi="仿宋" w:eastAsia="仿宋" w:cs="仿宋"/>
          <w:color w:val="000000" w:themeColor="text1"/>
          <w:sz w:val="32"/>
          <w:szCs w:val="32"/>
          <w:lang w:val="en-US" w:eastAsia="zh-CN"/>
          <w14:textFill>
            <w14:solidFill>
              <w14:schemeClr w14:val="tx1"/>
            </w14:solidFill>
          </w14:textFill>
        </w:rPr>
        <w:t>71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_GB2312" w:hAnsi="仿宋_GB2312" w:eastAsia="仿宋_GB2312" w:cs="Times New Roman"/>
          <w:sz w:val="32"/>
          <w:szCs w:val="32"/>
          <w:lang w:val="en-US" w:eastAsia="zh-CN"/>
        </w:rPr>
        <w:t>6,967.90万元（与批复数误差原因：决算时属于项目支出的抚恤金统计到基本支出）</w:t>
      </w:r>
      <w:r>
        <w:rPr>
          <w:rFonts w:hint="eastAsia" w:ascii="仿宋" w:hAnsi="仿宋" w:eastAsia="仿宋" w:cs="仿宋"/>
          <w:color w:val="000000" w:themeColor="text1"/>
          <w:sz w:val="32"/>
          <w:szCs w:val="32"/>
          <w14:textFill>
            <w14:solidFill>
              <w14:schemeClr w14:val="tx1"/>
            </w14:solidFill>
          </w14:textFill>
        </w:rPr>
        <w:t>，政府性基金预算支出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万元。从评价情况来看，项目自评一等47个，二等22个，三等2个，平均分89.79</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_GB2312" w:hAnsi="仿宋_GB2312" w:eastAsia="仿宋_GB2312" w:cs="Times New Roman"/>
          <w:sz w:val="32"/>
          <w:szCs w:val="32"/>
          <w:lang w:val="en-US" w:eastAsia="zh-CN"/>
        </w:rPr>
        <w:t>6,967.90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部</w:t>
      </w:r>
      <w:r>
        <w:rPr>
          <w:rFonts w:hint="eastAsia" w:ascii="仿宋" w:hAnsi="仿宋" w:eastAsia="仿宋" w:cs="仿宋"/>
          <w:color w:val="000000" w:themeColor="text1"/>
          <w:sz w:val="32"/>
          <w:szCs w:val="32"/>
          <w14:textFill>
            <w14:solidFill>
              <w14:schemeClr w14:val="tx1"/>
            </w14:solidFill>
          </w14:textFill>
        </w:rPr>
        <w:t>门整体支出自评得分95.76分，自评一等次，绩效指标基本完成，达成预期目标。</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我部门根据年初设定的绩效目标，林业执法案件鉴定费</w:t>
      </w:r>
      <w:r>
        <w:rPr>
          <w:rFonts w:hint="eastAsia" w:ascii="仿宋" w:hAnsi="仿宋" w:eastAsia="仿宋" w:cs="仿宋"/>
          <w:color w:val="000000" w:themeColor="text1"/>
          <w:sz w:val="32"/>
          <w:szCs w:val="32"/>
          <w:lang w:val="en-US" w:eastAsia="zh-CN"/>
          <w14:textFill>
            <w14:solidFill>
              <w14:schemeClr w14:val="tx1"/>
            </w14:solidFill>
          </w14:textFill>
        </w:rPr>
        <w:t>等14个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，名目古树去硬化以及复壮保护工作</w:t>
      </w:r>
      <w:r>
        <w:rPr>
          <w:rFonts w:hint="eastAsia" w:ascii="仿宋" w:hAnsi="仿宋" w:eastAsia="仿宋" w:cs="仿宋"/>
          <w:color w:val="000000" w:themeColor="text1"/>
          <w:sz w:val="32"/>
          <w:szCs w:val="32"/>
          <w:lang w:val="en-US" w:eastAsia="zh-CN"/>
          <w14:textFill>
            <w14:solidFill>
              <w14:schemeClr w14:val="tx1"/>
            </w14:solidFill>
          </w14:textFill>
        </w:rPr>
        <w:t>等33个项目自评分在90-99.9分之间，林改项目经费等8个项目自评分在80.59-89.72分之间，界子良风电场临时用地植被恢复项目资金等14个项目自评分为80分，森林抚育补助(上一轮到期退耕还生态林)自评分为60分，林业科技推广建设自评分为65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由于林业项目周期长，项目正在实施，尚未实施完成，因而未完成兑付。下一步改进措施</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要抓紧项目实施进度，项目实施完成时及时完成兑付。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8" w:name="_GoBack"/>
      <w:bookmarkEnd w:id="8"/>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131EC"/>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370129"/>
    <w:rsid w:val="015F1951"/>
    <w:rsid w:val="01817ADA"/>
    <w:rsid w:val="020C171D"/>
    <w:rsid w:val="0216715F"/>
    <w:rsid w:val="022A57C3"/>
    <w:rsid w:val="027C2CDB"/>
    <w:rsid w:val="02E0291A"/>
    <w:rsid w:val="037E6BB8"/>
    <w:rsid w:val="046A5303"/>
    <w:rsid w:val="04E54546"/>
    <w:rsid w:val="05410D25"/>
    <w:rsid w:val="056C3122"/>
    <w:rsid w:val="05992762"/>
    <w:rsid w:val="070E1356"/>
    <w:rsid w:val="07B0770E"/>
    <w:rsid w:val="07D50444"/>
    <w:rsid w:val="08325793"/>
    <w:rsid w:val="0942143F"/>
    <w:rsid w:val="09583F4E"/>
    <w:rsid w:val="09CA053F"/>
    <w:rsid w:val="0A464976"/>
    <w:rsid w:val="0A6214C7"/>
    <w:rsid w:val="0AAC68B2"/>
    <w:rsid w:val="0B8B0A7A"/>
    <w:rsid w:val="0C915133"/>
    <w:rsid w:val="0D100297"/>
    <w:rsid w:val="0D14070E"/>
    <w:rsid w:val="0D202B45"/>
    <w:rsid w:val="0D9206DA"/>
    <w:rsid w:val="0F311E4F"/>
    <w:rsid w:val="0F596ABB"/>
    <w:rsid w:val="0F8D4C87"/>
    <w:rsid w:val="10505FAA"/>
    <w:rsid w:val="105F7E7E"/>
    <w:rsid w:val="10F93FE9"/>
    <w:rsid w:val="11E56B5B"/>
    <w:rsid w:val="12126CB4"/>
    <w:rsid w:val="125C77AB"/>
    <w:rsid w:val="134D3E77"/>
    <w:rsid w:val="144E5D69"/>
    <w:rsid w:val="14CB726E"/>
    <w:rsid w:val="150A2731"/>
    <w:rsid w:val="157D6819"/>
    <w:rsid w:val="15A32F9F"/>
    <w:rsid w:val="16AF012F"/>
    <w:rsid w:val="17634FB7"/>
    <w:rsid w:val="17E92249"/>
    <w:rsid w:val="18D304F1"/>
    <w:rsid w:val="19EE34FF"/>
    <w:rsid w:val="19F32577"/>
    <w:rsid w:val="19F45B80"/>
    <w:rsid w:val="1B0C078D"/>
    <w:rsid w:val="1B1D351C"/>
    <w:rsid w:val="1B2B31E2"/>
    <w:rsid w:val="1B4C295A"/>
    <w:rsid w:val="1B4D5548"/>
    <w:rsid w:val="1B973C63"/>
    <w:rsid w:val="1BA1001E"/>
    <w:rsid w:val="1D317259"/>
    <w:rsid w:val="1D9F1A8B"/>
    <w:rsid w:val="1DF84E22"/>
    <w:rsid w:val="1E664F5B"/>
    <w:rsid w:val="1EB34BE1"/>
    <w:rsid w:val="1F091A51"/>
    <w:rsid w:val="1FF01442"/>
    <w:rsid w:val="2036209D"/>
    <w:rsid w:val="215E639F"/>
    <w:rsid w:val="21EC3183"/>
    <w:rsid w:val="22377F42"/>
    <w:rsid w:val="225E72CD"/>
    <w:rsid w:val="237332CC"/>
    <w:rsid w:val="23E74125"/>
    <w:rsid w:val="23F5732E"/>
    <w:rsid w:val="23F64217"/>
    <w:rsid w:val="241B1917"/>
    <w:rsid w:val="24601849"/>
    <w:rsid w:val="246E2F77"/>
    <w:rsid w:val="24E07CAB"/>
    <w:rsid w:val="254B4E2B"/>
    <w:rsid w:val="27880C7C"/>
    <w:rsid w:val="27B65E73"/>
    <w:rsid w:val="27B74DE4"/>
    <w:rsid w:val="27C21E76"/>
    <w:rsid w:val="283D7C94"/>
    <w:rsid w:val="29480E03"/>
    <w:rsid w:val="2983634D"/>
    <w:rsid w:val="2A420242"/>
    <w:rsid w:val="2A611465"/>
    <w:rsid w:val="2B8F44C4"/>
    <w:rsid w:val="2BB02055"/>
    <w:rsid w:val="2C575A56"/>
    <w:rsid w:val="2DCC4132"/>
    <w:rsid w:val="2DD314EA"/>
    <w:rsid w:val="2E3A1BD0"/>
    <w:rsid w:val="2F257714"/>
    <w:rsid w:val="2F3275E5"/>
    <w:rsid w:val="2FEE6554"/>
    <w:rsid w:val="300F55E6"/>
    <w:rsid w:val="30950584"/>
    <w:rsid w:val="30AA08EF"/>
    <w:rsid w:val="30D23D1C"/>
    <w:rsid w:val="31221CF5"/>
    <w:rsid w:val="31400178"/>
    <w:rsid w:val="315439F5"/>
    <w:rsid w:val="31F03CC2"/>
    <w:rsid w:val="321E3342"/>
    <w:rsid w:val="324A41D8"/>
    <w:rsid w:val="327759C8"/>
    <w:rsid w:val="32D76AB0"/>
    <w:rsid w:val="33185FE3"/>
    <w:rsid w:val="34737FC2"/>
    <w:rsid w:val="34EE2E36"/>
    <w:rsid w:val="351E233D"/>
    <w:rsid w:val="36777241"/>
    <w:rsid w:val="38785A35"/>
    <w:rsid w:val="38A12D18"/>
    <w:rsid w:val="38A951DB"/>
    <w:rsid w:val="38B31605"/>
    <w:rsid w:val="39003F4F"/>
    <w:rsid w:val="3A3064DA"/>
    <w:rsid w:val="3C07002B"/>
    <w:rsid w:val="3C125304"/>
    <w:rsid w:val="3C77633E"/>
    <w:rsid w:val="3D0D152A"/>
    <w:rsid w:val="3D0F6D82"/>
    <w:rsid w:val="3DF62756"/>
    <w:rsid w:val="3E0661E8"/>
    <w:rsid w:val="3EEB460C"/>
    <w:rsid w:val="3F1B7587"/>
    <w:rsid w:val="3F5C36FF"/>
    <w:rsid w:val="402811C8"/>
    <w:rsid w:val="41E57B4F"/>
    <w:rsid w:val="428F4A2A"/>
    <w:rsid w:val="432F26F6"/>
    <w:rsid w:val="43505BFE"/>
    <w:rsid w:val="43880F63"/>
    <w:rsid w:val="43B100BB"/>
    <w:rsid w:val="43F865E0"/>
    <w:rsid w:val="441C5A6F"/>
    <w:rsid w:val="44476A2F"/>
    <w:rsid w:val="44C44FCC"/>
    <w:rsid w:val="44CC7369"/>
    <w:rsid w:val="457F5108"/>
    <w:rsid w:val="46951B6B"/>
    <w:rsid w:val="47542728"/>
    <w:rsid w:val="478B2DD0"/>
    <w:rsid w:val="4818551F"/>
    <w:rsid w:val="48926880"/>
    <w:rsid w:val="48E636D7"/>
    <w:rsid w:val="497F5A86"/>
    <w:rsid w:val="49A34401"/>
    <w:rsid w:val="4A3E30AB"/>
    <w:rsid w:val="4AC14DAC"/>
    <w:rsid w:val="4B5E4771"/>
    <w:rsid w:val="4B60480C"/>
    <w:rsid w:val="4BC43FB3"/>
    <w:rsid w:val="4C4171F7"/>
    <w:rsid w:val="4D154C85"/>
    <w:rsid w:val="4E20643C"/>
    <w:rsid w:val="4EC8553A"/>
    <w:rsid w:val="4F646FDA"/>
    <w:rsid w:val="506A724F"/>
    <w:rsid w:val="508F1B9F"/>
    <w:rsid w:val="508F4E24"/>
    <w:rsid w:val="51461E90"/>
    <w:rsid w:val="51463753"/>
    <w:rsid w:val="51B05C81"/>
    <w:rsid w:val="52553A93"/>
    <w:rsid w:val="53002578"/>
    <w:rsid w:val="53162277"/>
    <w:rsid w:val="53521F8B"/>
    <w:rsid w:val="53766510"/>
    <w:rsid w:val="53E22F47"/>
    <w:rsid w:val="54522FF8"/>
    <w:rsid w:val="55450629"/>
    <w:rsid w:val="55781789"/>
    <w:rsid w:val="560C08D9"/>
    <w:rsid w:val="566409BC"/>
    <w:rsid w:val="56692963"/>
    <w:rsid w:val="568B0F48"/>
    <w:rsid w:val="5786217B"/>
    <w:rsid w:val="583033C1"/>
    <w:rsid w:val="589755F4"/>
    <w:rsid w:val="59337A15"/>
    <w:rsid w:val="59810274"/>
    <w:rsid w:val="599A3C0F"/>
    <w:rsid w:val="5A7445FC"/>
    <w:rsid w:val="5CA96A00"/>
    <w:rsid w:val="5CF730BC"/>
    <w:rsid w:val="5D135CE5"/>
    <w:rsid w:val="5DF71E2E"/>
    <w:rsid w:val="5E5F0DCE"/>
    <w:rsid w:val="5FA40A7B"/>
    <w:rsid w:val="5FD56D29"/>
    <w:rsid w:val="5FE64732"/>
    <w:rsid w:val="5FEC7F3F"/>
    <w:rsid w:val="603F1C94"/>
    <w:rsid w:val="60F74BC3"/>
    <w:rsid w:val="610C3E53"/>
    <w:rsid w:val="61112C38"/>
    <w:rsid w:val="616A46F9"/>
    <w:rsid w:val="617D3BF8"/>
    <w:rsid w:val="61841F6A"/>
    <w:rsid w:val="61845058"/>
    <w:rsid w:val="61F94649"/>
    <w:rsid w:val="623007A9"/>
    <w:rsid w:val="63187E47"/>
    <w:rsid w:val="6323244D"/>
    <w:rsid w:val="637D7558"/>
    <w:rsid w:val="644F19AC"/>
    <w:rsid w:val="64D71674"/>
    <w:rsid w:val="653F0BE0"/>
    <w:rsid w:val="65485276"/>
    <w:rsid w:val="65AA4920"/>
    <w:rsid w:val="65FA5018"/>
    <w:rsid w:val="66151F5A"/>
    <w:rsid w:val="66252F54"/>
    <w:rsid w:val="664136E5"/>
    <w:rsid w:val="67694F1E"/>
    <w:rsid w:val="67FB2979"/>
    <w:rsid w:val="69597934"/>
    <w:rsid w:val="69CE44BB"/>
    <w:rsid w:val="6B964DDC"/>
    <w:rsid w:val="6BC176AF"/>
    <w:rsid w:val="6C383E8C"/>
    <w:rsid w:val="6C783074"/>
    <w:rsid w:val="6CEC3DC0"/>
    <w:rsid w:val="6D78113B"/>
    <w:rsid w:val="6D9E65C6"/>
    <w:rsid w:val="6DA81947"/>
    <w:rsid w:val="6EB66DE2"/>
    <w:rsid w:val="6ECC499B"/>
    <w:rsid w:val="6ED3075F"/>
    <w:rsid w:val="6F2A2D4B"/>
    <w:rsid w:val="6F8A0C1E"/>
    <w:rsid w:val="703F45D4"/>
    <w:rsid w:val="711025D8"/>
    <w:rsid w:val="715D6546"/>
    <w:rsid w:val="71BE069E"/>
    <w:rsid w:val="71F942E2"/>
    <w:rsid w:val="73953409"/>
    <w:rsid w:val="73E069A3"/>
    <w:rsid w:val="757532B5"/>
    <w:rsid w:val="75BF167C"/>
    <w:rsid w:val="773B18F1"/>
    <w:rsid w:val="77617A78"/>
    <w:rsid w:val="776A2EC4"/>
    <w:rsid w:val="779045FA"/>
    <w:rsid w:val="77A17E72"/>
    <w:rsid w:val="77BB172F"/>
    <w:rsid w:val="78104AA8"/>
    <w:rsid w:val="78E257C5"/>
    <w:rsid w:val="794B35BE"/>
    <w:rsid w:val="79C12E5D"/>
    <w:rsid w:val="7A2365C8"/>
    <w:rsid w:val="7A865955"/>
    <w:rsid w:val="7B0A3A31"/>
    <w:rsid w:val="7B3360ED"/>
    <w:rsid w:val="7B3D458F"/>
    <w:rsid w:val="7B5319F3"/>
    <w:rsid w:val="7BDF037E"/>
    <w:rsid w:val="7BF50948"/>
    <w:rsid w:val="7C6B089F"/>
    <w:rsid w:val="7CE66A78"/>
    <w:rsid w:val="7D23564C"/>
    <w:rsid w:val="7D36365F"/>
    <w:rsid w:val="7D5E062D"/>
    <w:rsid w:val="7D6B72C8"/>
    <w:rsid w:val="7DB70488"/>
    <w:rsid w:val="7DF76CD8"/>
    <w:rsid w:val="7E8F2A06"/>
    <w:rsid w:val="7F025695"/>
    <w:rsid w:val="7F5002A0"/>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9016.47</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30201</c:v>
                </c:pt>
                <c:pt idx="1">
                  <c:v>30205</c:v>
                </c:pt>
                <c:pt idx="2">
                  <c:v>30206</c:v>
                </c:pt>
                <c:pt idx="3">
                  <c:v>30207</c:v>
                </c:pt>
                <c:pt idx="4">
                  <c:v>30209</c:v>
                </c:pt>
                <c:pt idx="5">
                  <c:v>30211</c:v>
                </c:pt>
                <c:pt idx="6">
                  <c:v>30213</c:v>
                </c:pt>
                <c:pt idx="7">
                  <c:v>30214</c:v>
                </c:pt>
                <c:pt idx="8">
                  <c:v>30228</c:v>
                </c:pt>
                <c:pt idx="9">
                  <c:v>30231</c:v>
                </c:pt>
                <c:pt idx="10">
                  <c:v>30239</c:v>
                </c:pt>
                <c:pt idx="11">
                  <c:v>30299</c:v>
                </c:pt>
              </c:numCache>
            </c:numRef>
          </c:cat>
          <c:val>
            <c:numRef>
              <c:f>Sheet1!$B$2:$B$13</c:f>
              <c:numCache>
                <c:formatCode>General</c:formatCode>
                <c:ptCount val="12"/>
                <c:pt idx="0">
                  <c:v>0.12</c:v>
                </c:pt>
                <c:pt idx="1">
                  <c:v>5.31</c:v>
                </c:pt>
                <c:pt idx="2">
                  <c:v>13.56</c:v>
                </c:pt>
                <c:pt idx="3">
                  <c:v>9.95</c:v>
                </c:pt>
                <c:pt idx="4">
                  <c:v>0.28</c:v>
                </c:pt>
                <c:pt idx="5">
                  <c:v>0.04</c:v>
                </c:pt>
                <c:pt idx="6">
                  <c:v>0.07</c:v>
                </c:pt>
                <c:pt idx="7">
                  <c:v>0.03</c:v>
                </c:pt>
                <c:pt idx="8">
                  <c:v>27.17</c:v>
                </c:pt>
                <c:pt idx="9">
                  <c:v>18.39</c:v>
                </c:pt>
                <c:pt idx="10">
                  <c:v>29.78</c:v>
                </c:pt>
                <c:pt idx="11">
                  <c:v>4.1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30304</c:v>
                </c:pt>
                <c:pt idx="1">
                  <c:v>30305</c:v>
                </c:pt>
                <c:pt idx="2">
                  <c:v>30399</c:v>
                </c:pt>
              </c:numCache>
            </c:numRef>
          </c:cat>
          <c:val>
            <c:numRef>
              <c:f>Sheet1!$B$2:$B$4</c:f>
              <c:numCache>
                <c:formatCode>General</c:formatCode>
                <c:ptCount val="3"/>
                <c:pt idx="0">
                  <c:v>6.36</c:v>
                </c:pt>
                <c:pt idx="1">
                  <c:v>26.65</c:v>
                </c:pt>
                <c:pt idx="2">
                  <c:v>0.32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一般公共服务支出</c:v>
                </c:pt>
                <c:pt idx="1">
                  <c:v>社会保障和就业支出</c:v>
                </c:pt>
                <c:pt idx="2">
                  <c:v>节能环保支出</c:v>
                </c:pt>
                <c:pt idx="3">
                  <c:v>农林水支出</c:v>
                </c:pt>
                <c:pt idx="4">
                  <c:v>住房保障支出</c:v>
                </c:pt>
                <c:pt idx="5">
                  <c:v>其他支出</c:v>
                </c:pt>
              </c:strCache>
            </c:strRef>
          </c:cat>
          <c:val>
            <c:numRef>
              <c:f>Sheet1!$B$2:$B$7</c:f>
              <c:numCache>
                <c:formatCode>General</c:formatCode>
                <c:ptCount val="6"/>
                <c:pt idx="0">
                  <c:v>25.85</c:v>
                </c:pt>
                <c:pt idx="1">
                  <c:v>263.81</c:v>
                </c:pt>
                <c:pt idx="2">
                  <c:v>76.56</c:v>
                </c:pt>
                <c:pt idx="3">
                  <c:v>6648.75</c:v>
                </c:pt>
                <c:pt idx="4">
                  <c:v>162.57</c:v>
                </c:pt>
                <c:pt idx="5">
                  <c:v>597.62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一般公共服务支出</c:v>
                </c:pt>
                <c:pt idx="1">
                  <c:v>社会保障和就业支出</c:v>
                </c:pt>
                <c:pt idx="2">
                  <c:v>节能环保支出</c:v>
                </c:pt>
                <c:pt idx="3">
                  <c:v>农林水支出</c:v>
                </c:pt>
                <c:pt idx="4">
                  <c:v>住房保障支出</c:v>
                </c:pt>
                <c:pt idx="5">
                  <c:v>其他支出</c:v>
                </c:pt>
              </c:strCache>
            </c:strRef>
          </c:cat>
          <c:val>
            <c:numRef>
              <c:f>Sheet1!$C$2:$C$7</c:f>
              <c:numCache>
                <c:formatCode>General</c:formatCode>
                <c:ptCount val="6"/>
                <c:pt idx="0">
                  <c:v>27.17</c:v>
                </c:pt>
                <c:pt idx="1">
                  <c:v>217.39</c:v>
                </c:pt>
                <c:pt idx="2">
                  <c:v>966.27</c:v>
                </c:pt>
                <c:pt idx="3" c:formatCode="#,##0.00">
                  <c:v>7322.34</c:v>
                </c:pt>
                <c:pt idx="4">
                  <c:v>153.05</c:v>
                </c:pt>
                <c:pt idx="5">
                  <c:v>330.25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2012999</c:v>
                </c:pt>
                <c:pt idx="1">
                  <c:v>201</c:v>
                </c:pt>
              </c:numCache>
            </c:numRef>
          </c:cat>
          <c:val>
            <c:numRef>
              <c:f>Sheet1!$B$2:$B$3</c:f>
              <c:numCache>
                <c:formatCode>General</c:formatCode>
                <c:ptCount val="2"/>
                <c:pt idx="0">
                  <c:v>27.17</c:v>
                </c:pt>
                <c:pt idx="1">
                  <c:v>27.17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2080505</c:v>
                </c:pt>
                <c:pt idx="1">
                  <c:v>2080506</c:v>
                </c:pt>
                <c:pt idx="2">
                  <c:v>208</c:v>
                </c:pt>
              </c:numCache>
            </c:numRef>
          </c:cat>
          <c:val>
            <c:numRef>
              <c:f>Sheet1!$B$2:$B$4</c:f>
              <c:numCache>
                <c:formatCode>General</c:formatCode>
                <c:ptCount val="3"/>
                <c:pt idx="0">
                  <c:v>205.68</c:v>
                </c:pt>
                <c:pt idx="1">
                  <c:v>11.71</c:v>
                </c:pt>
                <c:pt idx="2">
                  <c:v>217.39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节能环保支出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2110401</c:v>
                </c:pt>
                <c:pt idx="1">
                  <c:v>2119999</c:v>
                </c:pt>
                <c:pt idx="2">
                  <c:v>211</c:v>
                </c:pt>
              </c:numCache>
            </c:numRef>
          </c:cat>
          <c:val>
            <c:numRef>
              <c:f>Sheet1!$B$2:$B$4</c:f>
              <c:numCache>
                <c:formatCode>#,##0.00</c:formatCode>
                <c:ptCount val="3"/>
                <c:pt idx="0">
                  <c:v>6.27</c:v>
                </c:pt>
                <c:pt idx="1" c:formatCode="General">
                  <c:v>960</c:v>
                </c:pt>
                <c:pt idx="2" c:formatCode="General">
                  <c:v>966.27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2130104</c:v>
                </c:pt>
                <c:pt idx="1">
                  <c:v>2130204</c:v>
                </c:pt>
                <c:pt idx="2">
                  <c:v>2130205</c:v>
                </c:pt>
                <c:pt idx="3">
                  <c:v>2130206</c:v>
                </c:pt>
                <c:pt idx="4">
                  <c:v>2130209</c:v>
                </c:pt>
                <c:pt idx="5">
                  <c:v>2130211</c:v>
                </c:pt>
                <c:pt idx="6">
                  <c:v>2130213</c:v>
                </c:pt>
                <c:pt idx="7">
                  <c:v>2130234</c:v>
                </c:pt>
                <c:pt idx="8">
                  <c:v>2130299</c:v>
                </c:pt>
                <c:pt idx="9">
                  <c:v>2130505</c:v>
                </c:pt>
                <c:pt idx="11">
                  <c:v>213</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1">
                  <c:v>0</c:v>
                </c:pt>
              </c:numCache>
            </c:numRef>
          </c:val>
        </c:ser>
        <c:ser>
          <c:idx val="1"/>
          <c:order val="1"/>
          <c:tx>
            <c:strRef>
              <c:f>Sheet1!$C$1</c:f>
              <c:strCache>
                <c:ptCount val="1"/>
                <c:pt idx="0">
                  <c:v>系列 2</c:v>
                </c:pt>
              </c:strCache>
            </c:strRef>
          </c:tx>
          <c:invertIfNegative val="0"/>
          <c:dLbls>
            <c:delete val="1"/>
          </c:dLbls>
          <c:cat>
            <c:numRef>
              <c:f>Sheet1!$A$2:$A$13</c:f>
              <c:numCache>
                <c:formatCode>General</c:formatCode>
                <c:ptCount val="12"/>
                <c:pt idx="0">
                  <c:v>2130104</c:v>
                </c:pt>
                <c:pt idx="1">
                  <c:v>2130204</c:v>
                </c:pt>
                <c:pt idx="2">
                  <c:v>2130205</c:v>
                </c:pt>
                <c:pt idx="3">
                  <c:v>2130206</c:v>
                </c:pt>
                <c:pt idx="4">
                  <c:v>2130209</c:v>
                </c:pt>
                <c:pt idx="5">
                  <c:v>2130211</c:v>
                </c:pt>
                <c:pt idx="6">
                  <c:v>2130213</c:v>
                </c:pt>
                <c:pt idx="7">
                  <c:v>2130234</c:v>
                </c:pt>
                <c:pt idx="8">
                  <c:v>2130299</c:v>
                </c:pt>
                <c:pt idx="9">
                  <c:v>2130505</c:v>
                </c:pt>
                <c:pt idx="11">
                  <c:v>213</c:v>
                </c:pt>
              </c:numCache>
            </c:numRef>
          </c:cat>
          <c:val>
            <c:numRef>
              <c:f>Sheet1!$C$2:$C$13</c:f>
              <c:numCache>
                <c:formatCode>General</c:formatCode>
                <c:ptCount val="12"/>
                <c:pt idx="0">
                  <c:v>3.73</c:v>
                </c:pt>
                <c:pt idx="1" c:formatCode="#,##0.00">
                  <c:v>1297.87</c:v>
                </c:pt>
                <c:pt idx="2" c:formatCode="#,##0.00">
                  <c:v>1050.3</c:v>
                </c:pt>
                <c:pt idx="3">
                  <c:v>49.89</c:v>
                </c:pt>
                <c:pt idx="4" c:formatCode="#,##0.00">
                  <c:v>3598.48</c:v>
                </c:pt>
                <c:pt idx="5">
                  <c:v>1.75</c:v>
                </c:pt>
                <c:pt idx="6">
                  <c:v>37.58</c:v>
                </c:pt>
                <c:pt idx="7">
                  <c:v>52.92</c:v>
                </c:pt>
                <c:pt idx="8" c:formatCode="#,##0.00">
                  <c:v>1222.96</c:v>
                </c:pt>
                <c:pt idx="9">
                  <c:v>6.85</c:v>
                </c:pt>
                <c:pt idx="11" c:formatCode="#,##0.00">
                  <c:v>7322.34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pt idx="1">
                  <c:v>221</c:v>
                </c:pt>
              </c:numCache>
            </c:numRef>
          </c:cat>
          <c:val>
            <c:numRef>
              <c:f>Sheet1!$B$2:$B$3</c:f>
              <c:numCache>
                <c:formatCode>General</c:formatCode>
                <c:ptCount val="2"/>
                <c:pt idx="0">
                  <c:v>153.05</c:v>
                </c:pt>
                <c:pt idx="1">
                  <c:v>153.05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2299999</c:v>
                </c:pt>
                <c:pt idx="1">
                  <c:v>229</c:v>
                </c:pt>
              </c:numCache>
            </c:numRef>
          </c:cat>
          <c:val>
            <c:numRef>
              <c:f>Sheet1!$B$2:$B$3</c:f>
              <c:numCache>
                <c:formatCode>General</c:formatCode>
                <c:ptCount val="2"/>
                <c:pt idx="0">
                  <c:v>330.25</c:v>
                </c:pt>
                <c:pt idx="1">
                  <c:v>330.25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30106</c:v>
                </c:pt>
                <c:pt idx="4">
                  <c:v>30107</c:v>
                </c:pt>
                <c:pt idx="5">
                  <c:v>30108</c:v>
                </c:pt>
                <c:pt idx="6">
                  <c:v>30109</c:v>
                </c:pt>
                <c:pt idx="7">
                  <c:v>30110</c:v>
                </c:pt>
                <c:pt idx="8">
                  <c:v>30112</c:v>
                </c:pt>
                <c:pt idx="9">
                  <c:v>30113</c:v>
                </c:pt>
                <c:pt idx="10">
                  <c:v>30114</c:v>
                </c:pt>
              </c:numCache>
            </c:numRef>
          </c:cat>
          <c:val>
            <c:numRef>
              <c:f>Sheet1!$B$2:$B$12</c:f>
              <c:numCache>
                <c:formatCode>General</c:formatCode>
                <c:ptCount val="11"/>
                <c:pt idx="0">
                  <c:v>373.12</c:v>
                </c:pt>
                <c:pt idx="1">
                  <c:v>316.14</c:v>
                </c:pt>
                <c:pt idx="2">
                  <c:v>460.97</c:v>
                </c:pt>
                <c:pt idx="3">
                  <c:v>25.73</c:v>
                </c:pt>
                <c:pt idx="4">
                  <c:v>249.28</c:v>
                </c:pt>
                <c:pt idx="5">
                  <c:v>234.81</c:v>
                </c:pt>
                <c:pt idx="6">
                  <c:v>15.46</c:v>
                </c:pt>
                <c:pt idx="7">
                  <c:v>82.05</c:v>
                </c:pt>
                <c:pt idx="8">
                  <c:v>8.59</c:v>
                </c:pt>
                <c:pt idx="9">
                  <c:v>153.05</c:v>
                </c:pt>
                <c:pt idx="10">
                  <c:v>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2023-11-24T01:54:53Z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