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52"/>
          <w:szCs w:val="52"/>
          <w:highlight w:val="none"/>
          <w:lang w:val="en-US" w:eastAsia="zh-CN"/>
        </w:rPr>
      </w:pPr>
      <w:r>
        <w:rPr>
          <w:rFonts w:hint="eastAsia" w:ascii="黑体" w:hAnsi="黑体" w:eastAsia="黑体" w:cs="黑体"/>
          <w:b/>
          <w:bCs/>
          <w:sz w:val="52"/>
          <w:szCs w:val="52"/>
          <w:highlight w:val="none"/>
          <w:lang w:val="en-US" w:eastAsia="zh-CN"/>
        </w:rPr>
        <w:t>环江毛南族自治县农村经济经营</w:t>
      </w: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val="en-US" w:eastAsia="zh-CN"/>
        </w:rPr>
        <w:t>指导中心</w:t>
      </w: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ind w:firstLine="2891" w:firstLineChars="800"/>
        <w:jc w:val="both"/>
        <w:rPr>
          <w:rFonts w:hint="eastAsia" w:ascii="黑体" w:hAnsi="黑体" w:eastAsia="黑体" w:cs="黑体"/>
          <w:b/>
          <w:bCs/>
          <w:sz w:val="36"/>
          <w:szCs w:val="36"/>
          <w:highlight w:val="none"/>
        </w:rPr>
      </w:pPr>
    </w:p>
    <w:p>
      <w:pPr>
        <w:ind w:firstLine="2891" w:firstLineChars="800"/>
        <w:jc w:val="both"/>
        <w:rPr>
          <w:rFonts w:hint="eastAsia" w:ascii="黑体" w:hAnsi="黑体" w:eastAsia="黑体" w:cs="黑体"/>
          <w:b/>
          <w:bCs/>
          <w:sz w:val="36"/>
          <w:szCs w:val="36"/>
          <w:highlight w:val="none"/>
        </w:rPr>
      </w:pPr>
    </w:p>
    <w:p>
      <w:pPr>
        <w:ind w:firstLine="2891" w:firstLineChars="800"/>
        <w:jc w:val="both"/>
        <w:rPr>
          <w:rFonts w:hint="eastAsia" w:ascii="黑体" w:hAnsi="黑体" w:eastAsia="黑体" w:cs="黑体"/>
          <w:b/>
          <w:bCs/>
          <w:sz w:val="36"/>
          <w:szCs w:val="36"/>
          <w:highlight w:val="none"/>
        </w:rPr>
      </w:pPr>
    </w:p>
    <w:p>
      <w:pPr>
        <w:ind w:firstLine="2891" w:firstLineChars="800"/>
        <w:jc w:val="both"/>
        <w:rPr>
          <w:rFonts w:hint="eastAsia" w:ascii="黑体" w:hAnsi="黑体" w:eastAsia="黑体" w:cs="黑体"/>
          <w:b/>
          <w:bCs/>
          <w:sz w:val="36"/>
          <w:szCs w:val="36"/>
          <w:highlight w:val="none"/>
        </w:rPr>
      </w:pPr>
    </w:p>
    <w:p>
      <w:pPr>
        <w:ind w:firstLine="2891" w:firstLineChars="800"/>
        <w:jc w:val="both"/>
        <w:rPr>
          <w:rFonts w:hint="eastAsia" w:ascii="黑体" w:hAnsi="黑体" w:eastAsia="黑体" w:cs="黑体"/>
          <w:b/>
          <w:bCs/>
          <w:sz w:val="36"/>
          <w:szCs w:val="36"/>
          <w:highlight w:val="none"/>
        </w:rPr>
      </w:pPr>
    </w:p>
    <w:p>
      <w:pPr>
        <w:ind w:firstLine="2891" w:firstLineChars="800"/>
        <w:jc w:val="both"/>
        <w:rPr>
          <w:rFonts w:hint="eastAsia" w:ascii="黑体" w:hAnsi="黑体" w:eastAsia="黑体" w:cs="黑体"/>
          <w:b/>
          <w:bCs/>
          <w:sz w:val="36"/>
          <w:szCs w:val="36"/>
          <w:highlight w:val="none"/>
        </w:rPr>
      </w:pPr>
    </w:p>
    <w:p>
      <w:pPr>
        <w:ind w:firstLine="2891" w:firstLineChars="800"/>
        <w:jc w:val="both"/>
        <w:rPr>
          <w:rFonts w:hint="eastAsia" w:ascii="黑体" w:hAnsi="黑体" w:eastAsia="黑体" w:cs="黑体"/>
          <w:b/>
          <w:bCs/>
          <w:sz w:val="36"/>
          <w:szCs w:val="36"/>
          <w:highlight w:val="none"/>
        </w:rPr>
      </w:pPr>
    </w:p>
    <w:p>
      <w:pPr>
        <w:ind w:firstLine="2891" w:firstLineChars="800"/>
        <w:jc w:val="both"/>
        <w:rPr>
          <w:rFonts w:hint="eastAsia" w:ascii="黑体" w:hAnsi="黑体" w:eastAsia="黑体" w:cs="黑体"/>
          <w:b/>
          <w:bCs/>
          <w:sz w:val="36"/>
          <w:szCs w:val="36"/>
          <w:highlight w:val="none"/>
        </w:rPr>
      </w:pPr>
    </w:p>
    <w:p>
      <w:pPr>
        <w:ind w:firstLine="2891" w:firstLineChars="800"/>
        <w:jc w:val="both"/>
        <w:rPr>
          <w:rFonts w:hint="eastAsia" w:ascii="黑体" w:hAnsi="黑体" w:eastAsia="黑体" w:cs="黑体"/>
          <w:b/>
          <w:bCs/>
          <w:sz w:val="36"/>
          <w:szCs w:val="36"/>
          <w:highlight w:val="none"/>
        </w:rPr>
      </w:pPr>
    </w:p>
    <w:p>
      <w:pPr>
        <w:ind w:firstLine="2891" w:firstLineChars="800"/>
        <w:jc w:val="both"/>
        <w:rPr>
          <w:rFonts w:hint="eastAsia" w:ascii="黑体" w:hAnsi="黑体" w:eastAsia="黑体" w:cs="黑体"/>
          <w:b/>
          <w:bCs/>
          <w:sz w:val="36"/>
          <w:szCs w:val="36"/>
          <w:highlight w:val="none"/>
        </w:rPr>
      </w:pPr>
    </w:p>
    <w:p>
      <w:pPr>
        <w:ind w:firstLine="2891" w:firstLineChars="800"/>
        <w:jc w:val="both"/>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hint="eastAsia" w:ascii="仿宋" w:hAnsi="仿宋" w:eastAsia="仿宋" w:cs="仿宋"/>
          <w:sz w:val="32"/>
          <w:szCs w:val="32"/>
          <w:highlight w:val="none"/>
          <w:lang w:val="en-US" w:eastAsia="zh-CN"/>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keepNext w:val="0"/>
        <w:keepLines w:val="0"/>
        <w:pageBreakBefore w:val="0"/>
        <w:widowControl w:val="0"/>
        <w:kinsoku/>
        <w:wordWrap/>
        <w:overflowPunct/>
        <w:topLinePunct w:val="0"/>
        <w:bidi w:val="0"/>
        <w:snapToGrid/>
        <w:spacing w:line="520" w:lineRule="exact"/>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val="en-US" w:eastAsia="zh-CN"/>
        </w:rPr>
        <w:t>部门</w:t>
      </w:r>
      <w:r>
        <w:rPr>
          <w:rFonts w:hint="eastAsia" w:ascii="黑体" w:hAnsi="黑体" w:eastAsia="黑体" w:cs="黑体"/>
          <w:sz w:val="32"/>
          <w:szCs w:val="32"/>
          <w:highlight w:val="none"/>
        </w:rPr>
        <w:t>概况</w:t>
      </w:r>
    </w:p>
    <w:p>
      <w:pPr>
        <w:keepNext w:val="0"/>
        <w:keepLines w:val="0"/>
        <w:pageBreakBefore w:val="0"/>
        <w:widowControl w:val="0"/>
        <w:kinsoku/>
        <w:wordWrap/>
        <w:overflowPunct/>
        <w:topLinePunct w:val="0"/>
        <w:bidi w:val="0"/>
        <w:snapToGrid/>
        <w:spacing w:line="520" w:lineRule="exact"/>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keepNext w:val="0"/>
        <w:keepLines w:val="0"/>
        <w:pageBreakBefore w:val="0"/>
        <w:widowControl w:val="0"/>
        <w:kinsoku/>
        <w:wordWrap/>
        <w:overflowPunct/>
        <w:topLinePunct w:val="0"/>
        <w:bidi w:val="0"/>
        <w:snapToGrid/>
        <w:spacing w:line="520" w:lineRule="exact"/>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keepNext w:val="0"/>
        <w:keepLines w:val="0"/>
        <w:pageBreakBefore w:val="0"/>
        <w:widowControl w:val="0"/>
        <w:kinsoku/>
        <w:wordWrap/>
        <w:overflowPunct/>
        <w:topLinePunct w:val="0"/>
        <w:bidi w:val="0"/>
        <w:snapToGrid/>
        <w:spacing w:line="520" w:lineRule="exact"/>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第二部分：2022年度部门决算报表</w:t>
      </w:r>
    </w:p>
    <w:p>
      <w:pPr>
        <w:keepNext w:val="0"/>
        <w:keepLines w:val="0"/>
        <w:pageBreakBefore w:val="0"/>
        <w:widowControl w:val="0"/>
        <w:kinsoku/>
        <w:wordWrap/>
        <w:overflowPunct/>
        <w:topLinePunct w:val="0"/>
        <w:bidi w:val="0"/>
        <w:snapToGrid/>
        <w:spacing w:line="520" w:lineRule="exact"/>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keepNext w:val="0"/>
        <w:keepLines w:val="0"/>
        <w:pageBreakBefore w:val="0"/>
        <w:widowControl w:val="0"/>
        <w:kinsoku/>
        <w:wordWrap/>
        <w:overflowPunct/>
        <w:topLinePunct w:val="0"/>
        <w:bidi w:val="0"/>
        <w:snapToGrid/>
        <w:spacing w:line="520" w:lineRule="exact"/>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keepNext w:val="0"/>
        <w:keepLines w:val="0"/>
        <w:pageBreakBefore w:val="0"/>
        <w:widowControl w:val="0"/>
        <w:kinsoku/>
        <w:wordWrap/>
        <w:overflowPunct/>
        <w:topLinePunct w:val="0"/>
        <w:bidi w:val="0"/>
        <w:snapToGrid/>
        <w:spacing w:line="520" w:lineRule="exact"/>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keepNext w:val="0"/>
        <w:keepLines w:val="0"/>
        <w:pageBreakBefore w:val="0"/>
        <w:widowControl w:val="0"/>
        <w:kinsoku/>
        <w:wordWrap/>
        <w:overflowPunct/>
        <w:topLinePunct w:val="0"/>
        <w:bidi w:val="0"/>
        <w:snapToGrid/>
        <w:spacing w:line="520" w:lineRule="exact"/>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keepNext w:val="0"/>
        <w:keepLines w:val="0"/>
        <w:pageBreakBefore w:val="0"/>
        <w:widowControl w:val="0"/>
        <w:kinsoku/>
        <w:wordWrap/>
        <w:overflowPunct/>
        <w:topLinePunct w:val="0"/>
        <w:bidi w:val="0"/>
        <w:snapToGrid/>
        <w:spacing w:line="520" w:lineRule="exact"/>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keepNext w:val="0"/>
        <w:keepLines w:val="0"/>
        <w:pageBreakBefore w:val="0"/>
        <w:widowControl w:val="0"/>
        <w:kinsoku/>
        <w:wordWrap/>
        <w:overflowPunct/>
        <w:topLinePunct w:val="0"/>
        <w:bidi w:val="0"/>
        <w:snapToGrid/>
        <w:spacing w:line="520" w:lineRule="exact"/>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keepNext w:val="0"/>
        <w:keepLines w:val="0"/>
        <w:pageBreakBefore w:val="0"/>
        <w:widowControl w:val="0"/>
        <w:kinsoku/>
        <w:wordWrap/>
        <w:overflowPunct/>
        <w:topLinePunct w:val="0"/>
        <w:bidi w:val="0"/>
        <w:snapToGrid/>
        <w:spacing w:line="520" w:lineRule="exact"/>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keepNext w:val="0"/>
        <w:keepLines w:val="0"/>
        <w:pageBreakBefore w:val="0"/>
        <w:widowControl w:val="0"/>
        <w:kinsoku/>
        <w:wordWrap/>
        <w:overflowPunct/>
        <w:topLinePunct w:val="0"/>
        <w:bidi w:val="0"/>
        <w:snapToGrid/>
        <w:spacing w:line="520" w:lineRule="exact"/>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keepNext w:val="0"/>
        <w:keepLines w:val="0"/>
        <w:pageBreakBefore w:val="0"/>
        <w:widowControl w:val="0"/>
        <w:kinsoku/>
        <w:wordWrap/>
        <w:overflowPunct/>
        <w:topLinePunct w:val="0"/>
        <w:bidi w:val="0"/>
        <w:snapToGrid/>
        <w:spacing w:line="520" w:lineRule="exact"/>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keepNext w:val="0"/>
        <w:keepLines w:val="0"/>
        <w:pageBreakBefore w:val="0"/>
        <w:widowControl w:val="0"/>
        <w:kinsoku/>
        <w:wordWrap/>
        <w:overflowPunct/>
        <w:topLinePunct w:val="0"/>
        <w:bidi w:val="0"/>
        <w:snapToGrid/>
        <w:spacing w:line="520" w:lineRule="exact"/>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第三部分：2022年度部门决算情况说明</w:t>
      </w:r>
    </w:p>
    <w:p>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keepNext w:val="0"/>
        <w:keepLines w:val="0"/>
        <w:pageBreakBefore w:val="0"/>
        <w:widowControl w:val="0"/>
        <w:kinsoku/>
        <w:wordWrap/>
        <w:overflowPunct/>
        <w:topLinePunct w:val="0"/>
        <w:bidi w:val="0"/>
        <w:snapToGrid/>
        <w:spacing w:line="520" w:lineRule="exact"/>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方正小标宋简体" w:hAnsi="方正小标宋简体" w:eastAsia="方正小标宋简体" w:cs="方正小标宋简体"/>
          <w:i w:val="0"/>
          <w:iCs w:val="0"/>
          <w:caps w:val="0"/>
          <w:color w:val="333333"/>
          <w:spacing w:val="0"/>
          <w:sz w:val="40"/>
          <w:szCs w:val="40"/>
          <w:shd w:val="clear" w:fill="FFFFFF"/>
        </w:rPr>
        <w:t>自治县农村经济经营指导中心基本情况</w:t>
      </w:r>
    </w:p>
    <w:p>
      <w:pPr>
        <w:keepNext w:val="0"/>
        <w:keepLines w:val="0"/>
        <w:pageBreakBefore w:val="0"/>
        <w:kinsoku/>
        <w:wordWrap/>
        <w:overflowPunct/>
        <w:topLinePunct w:val="0"/>
        <w:autoSpaceDE/>
        <w:autoSpaceDN/>
        <w:bidi w:val="0"/>
        <w:adjustRightInd/>
        <w:snapToGrid/>
        <w:spacing w:line="520" w:lineRule="exact"/>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6"/>
        <w:jc w:val="both"/>
        <w:textAlignment w:val="auto"/>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333333"/>
          <w:spacing w:val="0"/>
          <w:sz w:val="32"/>
          <w:szCs w:val="32"/>
          <w:shd w:val="clear" w:fill="FFFFFF"/>
        </w:rPr>
        <w:t>1、完善和创新农村经济经营体制方式，深入开展农村经济监测工作，指导农村各类合作经济的发展和管理；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6"/>
        <w:jc w:val="both"/>
        <w:textAlignment w:val="auto"/>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333333"/>
          <w:spacing w:val="0"/>
          <w:sz w:val="32"/>
          <w:szCs w:val="32"/>
          <w:shd w:val="clear" w:fill="FFFFFF"/>
        </w:rPr>
        <w:t>2、负责农村集体经济组织的“三资”及农村财务管理；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6"/>
        <w:jc w:val="both"/>
        <w:textAlignment w:val="auto"/>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333333"/>
          <w:spacing w:val="0"/>
          <w:sz w:val="32"/>
          <w:szCs w:val="32"/>
          <w:shd w:val="clear" w:fill="FFFFFF"/>
        </w:rPr>
        <w:t>3、规范完善农村土地承包责任制，负责农村土地承包合同纠纷的调解与仲裁；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6"/>
        <w:jc w:val="both"/>
        <w:textAlignment w:val="auto"/>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333333"/>
          <w:spacing w:val="0"/>
          <w:sz w:val="32"/>
          <w:szCs w:val="32"/>
          <w:shd w:val="clear" w:fill="FFFFFF"/>
        </w:rPr>
        <w:t>4、引导规范农村土地流转，制定农村土地流转管理办法；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6"/>
        <w:jc w:val="both"/>
        <w:textAlignment w:val="auto"/>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333333"/>
          <w:spacing w:val="0"/>
          <w:sz w:val="32"/>
          <w:szCs w:val="32"/>
          <w:shd w:val="clear" w:fill="FFFFFF"/>
        </w:rPr>
        <w:t>5、负责减轻农民负担的监督管理；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6"/>
        <w:jc w:val="both"/>
        <w:textAlignment w:val="auto"/>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333333"/>
          <w:spacing w:val="0"/>
          <w:sz w:val="32"/>
          <w:szCs w:val="32"/>
          <w:shd w:val="clear" w:fill="FFFFFF"/>
        </w:rPr>
        <w:t>6、协调农村内部各种经济关系；围绕特色产业，大力培育农民专业合作经济组织、引进培育农产品加工龙头企业建设，提高农业组织化程度和生产效益，促进农业区域化、规模化、产业化发展；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6"/>
        <w:jc w:val="both"/>
        <w:textAlignment w:val="auto"/>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333333"/>
          <w:spacing w:val="0"/>
          <w:sz w:val="32"/>
          <w:szCs w:val="32"/>
          <w:shd w:val="clear" w:fill="FFFFFF"/>
        </w:rPr>
        <w:t>7、负责农村经济收益分配和农村合作经济发展情况的调查与统计等。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6"/>
        <w:jc w:val="both"/>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8、完成县委、县府及上级业务主管部门布置的其他各项工作任务。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5"/>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黑体" w:hAnsi="黑体" w:eastAsia="黑体" w:cs="黑体"/>
          <w:sz w:val="32"/>
          <w:szCs w:val="32"/>
          <w:highlight w:val="none"/>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kern w:val="0"/>
          <w:sz w:val="32"/>
          <w:szCs w:val="32"/>
          <w:lang w:val="en-US" w:eastAsia="zh-CN"/>
        </w:rPr>
        <w:t>自治县</w:t>
      </w:r>
      <w:r>
        <w:rPr>
          <w:rFonts w:hint="eastAsia" w:ascii="仿宋" w:hAnsi="仿宋" w:eastAsia="仿宋" w:cs="仿宋"/>
          <w:kern w:val="0"/>
          <w:sz w:val="32"/>
          <w:szCs w:val="32"/>
        </w:rPr>
        <w:t>农经</w:t>
      </w:r>
      <w:r>
        <w:rPr>
          <w:rFonts w:hint="eastAsia" w:ascii="仿宋" w:hAnsi="仿宋" w:eastAsia="仿宋" w:cs="仿宋"/>
          <w:kern w:val="0"/>
          <w:sz w:val="32"/>
          <w:szCs w:val="32"/>
          <w:lang w:val="en-US" w:eastAsia="zh-CN"/>
        </w:rPr>
        <w:t>中心</w:t>
      </w:r>
      <w:r>
        <w:rPr>
          <w:rFonts w:hint="eastAsia" w:ascii="仿宋" w:hAnsi="仿宋" w:eastAsia="仿宋" w:cs="仿宋"/>
          <w:sz w:val="32"/>
          <w:szCs w:val="32"/>
        </w:rPr>
        <w:t>属于财政全额拨款的参照公务员管理的事业单位，</w:t>
      </w:r>
      <w:r>
        <w:rPr>
          <w:rFonts w:hint="eastAsia" w:ascii="仿宋" w:hAnsi="仿宋" w:eastAsia="仿宋" w:cs="仿宋"/>
          <w:kern w:val="0"/>
          <w:sz w:val="32"/>
          <w:szCs w:val="32"/>
        </w:rPr>
        <w:t>根据工作的基本职能，设有办公室和农经综合股两个</w:t>
      </w:r>
      <w:r>
        <w:rPr>
          <w:rFonts w:hint="eastAsia" w:ascii="仿宋" w:hAnsi="仿宋" w:eastAsia="仿宋" w:cs="仿宋"/>
          <w:kern w:val="0"/>
          <w:sz w:val="32"/>
          <w:szCs w:val="32"/>
          <w:lang w:eastAsia="zh-CN"/>
        </w:rPr>
        <w:t>，</w:t>
      </w:r>
      <w:r>
        <w:rPr>
          <w:rFonts w:hint="eastAsia" w:ascii="仿宋" w:hAnsi="仿宋" w:eastAsia="仿宋" w:cs="仿宋"/>
          <w:i w:val="0"/>
          <w:iCs w:val="0"/>
          <w:caps w:val="0"/>
          <w:color w:val="333333"/>
          <w:spacing w:val="0"/>
          <w:sz w:val="32"/>
          <w:szCs w:val="32"/>
          <w:shd w:val="clear" w:fill="FFFFFF"/>
        </w:rPr>
        <w:t>人员编制总数为8人，其中行政编制0人，事业编制8人，机关后勤服务中心聘用人员控制数0人。实有财政供养人数</w:t>
      </w:r>
      <w:r>
        <w:rPr>
          <w:rFonts w:hint="eastAsia" w:ascii="仿宋" w:hAnsi="仿宋" w:eastAsia="仿宋" w:cs="仿宋"/>
          <w:i w:val="0"/>
          <w:iCs w:val="0"/>
          <w:caps w:val="0"/>
          <w:color w:val="333333"/>
          <w:spacing w:val="0"/>
          <w:sz w:val="32"/>
          <w:szCs w:val="32"/>
          <w:shd w:val="clear" w:fill="FFFFFF"/>
          <w:lang w:val="en-US" w:eastAsia="zh-CN"/>
        </w:rPr>
        <w:t>6</w:t>
      </w:r>
      <w:r>
        <w:rPr>
          <w:rFonts w:hint="eastAsia" w:ascii="仿宋" w:hAnsi="仿宋" w:eastAsia="仿宋" w:cs="仿宋"/>
          <w:i w:val="0"/>
          <w:iCs w:val="0"/>
          <w:caps w:val="0"/>
          <w:color w:val="333333"/>
          <w:spacing w:val="0"/>
          <w:sz w:val="32"/>
          <w:szCs w:val="32"/>
          <w:shd w:val="clear" w:fill="FFFFFF"/>
        </w:rPr>
        <w:t>人，其中行政在职0人，事业在职</w:t>
      </w:r>
      <w:r>
        <w:rPr>
          <w:rFonts w:hint="eastAsia" w:ascii="仿宋" w:hAnsi="仿宋" w:eastAsia="仿宋" w:cs="仿宋"/>
          <w:i w:val="0"/>
          <w:iCs w:val="0"/>
          <w:caps w:val="0"/>
          <w:color w:val="333333"/>
          <w:spacing w:val="0"/>
          <w:sz w:val="32"/>
          <w:szCs w:val="32"/>
          <w:shd w:val="clear" w:fill="FFFFFF"/>
          <w:lang w:val="en-US" w:eastAsia="zh-CN"/>
        </w:rPr>
        <w:t>6</w:t>
      </w:r>
      <w:r>
        <w:rPr>
          <w:rFonts w:hint="eastAsia" w:ascii="仿宋" w:hAnsi="仿宋" w:eastAsia="仿宋" w:cs="仿宋"/>
          <w:i w:val="0"/>
          <w:iCs w:val="0"/>
          <w:caps w:val="0"/>
          <w:color w:val="333333"/>
          <w:spacing w:val="0"/>
          <w:sz w:val="32"/>
          <w:szCs w:val="32"/>
          <w:shd w:val="clear" w:fill="FFFFFF"/>
        </w:rPr>
        <w:t>人，离退休人员</w:t>
      </w:r>
      <w:r>
        <w:rPr>
          <w:rFonts w:hint="eastAsia" w:ascii="仿宋" w:hAnsi="仿宋" w:eastAsia="仿宋" w:cs="仿宋"/>
          <w:i w:val="0"/>
          <w:iCs w:val="0"/>
          <w:caps w:val="0"/>
          <w:color w:val="333333"/>
          <w:spacing w:val="0"/>
          <w:sz w:val="32"/>
          <w:szCs w:val="32"/>
          <w:shd w:val="clear" w:fill="FFFFFF"/>
          <w:lang w:val="en-US" w:eastAsia="zh-CN"/>
        </w:rPr>
        <w:t>6</w:t>
      </w:r>
      <w:r>
        <w:rPr>
          <w:rFonts w:hint="eastAsia" w:ascii="仿宋" w:hAnsi="仿宋" w:eastAsia="仿宋" w:cs="仿宋"/>
          <w:i w:val="0"/>
          <w:iCs w:val="0"/>
          <w:caps w:val="0"/>
          <w:color w:val="333333"/>
          <w:spacing w:val="0"/>
          <w:sz w:val="32"/>
          <w:szCs w:val="32"/>
          <w:shd w:val="clear" w:fill="FFFFFF"/>
        </w:rPr>
        <w:t>人（其中离休0人）。编外在职实有人数（政府</w:t>
      </w:r>
      <w:r>
        <w:rPr>
          <w:rFonts w:hint="eastAsia" w:ascii="仿宋" w:hAnsi="仿宋" w:eastAsia="仿宋" w:cs="仿宋"/>
          <w:i w:val="0"/>
          <w:iCs w:val="0"/>
          <w:caps w:val="0"/>
          <w:color w:val="333333"/>
          <w:spacing w:val="0"/>
          <w:sz w:val="32"/>
          <w:szCs w:val="32"/>
          <w:shd w:val="clear" w:fill="FFFFFF"/>
          <w:lang w:val="en-US" w:eastAsia="zh-CN"/>
        </w:rPr>
        <w:t>购</w:t>
      </w:r>
      <w:r>
        <w:rPr>
          <w:rFonts w:hint="eastAsia" w:ascii="仿宋" w:hAnsi="仿宋" w:eastAsia="仿宋" w:cs="仿宋"/>
          <w:i w:val="0"/>
          <w:iCs w:val="0"/>
          <w:caps w:val="0"/>
          <w:color w:val="333333"/>
          <w:spacing w:val="0"/>
          <w:sz w:val="32"/>
          <w:szCs w:val="32"/>
          <w:shd w:val="clear" w:fill="FFFFFF"/>
        </w:rPr>
        <w:t>买人员）</w:t>
      </w:r>
      <w:r>
        <w:rPr>
          <w:rFonts w:hint="eastAsia" w:ascii="仿宋" w:hAnsi="仿宋" w:eastAsia="仿宋" w:cs="仿宋"/>
          <w:i w:val="0"/>
          <w:iCs w:val="0"/>
          <w:caps w:val="0"/>
          <w:color w:val="333333"/>
          <w:spacing w:val="0"/>
          <w:sz w:val="32"/>
          <w:szCs w:val="32"/>
          <w:shd w:val="clear" w:fill="FFFFFF"/>
          <w:lang w:val="en-US" w:eastAsia="zh-CN"/>
        </w:rPr>
        <w:t>2</w:t>
      </w:r>
      <w:r>
        <w:rPr>
          <w:rFonts w:hint="eastAsia" w:ascii="仿宋" w:hAnsi="仿宋" w:eastAsia="仿宋" w:cs="仿宋"/>
          <w:i w:val="0"/>
          <w:iCs w:val="0"/>
          <w:caps w:val="0"/>
          <w:color w:val="333333"/>
          <w:spacing w:val="0"/>
          <w:sz w:val="32"/>
          <w:szCs w:val="32"/>
          <w:shd w:val="clear" w:fill="FFFFFF"/>
        </w:rPr>
        <w:t>人。</w:t>
      </w:r>
    </w:p>
    <w:p>
      <w:pPr>
        <w:jc w:val="both"/>
        <w:rPr>
          <w:rFonts w:hint="eastAsia" w:ascii="黑体" w:hAnsi="黑体" w:eastAsia="黑体" w:cs="黑体"/>
          <w:sz w:val="32"/>
          <w:szCs w:val="32"/>
          <w:highlight w:val="none"/>
        </w:rPr>
      </w:pPr>
    </w:p>
    <w:p>
      <w:pPr>
        <w:ind w:firstLine="640" w:firstLineChars="200"/>
        <w:jc w:val="both"/>
        <w:rPr>
          <w:rFonts w:hint="eastAsia" w:ascii="宋体" w:hAnsi="宋体" w:eastAsia="宋体" w:cs="宋体"/>
          <w:sz w:val="44"/>
          <w:szCs w:val="44"/>
          <w:highlight w:val="none"/>
        </w:rPr>
      </w:pPr>
      <w:r>
        <w:rPr>
          <w:rFonts w:hint="eastAsia" w:ascii="黑体" w:hAnsi="黑体" w:eastAsia="黑体" w:cs="黑体"/>
          <w:sz w:val="32"/>
          <w:szCs w:val="32"/>
          <w:highlight w:val="none"/>
        </w:rPr>
        <w:t>第二部分：</w:t>
      </w:r>
      <w:r>
        <w:rPr>
          <w:rFonts w:hint="eastAsia" w:ascii="宋体" w:hAnsi="宋体" w:eastAsia="宋体" w:cs="宋体"/>
          <w:i w:val="0"/>
          <w:iCs w:val="0"/>
          <w:caps w:val="0"/>
          <w:color w:val="333333"/>
          <w:spacing w:val="0"/>
          <w:sz w:val="44"/>
          <w:szCs w:val="44"/>
          <w:shd w:val="clear" w:fill="FFFFFF"/>
        </w:rPr>
        <w:t>自治县农村经济经营指导中</w:t>
      </w:r>
      <w:r>
        <w:rPr>
          <w:rFonts w:hint="eastAsia" w:ascii="宋体" w:hAnsi="宋体" w:eastAsia="宋体" w:cs="宋体"/>
          <w:i w:val="0"/>
          <w:iCs w:val="0"/>
          <w:caps w:val="0"/>
          <w:color w:val="333333"/>
          <w:spacing w:val="0"/>
          <w:sz w:val="44"/>
          <w:szCs w:val="44"/>
          <w:shd w:val="clear" w:fill="FFFFFF"/>
          <w:lang w:val="en-US" w:eastAsia="zh-CN"/>
        </w:rPr>
        <w:t>心</w:t>
      </w:r>
      <w:r>
        <w:rPr>
          <w:rFonts w:hint="eastAsia" w:ascii="宋体" w:hAnsi="宋体" w:eastAsia="宋体" w:cs="宋体"/>
          <w:sz w:val="44"/>
          <w:szCs w:val="44"/>
          <w:highlight w:val="none"/>
        </w:rPr>
        <w:t>2022年度部门决算报表</w:t>
      </w:r>
    </w:p>
    <w:p>
      <w:pPr>
        <w:jc w:val="both"/>
        <w:rPr>
          <w:rFonts w:hint="eastAsia" w:ascii="黑体" w:hAnsi="黑体" w:eastAsia="黑体" w:cs="黑体"/>
          <w:sz w:val="32"/>
          <w:szCs w:val="32"/>
          <w:highlight w:val="none"/>
        </w:rPr>
      </w:pPr>
    </w:p>
    <w:p>
      <w:pPr>
        <w:jc w:val="both"/>
        <w:rPr>
          <w:rFonts w:hint="eastAsia" w:ascii="黑体" w:hAnsi="黑体" w:eastAsia="黑体" w:cs="黑体"/>
          <w:sz w:val="32"/>
          <w:szCs w:val="32"/>
          <w:highlight w:val="none"/>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tbl>
      <w:tblPr>
        <w:tblStyle w:val="6"/>
        <w:tblW w:w="13988" w:type="dxa"/>
        <w:tblInd w:w="0" w:type="dxa"/>
        <w:shd w:val="clear" w:color="auto" w:fill="auto"/>
        <w:tblLayout w:type="fixed"/>
        <w:tblCellMar>
          <w:top w:w="0" w:type="dxa"/>
          <w:left w:w="0" w:type="dxa"/>
          <w:bottom w:w="0" w:type="dxa"/>
          <w:right w:w="0" w:type="dxa"/>
        </w:tblCellMar>
      </w:tblPr>
      <w:tblGrid>
        <w:gridCol w:w="5352"/>
        <w:gridCol w:w="945"/>
        <w:gridCol w:w="1140"/>
        <w:gridCol w:w="3885"/>
        <w:gridCol w:w="944"/>
        <w:gridCol w:w="1722"/>
      </w:tblGrid>
      <w:tr>
        <w:tblPrEx>
          <w:shd w:val="clear" w:color="auto" w:fill="auto"/>
          <w:tblCellMar>
            <w:top w:w="0" w:type="dxa"/>
            <w:left w:w="0" w:type="dxa"/>
            <w:bottom w:w="0" w:type="dxa"/>
            <w:right w:w="0" w:type="dxa"/>
          </w:tblCellMar>
        </w:tblPrEx>
        <w:trPr>
          <w:trHeight w:val="390" w:hRule="atLeast"/>
        </w:trPr>
        <w:tc>
          <w:tcPr>
            <w:tcW w:w="13988" w:type="dxa"/>
            <w:gridSpan w:val="6"/>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收入支出决算总表</w:t>
            </w:r>
          </w:p>
        </w:tc>
      </w:tr>
      <w:tr>
        <w:tblPrEx>
          <w:shd w:val="clear" w:color="auto" w:fill="auto"/>
          <w:tblCellMar>
            <w:top w:w="0" w:type="dxa"/>
            <w:left w:w="0" w:type="dxa"/>
            <w:bottom w:w="0" w:type="dxa"/>
            <w:right w:w="0" w:type="dxa"/>
          </w:tblCellMar>
        </w:tblPrEx>
        <w:trPr>
          <w:trHeight w:val="255" w:hRule="atLeast"/>
        </w:trPr>
        <w:tc>
          <w:tcPr>
            <w:tcW w:w="5352"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Arial" w:hAnsi="Arial" w:cs="Arial"/>
                <w:i w:val="0"/>
                <w:color w:val="000000"/>
                <w:sz w:val="20"/>
                <w:szCs w:val="20"/>
                <w:u w:val="none"/>
              </w:rPr>
            </w:pPr>
          </w:p>
        </w:tc>
        <w:tc>
          <w:tcPr>
            <w:tcW w:w="94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14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388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944"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722"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shd w:val="clear" w:color="auto" w:fill="auto"/>
          <w:tblCellMar>
            <w:top w:w="0" w:type="dxa"/>
            <w:left w:w="0" w:type="dxa"/>
            <w:bottom w:w="0" w:type="dxa"/>
            <w:right w:w="0" w:type="dxa"/>
          </w:tblCellMar>
        </w:tblPrEx>
        <w:trPr>
          <w:trHeight w:val="255" w:hRule="atLeast"/>
        </w:trPr>
        <w:tc>
          <w:tcPr>
            <w:tcW w:w="5352"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部门：广西河池市环江毛南族自治县农村经济经营指导中心</w:t>
            </w:r>
          </w:p>
        </w:tc>
        <w:tc>
          <w:tcPr>
            <w:tcW w:w="94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14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388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944"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722"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shd w:val="clear" w:color="auto" w:fill="auto"/>
          <w:tblCellMar>
            <w:top w:w="0" w:type="dxa"/>
            <w:left w:w="0" w:type="dxa"/>
            <w:bottom w:w="0" w:type="dxa"/>
            <w:right w:w="0" w:type="dxa"/>
          </w:tblCellMar>
        </w:tblPrEx>
        <w:trPr>
          <w:trHeight w:val="308" w:hRule="atLeast"/>
        </w:trPr>
        <w:tc>
          <w:tcPr>
            <w:tcW w:w="7437"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6551" w:type="dxa"/>
            <w:gridSpan w:val="3"/>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tblPrEx>
          <w:shd w:val="clear" w:color="auto" w:fill="auto"/>
          <w:tblCellMar>
            <w:top w:w="0" w:type="dxa"/>
            <w:left w:w="0" w:type="dxa"/>
            <w:bottom w:w="0" w:type="dxa"/>
            <w:right w:w="0" w:type="dxa"/>
          </w:tblCellMar>
        </w:tblPrEx>
        <w:trPr>
          <w:trHeight w:val="308" w:hRule="atLeast"/>
        </w:trPr>
        <w:tc>
          <w:tcPr>
            <w:tcW w:w="535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1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8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9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72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tblPrEx>
          <w:shd w:val="clear" w:color="auto" w:fill="auto"/>
          <w:tblCellMar>
            <w:top w:w="0" w:type="dxa"/>
            <w:left w:w="0" w:type="dxa"/>
            <w:bottom w:w="0" w:type="dxa"/>
            <w:right w:w="0" w:type="dxa"/>
          </w:tblCellMar>
        </w:tblPrEx>
        <w:trPr>
          <w:trHeight w:val="308" w:hRule="atLeast"/>
        </w:trPr>
        <w:tc>
          <w:tcPr>
            <w:tcW w:w="535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1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8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9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72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shd w:val="clear" w:color="auto" w:fill="auto"/>
          <w:tblCellMar>
            <w:top w:w="0" w:type="dxa"/>
            <w:left w:w="0" w:type="dxa"/>
            <w:bottom w:w="0" w:type="dxa"/>
            <w:right w:w="0" w:type="dxa"/>
          </w:tblCellMar>
        </w:tblPrEx>
        <w:trPr>
          <w:trHeight w:val="308" w:hRule="atLeast"/>
        </w:trPr>
        <w:tc>
          <w:tcPr>
            <w:tcW w:w="535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606.07</w:t>
            </w:r>
          </w:p>
        </w:tc>
        <w:tc>
          <w:tcPr>
            <w:tcW w:w="38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9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7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4.26</w:t>
            </w:r>
          </w:p>
        </w:tc>
      </w:tr>
      <w:tr>
        <w:tblPrEx>
          <w:shd w:val="clear" w:color="auto" w:fill="auto"/>
          <w:tblCellMar>
            <w:top w:w="0" w:type="dxa"/>
            <w:left w:w="0" w:type="dxa"/>
            <w:bottom w:w="0" w:type="dxa"/>
            <w:right w:w="0" w:type="dxa"/>
          </w:tblCellMar>
        </w:tblPrEx>
        <w:trPr>
          <w:trHeight w:val="308" w:hRule="atLeast"/>
        </w:trPr>
        <w:tc>
          <w:tcPr>
            <w:tcW w:w="535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8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9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7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535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8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9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7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535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8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9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7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535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8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9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7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535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8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9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7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535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8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9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7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535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8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9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7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w:t>
            </w:r>
          </w:p>
        </w:tc>
      </w:tr>
      <w:tr>
        <w:tblPrEx>
          <w:tblCellMar>
            <w:top w:w="0" w:type="dxa"/>
            <w:left w:w="0" w:type="dxa"/>
            <w:bottom w:w="0" w:type="dxa"/>
            <w:right w:w="0" w:type="dxa"/>
          </w:tblCellMar>
        </w:tblPrEx>
        <w:trPr>
          <w:trHeight w:val="308" w:hRule="atLeast"/>
        </w:trPr>
        <w:tc>
          <w:tcPr>
            <w:tcW w:w="535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8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9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7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535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8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9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7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535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8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9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7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535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8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9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7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564.33</w:t>
            </w:r>
          </w:p>
        </w:tc>
      </w:tr>
      <w:tr>
        <w:tblPrEx>
          <w:tblCellMar>
            <w:top w:w="0" w:type="dxa"/>
            <w:left w:w="0" w:type="dxa"/>
            <w:bottom w:w="0" w:type="dxa"/>
            <w:right w:w="0" w:type="dxa"/>
          </w:tblCellMar>
        </w:tblPrEx>
        <w:trPr>
          <w:trHeight w:val="308" w:hRule="atLeast"/>
        </w:trPr>
        <w:tc>
          <w:tcPr>
            <w:tcW w:w="535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8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9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7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535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8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9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7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535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8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9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7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535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8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9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7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535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8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9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7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535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8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9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7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535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8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9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7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7.83</w:t>
            </w:r>
          </w:p>
        </w:tc>
      </w:tr>
      <w:tr>
        <w:tblPrEx>
          <w:shd w:val="clear" w:color="auto" w:fill="auto"/>
          <w:tblCellMar>
            <w:top w:w="0" w:type="dxa"/>
            <w:left w:w="0" w:type="dxa"/>
            <w:bottom w:w="0" w:type="dxa"/>
            <w:right w:w="0" w:type="dxa"/>
          </w:tblCellMar>
        </w:tblPrEx>
        <w:trPr>
          <w:trHeight w:val="308" w:hRule="atLeast"/>
        </w:trPr>
        <w:tc>
          <w:tcPr>
            <w:tcW w:w="535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8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9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7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535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8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9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7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535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8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9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7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535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8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9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7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17.63</w:t>
            </w:r>
          </w:p>
        </w:tc>
      </w:tr>
      <w:tr>
        <w:tblPrEx>
          <w:shd w:val="clear" w:color="auto" w:fill="auto"/>
          <w:tblCellMar>
            <w:top w:w="0" w:type="dxa"/>
            <w:left w:w="0" w:type="dxa"/>
            <w:bottom w:w="0" w:type="dxa"/>
            <w:right w:w="0" w:type="dxa"/>
          </w:tblCellMar>
        </w:tblPrEx>
        <w:trPr>
          <w:trHeight w:val="308" w:hRule="atLeast"/>
        </w:trPr>
        <w:tc>
          <w:tcPr>
            <w:tcW w:w="535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i w:val="0"/>
                <w:color w:val="000000"/>
                <w:sz w:val="20"/>
                <w:szCs w:val="20"/>
                <w:u w:val="none"/>
              </w:rPr>
            </w:pP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0"/>
                <w:szCs w:val="20"/>
                <w:u w:val="none"/>
              </w:rPr>
            </w:pPr>
          </w:p>
        </w:tc>
        <w:tc>
          <w:tcPr>
            <w:tcW w:w="38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9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7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535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0"/>
                <w:szCs w:val="20"/>
                <w:u w:val="none"/>
              </w:rPr>
            </w:pP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0"/>
                <w:szCs w:val="20"/>
                <w:u w:val="none"/>
              </w:rPr>
            </w:pPr>
          </w:p>
        </w:tc>
        <w:tc>
          <w:tcPr>
            <w:tcW w:w="38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9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7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535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0"/>
                <w:szCs w:val="20"/>
                <w:u w:val="none"/>
              </w:rPr>
            </w:pP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0"/>
                <w:szCs w:val="20"/>
                <w:u w:val="none"/>
              </w:rPr>
            </w:pPr>
          </w:p>
        </w:tc>
        <w:tc>
          <w:tcPr>
            <w:tcW w:w="38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9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7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535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606.07</w:t>
            </w:r>
          </w:p>
        </w:tc>
        <w:tc>
          <w:tcPr>
            <w:tcW w:w="38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9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7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606.07</w:t>
            </w:r>
          </w:p>
        </w:tc>
      </w:tr>
      <w:tr>
        <w:tblPrEx>
          <w:shd w:val="clear" w:color="auto" w:fill="auto"/>
          <w:tblCellMar>
            <w:top w:w="0" w:type="dxa"/>
            <w:left w:w="0" w:type="dxa"/>
            <w:bottom w:w="0" w:type="dxa"/>
            <w:right w:w="0" w:type="dxa"/>
          </w:tblCellMar>
        </w:tblPrEx>
        <w:trPr>
          <w:trHeight w:val="308" w:hRule="atLeast"/>
        </w:trPr>
        <w:tc>
          <w:tcPr>
            <w:tcW w:w="535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w:t>
            </w: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8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9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7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535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8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9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7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535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8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9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7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535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606.07</w:t>
            </w:r>
          </w:p>
        </w:tc>
        <w:tc>
          <w:tcPr>
            <w:tcW w:w="38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9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7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606.07</w:t>
            </w:r>
          </w:p>
        </w:tc>
      </w:tr>
      <w:tr>
        <w:tblPrEx>
          <w:shd w:val="clear" w:color="auto" w:fill="auto"/>
          <w:tblCellMar>
            <w:top w:w="0" w:type="dxa"/>
            <w:left w:w="0" w:type="dxa"/>
            <w:bottom w:w="0" w:type="dxa"/>
            <w:right w:w="0" w:type="dxa"/>
          </w:tblCellMar>
        </w:tblPrEx>
        <w:trPr>
          <w:trHeight w:val="308" w:hRule="atLeast"/>
        </w:trPr>
        <w:tc>
          <w:tcPr>
            <w:tcW w:w="13988"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注：1.本表反映部门本年度的总收支和年末结转结余情况。</w:t>
            </w:r>
          </w:p>
        </w:tc>
      </w:tr>
      <w:tr>
        <w:tblPrEx>
          <w:shd w:val="clear" w:color="auto" w:fill="auto"/>
          <w:tblCellMar>
            <w:top w:w="0" w:type="dxa"/>
            <w:left w:w="0" w:type="dxa"/>
            <w:bottom w:w="0" w:type="dxa"/>
            <w:right w:w="0" w:type="dxa"/>
          </w:tblCellMar>
        </w:tblPrEx>
        <w:trPr>
          <w:trHeight w:val="308" w:hRule="atLeast"/>
        </w:trPr>
        <w:tc>
          <w:tcPr>
            <w:tcW w:w="13988"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2.本套报表金额单位转换时可能存在尾数误差。</w:t>
            </w:r>
          </w:p>
        </w:tc>
      </w:tr>
    </w:tbl>
    <w:p>
      <w:pPr>
        <w:jc w:val="both"/>
        <w:rPr>
          <w:rFonts w:hint="eastAsia" w:ascii="黑体" w:hAnsi="黑体" w:eastAsia="黑体" w:cs="黑体"/>
          <w:sz w:val="32"/>
          <w:szCs w:val="32"/>
          <w:highlight w:val="none"/>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tbl>
      <w:tblPr>
        <w:tblStyle w:val="6"/>
        <w:tblW w:w="13988" w:type="dxa"/>
        <w:tblInd w:w="0" w:type="dxa"/>
        <w:shd w:val="clear" w:color="auto" w:fill="auto"/>
        <w:tblLayout w:type="fixed"/>
        <w:tblCellMar>
          <w:top w:w="0" w:type="dxa"/>
          <w:left w:w="0" w:type="dxa"/>
          <w:bottom w:w="0" w:type="dxa"/>
          <w:right w:w="0" w:type="dxa"/>
        </w:tblCellMar>
      </w:tblPr>
      <w:tblGrid>
        <w:gridCol w:w="2547"/>
        <w:gridCol w:w="495"/>
        <w:gridCol w:w="225"/>
        <w:gridCol w:w="60"/>
        <w:gridCol w:w="2835"/>
        <w:gridCol w:w="1440"/>
        <w:gridCol w:w="1215"/>
        <w:gridCol w:w="975"/>
        <w:gridCol w:w="930"/>
        <w:gridCol w:w="930"/>
        <w:gridCol w:w="1022"/>
        <w:gridCol w:w="1314"/>
      </w:tblGrid>
      <w:tr>
        <w:trPr>
          <w:trHeight w:val="390" w:hRule="atLeast"/>
        </w:trPr>
        <w:tc>
          <w:tcPr>
            <w:tcW w:w="13988" w:type="dxa"/>
            <w:gridSpan w:val="1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收入决算表</w:t>
            </w:r>
          </w:p>
        </w:tc>
      </w:tr>
      <w:tr>
        <w:tblPrEx>
          <w:shd w:val="clear" w:color="auto" w:fill="auto"/>
          <w:tblCellMar>
            <w:top w:w="0" w:type="dxa"/>
            <w:left w:w="0" w:type="dxa"/>
            <w:bottom w:w="0" w:type="dxa"/>
            <w:right w:w="0" w:type="dxa"/>
          </w:tblCellMar>
        </w:tblPrEx>
        <w:trPr>
          <w:trHeight w:val="255" w:hRule="atLeast"/>
        </w:trPr>
        <w:tc>
          <w:tcPr>
            <w:tcW w:w="2547"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Arial" w:hAnsi="Arial" w:cs="Arial"/>
                <w:i w:val="0"/>
                <w:color w:val="000000"/>
                <w:sz w:val="20"/>
                <w:szCs w:val="20"/>
                <w:u w:val="none"/>
              </w:rPr>
            </w:pPr>
          </w:p>
        </w:tc>
        <w:tc>
          <w:tcPr>
            <w:tcW w:w="49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285"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283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44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21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97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93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93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022"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314"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公开02表</w:t>
            </w:r>
          </w:p>
        </w:tc>
      </w:tr>
      <w:tr>
        <w:tblPrEx>
          <w:shd w:val="clear" w:color="auto" w:fill="auto"/>
          <w:tblCellMar>
            <w:top w:w="0" w:type="dxa"/>
            <w:left w:w="0" w:type="dxa"/>
            <w:bottom w:w="0" w:type="dxa"/>
            <w:right w:w="0" w:type="dxa"/>
          </w:tblCellMar>
        </w:tblPrEx>
        <w:trPr>
          <w:trHeight w:val="255" w:hRule="atLeast"/>
        </w:trPr>
        <w:tc>
          <w:tcPr>
            <w:tcW w:w="6162"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部门：广西河池市环江毛南族自治县农村经济经营指导中心</w:t>
            </w:r>
          </w:p>
        </w:tc>
        <w:tc>
          <w:tcPr>
            <w:tcW w:w="144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21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97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93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93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2336"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shd w:val="clear" w:color="auto" w:fill="auto"/>
          <w:tblCellMar>
            <w:top w:w="0" w:type="dxa"/>
            <w:left w:w="0" w:type="dxa"/>
            <w:bottom w:w="0" w:type="dxa"/>
            <w:right w:w="0" w:type="dxa"/>
          </w:tblCellMar>
        </w:tblPrEx>
        <w:trPr>
          <w:trHeight w:val="308" w:hRule="atLeast"/>
        </w:trPr>
        <w:tc>
          <w:tcPr>
            <w:tcW w:w="6162"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44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21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97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93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93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1022"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1314"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tblPrEx>
          <w:shd w:val="clear" w:color="auto" w:fill="auto"/>
          <w:tblCellMar>
            <w:top w:w="0" w:type="dxa"/>
            <w:left w:w="0" w:type="dxa"/>
            <w:bottom w:w="0" w:type="dxa"/>
            <w:right w:w="0" w:type="dxa"/>
          </w:tblCellMar>
        </w:tblPrEx>
        <w:trPr>
          <w:trHeight w:val="308" w:hRule="atLeast"/>
        </w:trPr>
        <w:tc>
          <w:tcPr>
            <w:tcW w:w="3267" w:type="dxa"/>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2895" w:type="dxa"/>
            <w:gridSpan w:val="2"/>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44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97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93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93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022"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1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3267"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895" w:type="dxa"/>
            <w:gridSpan w:val="2"/>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97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93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93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022"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1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3267"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895" w:type="dxa"/>
            <w:gridSpan w:val="2"/>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97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93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93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022"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1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6162" w:type="dxa"/>
            <w:gridSpan w:val="5"/>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44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1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3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3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2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14"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shd w:val="clear" w:color="auto" w:fill="auto"/>
          <w:tblCellMar>
            <w:top w:w="0" w:type="dxa"/>
            <w:left w:w="0" w:type="dxa"/>
            <w:bottom w:w="0" w:type="dxa"/>
            <w:right w:w="0" w:type="dxa"/>
          </w:tblCellMar>
        </w:tblPrEx>
        <w:trPr>
          <w:trHeight w:val="308" w:hRule="atLeast"/>
        </w:trPr>
        <w:tc>
          <w:tcPr>
            <w:tcW w:w="6162" w:type="dxa"/>
            <w:gridSpan w:val="5"/>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606.07</w:t>
            </w: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606.07</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2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28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4.26</w:t>
            </w: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4.26</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2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28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w:t>
            </w: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2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2012999</w:t>
            </w:r>
          </w:p>
        </w:tc>
        <w:tc>
          <w:tcPr>
            <w:tcW w:w="28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其他群众团体事务支出</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w:t>
            </w: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2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20136</w:t>
            </w:r>
          </w:p>
        </w:tc>
        <w:tc>
          <w:tcPr>
            <w:tcW w:w="28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其他共产党事务支出</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w:t>
            </w: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2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2013601</w:t>
            </w:r>
          </w:p>
        </w:tc>
        <w:tc>
          <w:tcPr>
            <w:tcW w:w="28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w:t>
            </w: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2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28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w:t>
            </w: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2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28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w:t>
            </w: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2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28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w:t>
            </w: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2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28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564.33</w:t>
            </w: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564.33</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2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w:t>
            </w:r>
          </w:p>
        </w:tc>
        <w:tc>
          <w:tcPr>
            <w:tcW w:w="28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农业农村</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534.63</w:t>
            </w: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534.63</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PrEx>
        <w:trPr>
          <w:trHeight w:val="308" w:hRule="atLeast"/>
        </w:trPr>
        <w:tc>
          <w:tcPr>
            <w:tcW w:w="32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2130104</w:t>
            </w:r>
          </w:p>
        </w:tc>
        <w:tc>
          <w:tcPr>
            <w:tcW w:w="28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事业运行</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415.63</w:t>
            </w: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415.63</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2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2130122</w:t>
            </w:r>
          </w:p>
        </w:tc>
        <w:tc>
          <w:tcPr>
            <w:tcW w:w="28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农业生产发展</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w:t>
            </w: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2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2130124</w:t>
            </w:r>
          </w:p>
        </w:tc>
        <w:tc>
          <w:tcPr>
            <w:tcW w:w="28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农村合作经济</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58.00</w:t>
            </w: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2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w:t>
            </w:r>
          </w:p>
        </w:tc>
        <w:tc>
          <w:tcPr>
            <w:tcW w:w="28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巩固脱贫衔接乡村振兴</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29.70</w:t>
            </w: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29.70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2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2130599</w:t>
            </w:r>
          </w:p>
        </w:tc>
        <w:tc>
          <w:tcPr>
            <w:tcW w:w="28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其他巩固脱贫衔接乡村振兴支出</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29.70</w:t>
            </w: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29.70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2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28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7.83</w:t>
            </w: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7.83</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2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28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7.83</w:t>
            </w: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7.83</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2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28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7.83</w:t>
            </w: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7.83</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2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28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17.63</w:t>
            </w: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17.63</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2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w:t>
            </w:r>
          </w:p>
        </w:tc>
        <w:tc>
          <w:tcPr>
            <w:tcW w:w="28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17.63</w:t>
            </w: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17.63</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2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2299999</w:t>
            </w:r>
          </w:p>
        </w:tc>
        <w:tc>
          <w:tcPr>
            <w:tcW w:w="28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17.63</w:t>
            </w: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17.63</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988" w:type="dxa"/>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注：本表反映部门本年度取得的各项收入情况。</w:t>
            </w:r>
          </w:p>
        </w:tc>
      </w:tr>
    </w:tbl>
    <w:p>
      <w:pPr>
        <w:rPr>
          <w:rFonts w:ascii="宋体" w:hAnsi="宋体" w:eastAsia="宋体" w:cs="宋体"/>
          <w:color w:val="000000"/>
          <w:kern w:val="0"/>
          <w:sz w:val="30"/>
          <w:szCs w:val="30"/>
          <w:highlight w:val="none"/>
          <w:lang w:bidi="ar"/>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8" w:type="dxa"/>
        <w:tblInd w:w="0" w:type="dxa"/>
        <w:shd w:val="clear" w:color="auto" w:fill="auto"/>
        <w:tblLayout w:type="fixed"/>
        <w:tblCellMar>
          <w:top w:w="0" w:type="dxa"/>
          <w:left w:w="0" w:type="dxa"/>
          <w:bottom w:w="0" w:type="dxa"/>
          <w:right w:w="0" w:type="dxa"/>
        </w:tblCellMar>
      </w:tblPr>
      <w:tblGrid>
        <w:gridCol w:w="2487"/>
        <w:gridCol w:w="240"/>
        <w:gridCol w:w="345"/>
        <w:gridCol w:w="3960"/>
        <w:gridCol w:w="1275"/>
        <w:gridCol w:w="1305"/>
        <w:gridCol w:w="1095"/>
        <w:gridCol w:w="870"/>
        <w:gridCol w:w="825"/>
        <w:gridCol w:w="1586"/>
      </w:tblGrid>
      <w:tr>
        <w:tblPrEx>
          <w:shd w:val="clear" w:color="auto" w:fill="auto"/>
          <w:tblCellMar>
            <w:top w:w="0" w:type="dxa"/>
            <w:left w:w="0" w:type="dxa"/>
            <w:bottom w:w="0" w:type="dxa"/>
            <w:right w:w="0" w:type="dxa"/>
          </w:tblCellMar>
        </w:tblPrEx>
        <w:trPr>
          <w:trHeight w:val="390" w:hRule="atLeast"/>
        </w:trPr>
        <w:tc>
          <w:tcPr>
            <w:tcW w:w="13988" w:type="dxa"/>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支出决算表</w:t>
            </w:r>
          </w:p>
        </w:tc>
      </w:tr>
      <w:tr>
        <w:tblPrEx>
          <w:shd w:val="clear" w:color="auto" w:fill="auto"/>
          <w:tblCellMar>
            <w:top w:w="0" w:type="dxa"/>
            <w:left w:w="0" w:type="dxa"/>
            <w:bottom w:w="0" w:type="dxa"/>
            <w:right w:w="0" w:type="dxa"/>
          </w:tblCellMar>
        </w:tblPrEx>
        <w:trPr>
          <w:trHeight w:val="255" w:hRule="atLeast"/>
        </w:trPr>
        <w:tc>
          <w:tcPr>
            <w:tcW w:w="2487"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Arial" w:hAnsi="Arial" w:cs="Arial"/>
                <w:i w:val="0"/>
                <w:color w:val="000000"/>
                <w:sz w:val="20"/>
                <w:szCs w:val="20"/>
                <w:u w:val="none"/>
              </w:rPr>
            </w:pPr>
          </w:p>
        </w:tc>
        <w:tc>
          <w:tcPr>
            <w:tcW w:w="24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34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396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27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30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09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87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82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58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公开03表</w:t>
            </w:r>
          </w:p>
        </w:tc>
      </w:tr>
      <w:tr>
        <w:tblPrEx>
          <w:shd w:val="clear" w:color="auto" w:fill="auto"/>
          <w:tblCellMar>
            <w:top w:w="0" w:type="dxa"/>
            <w:left w:w="0" w:type="dxa"/>
            <w:bottom w:w="0" w:type="dxa"/>
            <w:right w:w="0" w:type="dxa"/>
          </w:tblCellMar>
        </w:tblPrEx>
        <w:trPr>
          <w:trHeight w:val="255" w:hRule="atLeast"/>
        </w:trPr>
        <w:tc>
          <w:tcPr>
            <w:tcW w:w="7032" w:type="dxa"/>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部门：广西河池市环江毛南族自治县农村经济经营指导中心</w:t>
            </w:r>
          </w:p>
        </w:tc>
        <w:tc>
          <w:tcPr>
            <w:tcW w:w="127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30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09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87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82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58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shd w:val="clear" w:color="auto" w:fill="auto"/>
          <w:tblCellMar>
            <w:top w:w="0" w:type="dxa"/>
            <w:left w:w="0" w:type="dxa"/>
            <w:bottom w:w="0" w:type="dxa"/>
            <w:right w:w="0" w:type="dxa"/>
          </w:tblCellMar>
        </w:tblPrEx>
        <w:trPr>
          <w:trHeight w:val="308" w:hRule="atLeast"/>
        </w:trPr>
        <w:tc>
          <w:tcPr>
            <w:tcW w:w="7032"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27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30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09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87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82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586"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shd w:val="clear" w:color="auto" w:fill="auto"/>
          <w:tblCellMar>
            <w:top w:w="0" w:type="dxa"/>
            <w:left w:w="0" w:type="dxa"/>
            <w:bottom w:w="0" w:type="dxa"/>
            <w:right w:w="0" w:type="dxa"/>
          </w:tblCellMar>
        </w:tblPrEx>
        <w:trPr>
          <w:trHeight w:val="308" w:hRule="atLeast"/>
        </w:trPr>
        <w:tc>
          <w:tcPr>
            <w:tcW w:w="3072" w:type="dxa"/>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3960"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27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87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8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8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3072"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396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87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8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8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3072"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396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87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8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8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7032"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2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9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7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2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58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trHeight w:val="308" w:hRule="atLeast"/>
        </w:trPr>
        <w:tc>
          <w:tcPr>
            <w:tcW w:w="7032"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606.07</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128.89</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477.18</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5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4.26</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4.26</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3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2012999</w:t>
            </w:r>
          </w:p>
        </w:tc>
        <w:tc>
          <w:tcPr>
            <w:tcW w:w="3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其他群众团体事务支出</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20136</w:t>
            </w:r>
          </w:p>
        </w:tc>
        <w:tc>
          <w:tcPr>
            <w:tcW w:w="3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其他共产党事务支出</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PrEx>
        <w:trPr>
          <w:trHeight w:val="308" w:hRule="atLeast"/>
        </w:trPr>
        <w:tc>
          <w:tcPr>
            <w:tcW w:w="30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2013601</w:t>
            </w:r>
          </w:p>
        </w:tc>
        <w:tc>
          <w:tcPr>
            <w:tcW w:w="3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3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564.33</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87.15</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477.18</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w:t>
            </w:r>
          </w:p>
        </w:tc>
        <w:tc>
          <w:tcPr>
            <w:tcW w:w="3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农业农村</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534.63</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87.15</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447.48</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2130104</w:t>
            </w:r>
          </w:p>
        </w:tc>
        <w:tc>
          <w:tcPr>
            <w:tcW w:w="3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事业运行</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415.63</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87.15</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328.48</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2130122</w:t>
            </w:r>
          </w:p>
        </w:tc>
        <w:tc>
          <w:tcPr>
            <w:tcW w:w="3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农业生产发展</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2130124</w:t>
            </w:r>
          </w:p>
        </w:tc>
        <w:tc>
          <w:tcPr>
            <w:tcW w:w="3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农村合作经济</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58.00</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58.00</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w:t>
            </w:r>
          </w:p>
        </w:tc>
        <w:tc>
          <w:tcPr>
            <w:tcW w:w="3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巩固脱贫衔接乡村振兴</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29.70</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29.70</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2130599</w:t>
            </w:r>
          </w:p>
        </w:tc>
        <w:tc>
          <w:tcPr>
            <w:tcW w:w="3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其他巩固脱贫衔接乡村振兴支出</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29.70</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29.70</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3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7.83</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7.83</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3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7.83</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7.83</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3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7.83</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7.83</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3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17.63</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17.63</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w:t>
            </w:r>
          </w:p>
        </w:tc>
        <w:tc>
          <w:tcPr>
            <w:tcW w:w="3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17.63</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17.63</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2299999</w:t>
            </w:r>
          </w:p>
        </w:tc>
        <w:tc>
          <w:tcPr>
            <w:tcW w:w="3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17.63</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17.63</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988"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注：本表反映部门本年度各项支出情况。</w:t>
            </w:r>
          </w:p>
        </w:tc>
      </w:tr>
    </w:tbl>
    <w:p>
      <w:pPr>
        <w:jc w:val="left"/>
        <w:rPr>
          <w:rFonts w:hint="eastAsia"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tbl>
      <w:tblPr>
        <w:tblStyle w:val="6"/>
        <w:tblW w:w="13988" w:type="dxa"/>
        <w:tblInd w:w="0" w:type="dxa"/>
        <w:shd w:val="clear" w:color="auto" w:fill="auto"/>
        <w:tblLayout w:type="fixed"/>
        <w:tblCellMar>
          <w:top w:w="0" w:type="dxa"/>
          <w:left w:w="0" w:type="dxa"/>
          <w:bottom w:w="0" w:type="dxa"/>
          <w:right w:w="0" w:type="dxa"/>
        </w:tblCellMar>
      </w:tblPr>
      <w:tblGrid>
        <w:gridCol w:w="3522"/>
        <w:gridCol w:w="780"/>
        <w:gridCol w:w="1125"/>
        <w:gridCol w:w="2880"/>
        <w:gridCol w:w="1020"/>
        <w:gridCol w:w="917"/>
        <w:gridCol w:w="1242"/>
        <w:gridCol w:w="996"/>
        <w:gridCol w:w="1506"/>
      </w:tblGrid>
      <w:tr>
        <w:tblPrEx>
          <w:shd w:val="clear" w:color="auto" w:fill="auto"/>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财政拨款收入支出决算总表</w:t>
            </w:r>
          </w:p>
        </w:tc>
      </w:tr>
      <w:tr>
        <w:tblPrEx>
          <w:shd w:val="clear" w:color="auto" w:fill="auto"/>
          <w:tblCellMar>
            <w:top w:w="0" w:type="dxa"/>
            <w:left w:w="0" w:type="dxa"/>
            <w:bottom w:w="0" w:type="dxa"/>
            <w:right w:w="0" w:type="dxa"/>
          </w:tblCellMar>
        </w:tblPrEx>
        <w:trPr>
          <w:trHeight w:val="255" w:hRule="atLeast"/>
        </w:trPr>
        <w:tc>
          <w:tcPr>
            <w:tcW w:w="3522"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Arial" w:hAnsi="Arial" w:cs="Arial"/>
                <w:i w:val="0"/>
                <w:color w:val="000000"/>
                <w:sz w:val="20"/>
                <w:szCs w:val="20"/>
                <w:u w:val="none"/>
              </w:rPr>
            </w:pPr>
          </w:p>
        </w:tc>
        <w:tc>
          <w:tcPr>
            <w:tcW w:w="78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12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288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02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917"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242"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996"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50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公开04表</w:t>
            </w:r>
          </w:p>
        </w:tc>
      </w:tr>
      <w:tr>
        <w:tblPrEx>
          <w:shd w:val="clear" w:color="auto" w:fill="auto"/>
          <w:tblCellMar>
            <w:top w:w="0" w:type="dxa"/>
            <w:left w:w="0" w:type="dxa"/>
            <w:bottom w:w="0" w:type="dxa"/>
            <w:right w:w="0" w:type="dxa"/>
          </w:tblCellMar>
        </w:tblPrEx>
        <w:trPr>
          <w:trHeight w:val="255" w:hRule="atLeast"/>
        </w:trPr>
        <w:tc>
          <w:tcPr>
            <w:tcW w:w="5427"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部门：广西河池市环江毛南族自治县农村经济经营指导中心</w:t>
            </w:r>
          </w:p>
        </w:tc>
        <w:tc>
          <w:tcPr>
            <w:tcW w:w="288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02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917"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242"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996"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50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shd w:val="clear" w:color="auto" w:fill="auto"/>
          <w:tblCellMar>
            <w:top w:w="0" w:type="dxa"/>
            <w:left w:w="0" w:type="dxa"/>
            <w:bottom w:w="0" w:type="dxa"/>
            <w:right w:w="0" w:type="dxa"/>
          </w:tblCellMar>
        </w:tblPrEx>
        <w:trPr>
          <w:trHeight w:val="308" w:hRule="atLeast"/>
        </w:trPr>
        <w:tc>
          <w:tcPr>
            <w:tcW w:w="5427"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8561"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shd w:val="clear" w:color="auto" w:fill="auto"/>
          <w:tblCellMar>
            <w:top w:w="0" w:type="dxa"/>
            <w:left w:w="0" w:type="dxa"/>
            <w:bottom w:w="0" w:type="dxa"/>
            <w:right w:w="0" w:type="dxa"/>
          </w:tblCellMar>
        </w:tblPrEx>
        <w:trPr>
          <w:trHeight w:val="292" w:hRule="atLeast"/>
        </w:trPr>
        <w:tc>
          <w:tcPr>
            <w:tcW w:w="35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78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12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288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0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917"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4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99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c>
          <w:tcPr>
            <w:tcW w:w="150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国有资本经营预算财政拨款</w:t>
            </w:r>
          </w:p>
        </w:tc>
      </w:tr>
      <w:tr>
        <w:tblPrEx>
          <w:shd w:val="clear" w:color="auto" w:fill="auto"/>
          <w:tblCellMar>
            <w:top w:w="0" w:type="dxa"/>
            <w:left w:w="0" w:type="dxa"/>
            <w:bottom w:w="0" w:type="dxa"/>
            <w:right w:w="0" w:type="dxa"/>
          </w:tblCellMar>
        </w:tblPrEx>
        <w:trPr>
          <w:trHeight w:val="615" w:hRule="atLeast"/>
        </w:trPr>
        <w:tc>
          <w:tcPr>
            <w:tcW w:w="35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78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12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88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0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917"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4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99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0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35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1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0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9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4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9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50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shd w:val="clear" w:color="auto" w:fill="auto"/>
          <w:tblCellMar>
            <w:top w:w="0" w:type="dxa"/>
            <w:left w:w="0" w:type="dxa"/>
            <w:bottom w:w="0" w:type="dxa"/>
            <w:right w:w="0" w:type="dxa"/>
          </w:tblCellMar>
        </w:tblPrEx>
        <w:trPr>
          <w:trHeight w:val="308" w:hRule="atLeast"/>
        </w:trPr>
        <w:tc>
          <w:tcPr>
            <w:tcW w:w="35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606.07</w:t>
            </w: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0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4.26</w:t>
            </w:r>
          </w:p>
        </w:tc>
        <w:tc>
          <w:tcPr>
            <w:tcW w:w="12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4.26</w:t>
            </w:r>
          </w:p>
        </w:tc>
        <w:tc>
          <w:tcPr>
            <w:tcW w:w="9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5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0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5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w:t>
            </w: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0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5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0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5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0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5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0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5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10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5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10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w:t>
            </w:r>
          </w:p>
        </w:tc>
        <w:tc>
          <w:tcPr>
            <w:tcW w:w="12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w:t>
            </w:r>
          </w:p>
        </w:tc>
        <w:tc>
          <w:tcPr>
            <w:tcW w:w="9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5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10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5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10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5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10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5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10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564.33</w:t>
            </w:r>
          </w:p>
        </w:tc>
        <w:tc>
          <w:tcPr>
            <w:tcW w:w="12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564.33</w:t>
            </w:r>
          </w:p>
        </w:tc>
        <w:tc>
          <w:tcPr>
            <w:tcW w:w="9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5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10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5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10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5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10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5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10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5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10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5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10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5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10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7.83</w:t>
            </w:r>
          </w:p>
        </w:tc>
        <w:tc>
          <w:tcPr>
            <w:tcW w:w="12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7.83</w:t>
            </w:r>
          </w:p>
        </w:tc>
        <w:tc>
          <w:tcPr>
            <w:tcW w:w="9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5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10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5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10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5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10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5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10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17.63</w:t>
            </w:r>
          </w:p>
        </w:tc>
        <w:tc>
          <w:tcPr>
            <w:tcW w:w="12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17.63</w:t>
            </w:r>
          </w:p>
        </w:tc>
        <w:tc>
          <w:tcPr>
            <w:tcW w:w="9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5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i w:val="0"/>
                <w:color w:val="000000"/>
                <w:sz w:val="20"/>
                <w:szCs w:val="20"/>
                <w:u w:val="none"/>
              </w:rPr>
            </w:pP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10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5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0"/>
                <w:szCs w:val="20"/>
                <w:u w:val="none"/>
              </w:rPr>
            </w:pP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10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5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0"/>
                <w:szCs w:val="20"/>
                <w:u w:val="none"/>
              </w:rPr>
            </w:pP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10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5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606.07</w:t>
            </w: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0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606.07</w:t>
            </w:r>
          </w:p>
        </w:tc>
        <w:tc>
          <w:tcPr>
            <w:tcW w:w="12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606.07</w:t>
            </w:r>
          </w:p>
        </w:tc>
        <w:tc>
          <w:tcPr>
            <w:tcW w:w="9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5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10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5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10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2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35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10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2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35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10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2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35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606.07</w:t>
            </w: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0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606.07</w:t>
            </w:r>
          </w:p>
        </w:tc>
        <w:tc>
          <w:tcPr>
            <w:tcW w:w="12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606.07</w:t>
            </w:r>
          </w:p>
        </w:tc>
        <w:tc>
          <w:tcPr>
            <w:tcW w:w="9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2482"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1506" w:type="dxa"/>
            <w:tcBorders>
              <w:top w:val="nil"/>
              <w:left w:val="nil"/>
              <w:bottom w:val="nil"/>
              <w:right w:val="nil"/>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0"/>
                <w:szCs w:val="20"/>
                <w:u w:val="none"/>
              </w:rPr>
            </w:pPr>
          </w:p>
        </w:tc>
      </w:tr>
    </w:tbl>
    <w:p>
      <w:pP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8" w:type="dxa"/>
        <w:tblInd w:w="0" w:type="dxa"/>
        <w:shd w:val="clear" w:color="auto" w:fill="auto"/>
        <w:tblLayout w:type="fixed"/>
        <w:tblCellMar>
          <w:top w:w="0" w:type="dxa"/>
          <w:left w:w="0" w:type="dxa"/>
          <w:bottom w:w="0" w:type="dxa"/>
          <w:right w:w="0" w:type="dxa"/>
        </w:tblCellMar>
      </w:tblPr>
      <w:tblGrid>
        <w:gridCol w:w="3687"/>
        <w:gridCol w:w="240"/>
        <w:gridCol w:w="240"/>
        <w:gridCol w:w="3975"/>
        <w:gridCol w:w="1890"/>
        <w:gridCol w:w="1950"/>
        <w:gridCol w:w="2006"/>
      </w:tblGrid>
      <w:tr>
        <w:tblPrEx>
          <w:shd w:val="clear" w:color="auto" w:fill="auto"/>
          <w:tblCellMar>
            <w:top w:w="0" w:type="dxa"/>
            <w:left w:w="0" w:type="dxa"/>
            <w:bottom w:w="0" w:type="dxa"/>
            <w:right w:w="0" w:type="dxa"/>
          </w:tblCellMar>
        </w:tblPrEx>
        <w:trPr>
          <w:trHeight w:val="390" w:hRule="atLeast"/>
        </w:trPr>
        <w:tc>
          <w:tcPr>
            <w:tcW w:w="13988" w:type="dxa"/>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一般公共预算财政拨款支出决算表</w:t>
            </w:r>
          </w:p>
        </w:tc>
      </w:tr>
      <w:tr>
        <w:tblPrEx>
          <w:shd w:val="clear" w:color="auto" w:fill="auto"/>
          <w:tblCellMar>
            <w:top w:w="0" w:type="dxa"/>
            <w:left w:w="0" w:type="dxa"/>
            <w:bottom w:w="0" w:type="dxa"/>
            <w:right w:w="0" w:type="dxa"/>
          </w:tblCellMar>
        </w:tblPrEx>
        <w:trPr>
          <w:trHeight w:val="255" w:hRule="atLeast"/>
        </w:trPr>
        <w:tc>
          <w:tcPr>
            <w:tcW w:w="3687"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Arial" w:hAnsi="Arial" w:cs="Arial"/>
                <w:i w:val="0"/>
                <w:color w:val="000000"/>
                <w:sz w:val="20"/>
                <w:szCs w:val="20"/>
                <w:u w:val="none"/>
              </w:rPr>
            </w:pPr>
          </w:p>
        </w:tc>
        <w:tc>
          <w:tcPr>
            <w:tcW w:w="24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24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397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89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95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200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公开05表</w:t>
            </w:r>
          </w:p>
        </w:tc>
      </w:tr>
      <w:tr>
        <w:tblPrEx>
          <w:shd w:val="clear" w:color="auto" w:fill="auto"/>
          <w:tblCellMar>
            <w:top w:w="0" w:type="dxa"/>
            <w:left w:w="0" w:type="dxa"/>
            <w:bottom w:w="0" w:type="dxa"/>
            <w:right w:w="0" w:type="dxa"/>
          </w:tblCellMar>
        </w:tblPrEx>
        <w:trPr>
          <w:trHeight w:val="255" w:hRule="atLeast"/>
        </w:trPr>
        <w:tc>
          <w:tcPr>
            <w:tcW w:w="8142" w:type="dxa"/>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部门：广西河池市环江毛南族自治县农村经济经营指导中心</w:t>
            </w:r>
          </w:p>
        </w:tc>
        <w:tc>
          <w:tcPr>
            <w:tcW w:w="189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95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200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shd w:val="clear" w:color="auto" w:fill="auto"/>
          <w:tblCellMar>
            <w:top w:w="0" w:type="dxa"/>
            <w:left w:w="0" w:type="dxa"/>
            <w:bottom w:w="0" w:type="dxa"/>
            <w:right w:w="0" w:type="dxa"/>
          </w:tblCellMar>
        </w:tblPrEx>
        <w:trPr>
          <w:trHeight w:val="308" w:hRule="atLeast"/>
        </w:trPr>
        <w:tc>
          <w:tcPr>
            <w:tcW w:w="8142"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84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shd w:val="clear" w:color="auto" w:fill="auto"/>
          <w:tblCellMar>
            <w:top w:w="0" w:type="dxa"/>
            <w:left w:w="0" w:type="dxa"/>
            <w:bottom w:w="0" w:type="dxa"/>
            <w:right w:w="0" w:type="dxa"/>
          </w:tblCellMar>
        </w:tblPrEx>
        <w:trPr>
          <w:trHeight w:val="308" w:hRule="atLeast"/>
        </w:trPr>
        <w:tc>
          <w:tcPr>
            <w:tcW w:w="3927" w:type="dxa"/>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4215" w:type="dxa"/>
            <w:gridSpan w:val="2"/>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89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95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200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shd w:val="clear" w:color="auto" w:fill="auto"/>
          <w:tblCellMar>
            <w:top w:w="0" w:type="dxa"/>
            <w:left w:w="0" w:type="dxa"/>
            <w:bottom w:w="0" w:type="dxa"/>
            <w:right w:w="0" w:type="dxa"/>
          </w:tblCellMar>
        </w:tblPrEx>
        <w:trPr>
          <w:trHeight w:val="277" w:hRule="atLeast"/>
        </w:trPr>
        <w:tc>
          <w:tcPr>
            <w:tcW w:w="3927"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4215" w:type="dxa"/>
            <w:gridSpan w:val="2"/>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89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95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00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3927"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4215" w:type="dxa"/>
            <w:gridSpan w:val="2"/>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89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95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00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8142"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89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9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00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shd w:val="clear" w:color="auto" w:fill="auto"/>
          <w:tblCellMar>
            <w:top w:w="0" w:type="dxa"/>
            <w:left w:w="0" w:type="dxa"/>
            <w:bottom w:w="0" w:type="dxa"/>
            <w:right w:w="0" w:type="dxa"/>
          </w:tblCellMar>
        </w:tblPrEx>
        <w:trPr>
          <w:trHeight w:val="308" w:hRule="atLeast"/>
        </w:trPr>
        <w:tc>
          <w:tcPr>
            <w:tcW w:w="8142"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606.07</w:t>
            </w:r>
          </w:p>
        </w:tc>
        <w:tc>
          <w:tcPr>
            <w:tcW w:w="1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128.89</w:t>
            </w:r>
          </w:p>
        </w:tc>
        <w:tc>
          <w:tcPr>
            <w:tcW w:w="20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477.18</w:t>
            </w:r>
          </w:p>
        </w:tc>
      </w:tr>
      <w:tr>
        <w:tblPrEx>
          <w:shd w:val="clear" w:color="auto" w:fill="auto"/>
          <w:tblCellMar>
            <w:top w:w="0" w:type="dxa"/>
            <w:left w:w="0" w:type="dxa"/>
            <w:bottom w:w="0" w:type="dxa"/>
            <w:right w:w="0" w:type="dxa"/>
          </w:tblCellMar>
        </w:tblPrEx>
        <w:trPr>
          <w:trHeight w:val="308" w:hRule="atLeast"/>
        </w:trPr>
        <w:tc>
          <w:tcPr>
            <w:tcW w:w="3927"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42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4.26</w:t>
            </w:r>
          </w:p>
        </w:tc>
        <w:tc>
          <w:tcPr>
            <w:tcW w:w="1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4.26</w:t>
            </w:r>
          </w:p>
        </w:tc>
        <w:tc>
          <w:tcPr>
            <w:tcW w:w="20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927"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42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w:t>
            </w:r>
          </w:p>
        </w:tc>
        <w:tc>
          <w:tcPr>
            <w:tcW w:w="1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w:t>
            </w:r>
          </w:p>
        </w:tc>
        <w:tc>
          <w:tcPr>
            <w:tcW w:w="20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927"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2012999</w:t>
            </w:r>
          </w:p>
        </w:tc>
        <w:tc>
          <w:tcPr>
            <w:tcW w:w="42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其他群众团体事务支出</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w:t>
            </w:r>
          </w:p>
        </w:tc>
        <w:tc>
          <w:tcPr>
            <w:tcW w:w="1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w:t>
            </w:r>
          </w:p>
        </w:tc>
        <w:tc>
          <w:tcPr>
            <w:tcW w:w="20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927"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20136</w:t>
            </w:r>
          </w:p>
        </w:tc>
        <w:tc>
          <w:tcPr>
            <w:tcW w:w="42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其他共产党事务支出</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w:t>
            </w:r>
          </w:p>
        </w:tc>
        <w:tc>
          <w:tcPr>
            <w:tcW w:w="1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w:t>
            </w:r>
          </w:p>
        </w:tc>
        <w:tc>
          <w:tcPr>
            <w:tcW w:w="20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927"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2013601</w:t>
            </w:r>
          </w:p>
        </w:tc>
        <w:tc>
          <w:tcPr>
            <w:tcW w:w="42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w:t>
            </w:r>
          </w:p>
        </w:tc>
        <w:tc>
          <w:tcPr>
            <w:tcW w:w="1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w:t>
            </w:r>
          </w:p>
        </w:tc>
        <w:tc>
          <w:tcPr>
            <w:tcW w:w="20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927"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42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w:t>
            </w:r>
          </w:p>
        </w:tc>
        <w:tc>
          <w:tcPr>
            <w:tcW w:w="1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w:t>
            </w:r>
          </w:p>
        </w:tc>
        <w:tc>
          <w:tcPr>
            <w:tcW w:w="20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927"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42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w:t>
            </w:r>
          </w:p>
        </w:tc>
        <w:tc>
          <w:tcPr>
            <w:tcW w:w="1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w:t>
            </w:r>
          </w:p>
        </w:tc>
        <w:tc>
          <w:tcPr>
            <w:tcW w:w="20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927"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42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w:t>
            </w:r>
          </w:p>
        </w:tc>
        <w:tc>
          <w:tcPr>
            <w:tcW w:w="1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w:t>
            </w:r>
          </w:p>
        </w:tc>
        <w:tc>
          <w:tcPr>
            <w:tcW w:w="20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927"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42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564.33</w:t>
            </w:r>
          </w:p>
        </w:tc>
        <w:tc>
          <w:tcPr>
            <w:tcW w:w="1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87.15</w:t>
            </w:r>
          </w:p>
        </w:tc>
        <w:tc>
          <w:tcPr>
            <w:tcW w:w="20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477.18</w:t>
            </w:r>
          </w:p>
        </w:tc>
      </w:tr>
      <w:tr>
        <w:tblPrEx>
          <w:shd w:val="clear" w:color="auto" w:fill="auto"/>
          <w:tblCellMar>
            <w:top w:w="0" w:type="dxa"/>
            <w:left w:w="0" w:type="dxa"/>
            <w:bottom w:w="0" w:type="dxa"/>
            <w:right w:w="0" w:type="dxa"/>
          </w:tblCellMar>
        </w:tblPrEx>
        <w:trPr>
          <w:trHeight w:val="308" w:hRule="atLeast"/>
        </w:trPr>
        <w:tc>
          <w:tcPr>
            <w:tcW w:w="3927"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w:t>
            </w:r>
          </w:p>
        </w:tc>
        <w:tc>
          <w:tcPr>
            <w:tcW w:w="42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农业农村</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534.63</w:t>
            </w:r>
          </w:p>
        </w:tc>
        <w:tc>
          <w:tcPr>
            <w:tcW w:w="1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87.15</w:t>
            </w:r>
          </w:p>
        </w:tc>
        <w:tc>
          <w:tcPr>
            <w:tcW w:w="20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447.48</w:t>
            </w:r>
          </w:p>
        </w:tc>
      </w:tr>
      <w:tr>
        <w:tblPrEx>
          <w:shd w:val="clear" w:color="auto" w:fill="auto"/>
          <w:tblCellMar>
            <w:top w:w="0" w:type="dxa"/>
            <w:left w:w="0" w:type="dxa"/>
            <w:bottom w:w="0" w:type="dxa"/>
            <w:right w:w="0" w:type="dxa"/>
          </w:tblCellMar>
        </w:tblPrEx>
        <w:trPr>
          <w:trHeight w:val="308" w:hRule="atLeast"/>
        </w:trPr>
        <w:tc>
          <w:tcPr>
            <w:tcW w:w="3927"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2130104</w:t>
            </w:r>
          </w:p>
        </w:tc>
        <w:tc>
          <w:tcPr>
            <w:tcW w:w="42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事业运行</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415.63</w:t>
            </w:r>
          </w:p>
        </w:tc>
        <w:tc>
          <w:tcPr>
            <w:tcW w:w="1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87.15</w:t>
            </w:r>
          </w:p>
        </w:tc>
        <w:tc>
          <w:tcPr>
            <w:tcW w:w="20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328.48</w:t>
            </w:r>
          </w:p>
        </w:tc>
      </w:tr>
      <w:tr>
        <w:tblPrEx>
          <w:tblCellMar>
            <w:top w:w="0" w:type="dxa"/>
            <w:left w:w="0" w:type="dxa"/>
            <w:bottom w:w="0" w:type="dxa"/>
            <w:right w:w="0" w:type="dxa"/>
          </w:tblCellMar>
        </w:tblPrEx>
        <w:trPr>
          <w:trHeight w:val="308" w:hRule="atLeast"/>
        </w:trPr>
        <w:tc>
          <w:tcPr>
            <w:tcW w:w="3927"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2130122</w:t>
            </w:r>
          </w:p>
        </w:tc>
        <w:tc>
          <w:tcPr>
            <w:tcW w:w="42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农业生产发展</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w:t>
            </w:r>
          </w:p>
        </w:tc>
        <w:tc>
          <w:tcPr>
            <w:tcW w:w="1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w:t>
            </w:r>
          </w:p>
        </w:tc>
      </w:tr>
      <w:tr>
        <w:tblPrEx>
          <w:shd w:val="clear" w:color="auto" w:fill="auto"/>
          <w:tblCellMar>
            <w:top w:w="0" w:type="dxa"/>
            <w:left w:w="0" w:type="dxa"/>
            <w:bottom w:w="0" w:type="dxa"/>
            <w:right w:w="0" w:type="dxa"/>
          </w:tblCellMar>
        </w:tblPrEx>
        <w:trPr>
          <w:trHeight w:val="308" w:hRule="atLeast"/>
        </w:trPr>
        <w:tc>
          <w:tcPr>
            <w:tcW w:w="3927"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2130124</w:t>
            </w:r>
          </w:p>
        </w:tc>
        <w:tc>
          <w:tcPr>
            <w:tcW w:w="42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农村合作经济</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58.00</w:t>
            </w:r>
          </w:p>
        </w:tc>
        <w:tc>
          <w:tcPr>
            <w:tcW w:w="1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58.00</w:t>
            </w:r>
          </w:p>
        </w:tc>
      </w:tr>
      <w:tr>
        <w:tblPrEx>
          <w:shd w:val="clear" w:color="auto" w:fill="auto"/>
          <w:tblCellMar>
            <w:top w:w="0" w:type="dxa"/>
            <w:left w:w="0" w:type="dxa"/>
            <w:bottom w:w="0" w:type="dxa"/>
            <w:right w:w="0" w:type="dxa"/>
          </w:tblCellMar>
        </w:tblPrEx>
        <w:trPr>
          <w:trHeight w:val="308" w:hRule="atLeast"/>
        </w:trPr>
        <w:tc>
          <w:tcPr>
            <w:tcW w:w="3927"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w:t>
            </w:r>
          </w:p>
        </w:tc>
        <w:tc>
          <w:tcPr>
            <w:tcW w:w="42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巩固脱贫衔接乡村振兴</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29.70</w:t>
            </w:r>
          </w:p>
        </w:tc>
        <w:tc>
          <w:tcPr>
            <w:tcW w:w="1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29.70</w:t>
            </w:r>
          </w:p>
        </w:tc>
      </w:tr>
      <w:tr>
        <w:tblPrEx>
          <w:shd w:val="clear" w:color="auto" w:fill="auto"/>
          <w:tblCellMar>
            <w:top w:w="0" w:type="dxa"/>
            <w:left w:w="0" w:type="dxa"/>
            <w:bottom w:w="0" w:type="dxa"/>
            <w:right w:w="0" w:type="dxa"/>
          </w:tblCellMar>
        </w:tblPrEx>
        <w:trPr>
          <w:trHeight w:val="308" w:hRule="atLeast"/>
        </w:trPr>
        <w:tc>
          <w:tcPr>
            <w:tcW w:w="3927"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2130599</w:t>
            </w:r>
          </w:p>
        </w:tc>
        <w:tc>
          <w:tcPr>
            <w:tcW w:w="42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其他巩固脱贫衔接乡村振兴支出</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29.70</w:t>
            </w:r>
          </w:p>
        </w:tc>
        <w:tc>
          <w:tcPr>
            <w:tcW w:w="1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29.70</w:t>
            </w:r>
          </w:p>
        </w:tc>
      </w:tr>
      <w:tr>
        <w:tblPrEx>
          <w:shd w:val="clear" w:color="auto" w:fill="auto"/>
          <w:tblCellMar>
            <w:top w:w="0" w:type="dxa"/>
            <w:left w:w="0" w:type="dxa"/>
            <w:bottom w:w="0" w:type="dxa"/>
            <w:right w:w="0" w:type="dxa"/>
          </w:tblCellMar>
        </w:tblPrEx>
        <w:trPr>
          <w:trHeight w:val="308" w:hRule="atLeast"/>
        </w:trPr>
        <w:tc>
          <w:tcPr>
            <w:tcW w:w="3927"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42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7.83</w:t>
            </w:r>
          </w:p>
        </w:tc>
        <w:tc>
          <w:tcPr>
            <w:tcW w:w="1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7.83</w:t>
            </w:r>
          </w:p>
        </w:tc>
        <w:tc>
          <w:tcPr>
            <w:tcW w:w="20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927"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42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7.83</w:t>
            </w:r>
          </w:p>
        </w:tc>
        <w:tc>
          <w:tcPr>
            <w:tcW w:w="1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7.83</w:t>
            </w:r>
          </w:p>
        </w:tc>
        <w:tc>
          <w:tcPr>
            <w:tcW w:w="20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927"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42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7.83</w:t>
            </w:r>
          </w:p>
        </w:tc>
        <w:tc>
          <w:tcPr>
            <w:tcW w:w="1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7.83</w:t>
            </w:r>
          </w:p>
        </w:tc>
        <w:tc>
          <w:tcPr>
            <w:tcW w:w="20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927"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42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17.63</w:t>
            </w:r>
          </w:p>
        </w:tc>
        <w:tc>
          <w:tcPr>
            <w:tcW w:w="1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17.63</w:t>
            </w:r>
          </w:p>
        </w:tc>
        <w:tc>
          <w:tcPr>
            <w:tcW w:w="20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927"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w:t>
            </w:r>
          </w:p>
        </w:tc>
        <w:tc>
          <w:tcPr>
            <w:tcW w:w="42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17.63</w:t>
            </w:r>
          </w:p>
        </w:tc>
        <w:tc>
          <w:tcPr>
            <w:tcW w:w="1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17.63</w:t>
            </w:r>
          </w:p>
        </w:tc>
        <w:tc>
          <w:tcPr>
            <w:tcW w:w="20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927"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2299999</w:t>
            </w:r>
          </w:p>
        </w:tc>
        <w:tc>
          <w:tcPr>
            <w:tcW w:w="42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17.63</w:t>
            </w:r>
          </w:p>
        </w:tc>
        <w:tc>
          <w:tcPr>
            <w:tcW w:w="1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17.63</w:t>
            </w:r>
          </w:p>
        </w:tc>
        <w:tc>
          <w:tcPr>
            <w:tcW w:w="20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988"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注：本表反映部门本年度一般公共预算财政拨款支出情况。</w:t>
            </w:r>
          </w:p>
        </w:tc>
      </w:tr>
    </w:tbl>
    <w:p>
      <w:pPr>
        <w:jc w:val="left"/>
        <w:rPr>
          <w:rFonts w:hint="eastAsia"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tbl>
      <w:tblPr>
        <w:tblStyle w:val="6"/>
        <w:tblW w:w="13988" w:type="dxa"/>
        <w:tblInd w:w="0" w:type="dxa"/>
        <w:shd w:val="clear" w:color="auto" w:fill="auto"/>
        <w:tblLayout w:type="fixed"/>
        <w:tblCellMar>
          <w:top w:w="0" w:type="dxa"/>
          <w:left w:w="0" w:type="dxa"/>
          <w:bottom w:w="0" w:type="dxa"/>
          <w:right w:w="0" w:type="dxa"/>
        </w:tblCellMar>
      </w:tblPr>
      <w:tblGrid>
        <w:gridCol w:w="1512"/>
        <w:gridCol w:w="2880"/>
        <w:gridCol w:w="1230"/>
        <w:gridCol w:w="1200"/>
        <w:gridCol w:w="1710"/>
        <w:gridCol w:w="972"/>
        <w:gridCol w:w="1023"/>
        <w:gridCol w:w="2543"/>
        <w:gridCol w:w="918"/>
      </w:tblGrid>
      <w:tr>
        <w:tblPrEx>
          <w:shd w:val="clear" w:color="auto" w:fill="auto"/>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一般公共预算财政拨款基本支出决算明细表</w:t>
            </w:r>
          </w:p>
        </w:tc>
      </w:tr>
      <w:tr>
        <w:tblPrEx>
          <w:shd w:val="clear" w:color="auto" w:fill="auto"/>
          <w:tblCellMar>
            <w:top w:w="0" w:type="dxa"/>
            <w:left w:w="0" w:type="dxa"/>
            <w:bottom w:w="0" w:type="dxa"/>
            <w:right w:w="0" w:type="dxa"/>
          </w:tblCellMar>
        </w:tblPrEx>
        <w:trPr>
          <w:trHeight w:val="255" w:hRule="atLeast"/>
        </w:trPr>
        <w:tc>
          <w:tcPr>
            <w:tcW w:w="1512"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Arial" w:hAnsi="Arial" w:cs="Arial"/>
                <w:i w:val="0"/>
                <w:color w:val="000000"/>
                <w:sz w:val="20"/>
                <w:szCs w:val="20"/>
                <w:u w:val="none"/>
              </w:rPr>
            </w:pPr>
          </w:p>
        </w:tc>
        <w:tc>
          <w:tcPr>
            <w:tcW w:w="288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23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20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71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972"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023"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2543"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918"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公开06表</w:t>
            </w:r>
          </w:p>
        </w:tc>
      </w:tr>
      <w:tr>
        <w:tblPrEx>
          <w:shd w:val="clear" w:color="auto" w:fill="auto"/>
          <w:tblCellMar>
            <w:top w:w="0" w:type="dxa"/>
            <w:left w:w="0" w:type="dxa"/>
            <w:bottom w:w="0" w:type="dxa"/>
            <w:right w:w="0" w:type="dxa"/>
          </w:tblCellMar>
        </w:tblPrEx>
        <w:trPr>
          <w:trHeight w:val="255" w:hRule="atLeast"/>
        </w:trPr>
        <w:tc>
          <w:tcPr>
            <w:tcW w:w="5622"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部门：广西河池市环江毛南族自治县农村经济经营指导中心</w:t>
            </w:r>
          </w:p>
        </w:tc>
        <w:tc>
          <w:tcPr>
            <w:tcW w:w="120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71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972"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023"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3461"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tblPrEx>
          <w:shd w:val="clear" w:color="auto" w:fill="auto"/>
          <w:tblCellMar>
            <w:top w:w="0" w:type="dxa"/>
            <w:left w:w="0" w:type="dxa"/>
            <w:bottom w:w="0" w:type="dxa"/>
            <w:right w:w="0" w:type="dxa"/>
          </w:tblCellMar>
        </w:tblPrEx>
        <w:trPr>
          <w:trHeight w:val="308" w:hRule="atLeast"/>
        </w:trPr>
        <w:tc>
          <w:tcPr>
            <w:tcW w:w="5622"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w:t>
            </w:r>
          </w:p>
        </w:tc>
        <w:tc>
          <w:tcPr>
            <w:tcW w:w="8366"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r>
      <w:tr>
        <w:tblPrEx>
          <w:shd w:val="clear" w:color="auto" w:fill="auto"/>
          <w:tblCellMar>
            <w:top w:w="0" w:type="dxa"/>
            <w:left w:w="0" w:type="dxa"/>
            <w:bottom w:w="0" w:type="dxa"/>
            <w:right w:w="0" w:type="dxa"/>
          </w:tblCellMar>
        </w:tblPrEx>
        <w:trPr>
          <w:trHeight w:val="308" w:hRule="atLeast"/>
        </w:trPr>
        <w:tc>
          <w:tcPr>
            <w:tcW w:w="151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288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2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120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171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97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10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25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91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shd w:val="clear" w:color="auto" w:fill="auto"/>
          <w:tblCellMar>
            <w:top w:w="0" w:type="dxa"/>
            <w:left w:w="0" w:type="dxa"/>
            <w:bottom w:w="0" w:type="dxa"/>
            <w:right w:w="0" w:type="dxa"/>
          </w:tblCellMar>
        </w:tblPrEx>
        <w:trPr>
          <w:trHeight w:val="308" w:hRule="atLeast"/>
        </w:trPr>
        <w:tc>
          <w:tcPr>
            <w:tcW w:w="151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88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0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71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9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0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5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91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15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113.88</w:t>
            </w:r>
          </w:p>
        </w:tc>
        <w:tc>
          <w:tcPr>
            <w:tcW w:w="12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10.36</w:t>
            </w:r>
          </w:p>
        </w:tc>
        <w:tc>
          <w:tcPr>
            <w:tcW w:w="102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25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5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29.13</w:t>
            </w:r>
          </w:p>
        </w:tc>
        <w:tc>
          <w:tcPr>
            <w:tcW w:w="12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102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25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5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17.53</w:t>
            </w:r>
          </w:p>
        </w:tc>
        <w:tc>
          <w:tcPr>
            <w:tcW w:w="12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25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5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27.45</w:t>
            </w:r>
          </w:p>
        </w:tc>
        <w:tc>
          <w:tcPr>
            <w:tcW w:w="12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25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5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12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25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5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w:t>
            </w:r>
          </w:p>
        </w:tc>
        <w:tc>
          <w:tcPr>
            <w:tcW w:w="102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25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5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12.97</w:t>
            </w:r>
          </w:p>
        </w:tc>
        <w:tc>
          <w:tcPr>
            <w:tcW w:w="12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0.24</w:t>
            </w:r>
          </w:p>
        </w:tc>
        <w:tc>
          <w:tcPr>
            <w:tcW w:w="102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25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5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w:t>
            </w:r>
          </w:p>
        </w:tc>
        <w:tc>
          <w:tcPr>
            <w:tcW w:w="102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25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5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5.32</w:t>
            </w:r>
          </w:p>
        </w:tc>
        <w:tc>
          <w:tcPr>
            <w:tcW w:w="12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25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5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25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5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0.43</w:t>
            </w:r>
          </w:p>
        </w:tc>
        <w:tc>
          <w:tcPr>
            <w:tcW w:w="12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25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5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7.92</w:t>
            </w:r>
          </w:p>
        </w:tc>
        <w:tc>
          <w:tcPr>
            <w:tcW w:w="12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25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5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25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5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11.92</w:t>
            </w:r>
          </w:p>
        </w:tc>
        <w:tc>
          <w:tcPr>
            <w:tcW w:w="12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25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5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4.65</w:t>
            </w:r>
          </w:p>
        </w:tc>
        <w:tc>
          <w:tcPr>
            <w:tcW w:w="12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25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5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25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5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25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5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25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5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25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5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4.65</w:t>
            </w:r>
          </w:p>
        </w:tc>
        <w:tc>
          <w:tcPr>
            <w:tcW w:w="12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25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5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25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5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25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5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w:t>
            </w:r>
          </w:p>
        </w:tc>
        <w:tc>
          <w:tcPr>
            <w:tcW w:w="102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25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PrEx>
        <w:trPr>
          <w:trHeight w:val="308" w:hRule="atLeast"/>
        </w:trPr>
        <w:tc>
          <w:tcPr>
            <w:tcW w:w="15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39909</w:t>
            </w:r>
          </w:p>
        </w:tc>
        <w:tc>
          <w:tcPr>
            <w:tcW w:w="25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经常性赠与</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5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39910</w:t>
            </w:r>
          </w:p>
        </w:tc>
        <w:tc>
          <w:tcPr>
            <w:tcW w:w="25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资本性赠与</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5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6.30</w:t>
            </w:r>
          </w:p>
        </w:tc>
        <w:tc>
          <w:tcPr>
            <w:tcW w:w="102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25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5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25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5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2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2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25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4392"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人员经费合计</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118.53</w:t>
            </w:r>
          </w:p>
        </w:tc>
        <w:tc>
          <w:tcPr>
            <w:tcW w:w="7448"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公用经费合计</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10.36</w:t>
            </w:r>
          </w:p>
        </w:tc>
      </w:tr>
      <w:tr>
        <w:tblPrEx>
          <w:shd w:val="clear" w:color="auto" w:fill="auto"/>
          <w:tblCellMar>
            <w:top w:w="0" w:type="dxa"/>
            <w:left w:w="0" w:type="dxa"/>
            <w:bottom w:w="0" w:type="dxa"/>
            <w:right w:w="0" w:type="dxa"/>
          </w:tblCellMar>
        </w:tblPrEx>
        <w:trPr>
          <w:trHeight w:val="308" w:hRule="atLeast"/>
        </w:trPr>
        <w:tc>
          <w:tcPr>
            <w:tcW w:w="13988"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注：本表反映部门本年度一般公共预算财政拨款基本支出明细情况。</w:t>
            </w:r>
          </w:p>
        </w:tc>
      </w:tr>
    </w:tbl>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tbl>
      <w:tblPr>
        <w:tblStyle w:val="6"/>
        <w:tblW w:w="13988" w:type="dxa"/>
        <w:tblInd w:w="0" w:type="dxa"/>
        <w:shd w:val="clear" w:color="auto" w:fill="auto"/>
        <w:tblLayout w:type="fixed"/>
        <w:tblCellMar>
          <w:top w:w="0" w:type="dxa"/>
          <w:left w:w="0" w:type="dxa"/>
          <w:bottom w:w="0" w:type="dxa"/>
          <w:right w:w="0" w:type="dxa"/>
        </w:tblCellMar>
      </w:tblPr>
      <w:tblGrid>
        <w:gridCol w:w="4875"/>
        <w:gridCol w:w="68"/>
        <w:gridCol w:w="22"/>
        <w:gridCol w:w="90"/>
        <w:gridCol w:w="848"/>
        <w:gridCol w:w="1326"/>
        <w:gridCol w:w="1326"/>
        <w:gridCol w:w="1326"/>
        <w:gridCol w:w="1326"/>
        <w:gridCol w:w="1327"/>
        <w:gridCol w:w="1454"/>
      </w:tblGrid>
      <w:tr>
        <w:tblPrEx>
          <w:shd w:val="clear" w:color="auto" w:fill="auto"/>
          <w:tblCellMar>
            <w:top w:w="0" w:type="dxa"/>
            <w:left w:w="0" w:type="dxa"/>
            <w:bottom w:w="0" w:type="dxa"/>
            <w:right w:w="0" w:type="dxa"/>
          </w:tblCellMar>
        </w:tblPrEx>
        <w:trPr>
          <w:trHeight w:val="390" w:hRule="atLeast"/>
        </w:trPr>
        <w:tc>
          <w:tcPr>
            <w:tcW w:w="13988" w:type="dxa"/>
            <w:gridSpan w:val="11"/>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tblPrEx>
          <w:shd w:val="clear" w:color="auto" w:fill="auto"/>
          <w:tblCellMar>
            <w:top w:w="0" w:type="dxa"/>
            <w:left w:w="0" w:type="dxa"/>
            <w:bottom w:w="0" w:type="dxa"/>
            <w:right w:w="0" w:type="dxa"/>
          </w:tblCellMar>
        </w:tblPrEx>
        <w:trPr>
          <w:trHeight w:val="255" w:hRule="atLeast"/>
        </w:trPr>
        <w:tc>
          <w:tcPr>
            <w:tcW w:w="487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Arial" w:hAnsi="Arial" w:cs="Arial"/>
                <w:i w:val="0"/>
                <w:color w:val="000000"/>
                <w:sz w:val="20"/>
                <w:szCs w:val="20"/>
                <w:u w:val="none"/>
              </w:rPr>
            </w:pPr>
          </w:p>
        </w:tc>
        <w:tc>
          <w:tcPr>
            <w:tcW w:w="90"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9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848"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326"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326"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326"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326"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327"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454"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shd w:val="clear" w:color="auto" w:fill="auto"/>
          <w:tblCellMar>
            <w:top w:w="0" w:type="dxa"/>
            <w:left w:w="0" w:type="dxa"/>
            <w:bottom w:w="0" w:type="dxa"/>
            <w:right w:w="0" w:type="dxa"/>
          </w:tblCellMar>
        </w:tblPrEx>
        <w:trPr>
          <w:trHeight w:val="255" w:hRule="atLeast"/>
        </w:trPr>
        <w:tc>
          <w:tcPr>
            <w:tcW w:w="5903"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部门：广西河池市环江毛南族自治县农村经济经营指导中心</w:t>
            </w:r>
          </w:p>
        </w:tc>
        <w:tc>
          <w:tcPr>
            <w:tcW w:w="1326"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326"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326"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326"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327"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454"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shd w:val="clear" w:color="auto" w:fill="auto"/>
          <w:tblCellMar>
            <w:top w:w="0" w:type="dxa"/>
            <w:left w:w="0" w:type="dxa"/>
            <w:bottom w:w="0" w:type="dxa"/>
            <w:right w:w="0" w:type="dxa"/>
          </w:tblCellMar>
        </w:tblPrEx>
        <w:trPr>
          <w:trHeight w:val="308" w:hRule="atLeast"/>
        </w:trPr>
        <w:tc>
          <w:tcPr>
            <w:tcW w:w="5903"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326"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326"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979"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454"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shd w:val="clear" w:color="auto" w:fill="auto"/>
          <w:tblCellMar>
            <w:top w:w="0" w:type="dxa"/>
            <w:left w:w="0" w:type="dxa"/>
            <w:bottom w:w="0" w:type="dxa"/>
            <w:right w:w="0" w:type="dxa"/>
          </w:tblCellMar>
        </w:tblPrEx>
        <w:trPr>
          <w:trHeight w:val="308" w:hRule="atLeast"/>
        </w:trPr>
        <w:tc>
          <w:tcPr>
            <w:tcW w:w="4943" w:type="dxa"/>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960" w:type="dxa"/>
            <w:gridSpan w:val="3"/>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32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2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2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32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32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45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4943"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960" w:type="dxa"/>
            <w:gridSpan w:val="3"/>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2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2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2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2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2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5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4943"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960" w:type="dxa"/>
            <w:gridSpan w:val="3"/>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2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2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2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2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2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5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5903" w:type="dxa"/>
            <w:gridSpan w:val="5"/>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32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2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2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2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2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trHeight w:val="308" w:hRule="atLeast"/>
        </w:trPr>
        <w:tc>
          <w:tcPr>
            <w:tcW w:w="5903" w:type="dxa"/>
            <w:gridSpan w:val="5"/>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3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0</w:t>
            </w:r>
          </w:p>
        </w:tc>
        <w:tc>
          <w:tcPr>
            <w:tcW w:w="13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0</w:t>
            </w:r>
          </w:p>
        </w:tc>
        <w:tc>
          <w:tcPr>
            <w:tcW w:w="13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0</w:t>
            </w:r>
          </w:p>
        </w:tc>
        <w:tc>
          <w:tcPr>
            <w:tcW w:w="13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0</w:t>
            </w:r>
          </w:p>
        </w:tc>
        <w:tc>
          <w:tcPr>
            <w:tcW w:w="13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0</w:t>
            </w:r>
          </w:p>
        </w:tc>
        <w:tc>
          <w:tcPr>
            <w:tcW w:w="14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0</w:t>
            </w:r>
          </w:p>
        </w:tc>
      </w:tr>
      <w:tr>
        <w:tblPrEx>
          <w:shd w:val="clear" w:color="auto" w:fill="auto"/>
          <w:tblCellMar>
            <w:top w:w="0" w:type="dxa"/>
            <w:left w:w="0" w:type="dxa"/>
            <w:bottom w:w="0" w:type="dxa"/>
            <w:right w:w="0" w:type="dxa"/>
          </w:tblCellMar>
        </w:tblPrEx>
        <w:trPr>
          <w:trHeight w:val="308" w:hRule="atLeast"/>
        </w:trPr>
        <w:tc>
          <w:tcPr>
            <w:tcW w:w="494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96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13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494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96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13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13988" w:type="dxa"/>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30"/>
          <w:szCs w:val="30"/>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tbl>
      <w:tblPr>
        <w:tblStyle w:val="6"/>
        <w:tblW w:w="13988" w:type="dxa"/>
        <w:tblInd w:w="0" w:type="dxa"/>
        <w:shd w:val="clear" w:color="auto" w:fill="auto"/>
        <w:tblLayout w:type="fixed"/>
        <w:tblCellMar>
          <w:top w:w="0" w:type="dxa"/>
          <w:left w:w="0" w:type="dxa"/>
          <w:bottom w:w="0" w:type="dxa"/>
          <w:right w:w="0" w:type="dxa"/>
        </w:tblCellMar>
      </w:tblPr>
      <w:tblGrid>
        <w:gridCol w:w="7345"/>
        <w:gridCol w:w="90"/>
        <w:gridCol w:w="11"/>
        <w:gridCol w:w="79"/>
        <w:gridCol w:w="1278"/>
        <w:gridCol w:w="1551"/>
        <w:gridCol w:w="1354"/>
        <w:gridCol w:w="2280"/>
      </w:tblGrid>
      <w:tr>
        <w:tblPrEx>
          <w:shd w:val="clear" w:color="auto" w:fill="auto"/>
          <w:tblCellMar>
            <w:top w:w="0" w:type="dxa"/>
            <w:left w:w="0" w:type="dxa"/>
            <w:bottom w:w="0" w:type="dxa"/>
            <w:right w:w="0" w:type="dxa"/>
          </w:tblCellMar>
        </w:tblPrEx>
        <w:trPr>
          <w:trHeight w:val="390" w:hRule="atLeast"/>
        </w:trPr>
        <w:tc>
          <w:tcPr>
            <w:tcW w:w="13988"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国有资本经营预算财政拨款支出决算表</w:t>
            </w:r>
          </w:p>
        </w:tc>
      </w:tr>
      <w:tr>
        <w:tblPrEx>
          <w:shd w:val="clear" w:color="auto" w:fill="auto"/>
          <w:tblCellMar>
            <w:top w:w="0" w:type="dxa"/>
            <w:left w:w="0" w:type="dxa"/>
            <w:bottom w:w="0" w:type="dxa"/>
            <w:right w:w="0" w:type="dxa"/>
          </w:tblCellMar>
        </w:tblPrEx>
        <w:trPr>
          <w:trHeight w:val="255" w:hRule="atLeast"/>
        </w:trPr>
        <w:tc>
          <w:tcPr>
            <w:tcW w:w="734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Arial" w:hAnsi="Arial" w:cs="Arial"/>
                <w:i w:val="0"/>
                <w:color w:val="000000"/>
                <w:sz w:val="20"/>
                <w:szCs w:val="20"/>
                <w:u w:val="none"/>
              </w:rPr>
            </w:pPr>
          </w:p>
        </w:tc>
        <w:tc>
          <w:tcPr>
            <w:tcW w:w="9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90"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278"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551"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354"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228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shd w:val="clear" w:color="auto" w:fill="auto"/>
          <w:tblCellMar>
            <w:top w:w="0" w:type="dxa"/>
            <w:left w:w="0" w:type="dxa"/>
            <w:bottom w:w="0" w:type="dxa"/>
            <w:right w:w="0" w:type="dxa"/>
          </w:tblCellMar>
        </w:tblPrEx>
        <w:trPr>
          <w:trHeight w:val="255" w:hRule="atLeast"/>
        </w:trPr>
        <w:tc>
          <w:tcPr>
            <w:tcW w:w="7345"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部门：广西河池市环江毛南族自治县农村经济经营指导中心</w:t>
            </w:r>
          </w:p>
        </w:tc>
        <w:tc>
          <w:tcPr>
            <w:tcW w:w="9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90"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278"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551"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354"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228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shd w:val="clear" w:color="auto" w:fill="auto"/>
          <w:tblCellMar>
            <w:top w:w="0" w:type="dxa"/>
            <w:left w:w="0" w:type="dxa"/>
            <w:bottom w:w="0" w:type="dxa"/>
            <w:right w:w="0" w:type="dxa"/>
          </w:tblCellMar>
        </w:tblPrEx>
        <w:trPr>
          <w:trHeight w:val="308" w:hRule="atLeast"/>
        </w:trPr>
        <w:tc>
          <w:tcPr>
            <w:tcW w:w="8803"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18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shd w:val="clear" w:color="auto" w:fill="auto"/>
          <w:tblCellMar>
            <w:top w:w="0" w:type="dxa"/>
            <w:left w:w="0" w:type="dxa"/>
            <w:bottom w:w="0" w:type="dxa"/>
            <w:right w:w="0" w:type="dxa"/>
          </w:tblCellMar>
        </w:tblPrEx>
        <w:trPr>
          <w:trHeight w:val="308" w:hRule="atLeast"/>
        </w:trPr>
        <w:tc>
          <w:tcPr>
            <w:tcW w:w="7446" w:type="dxa"/>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1357" w:type="dxa"/>
            <w:gridSpan w:val="2"/>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5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35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228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shd w:val="clear" w:color="auto" w:fill="auto"/>
          <w:tblCellMar>
            <w:top w:w="0" w:type="dxa"/>
            <w:left w:w="0" w:type="dxa"/>
            <w:bottom w:w="0" w:type="dxa"/>
            <w:right w:w="0" w:type="dxa"/>
          </w:tblCellMar>
        </w:tblPrEx>
        <w:trPr>
          <w:trHeight w:val="308" w:hRule="atLeast"/>
        </w:trPr>
        <w:tc>
          <w:tcPr>
            <w:tcW w:w="7446"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57" w:type="dxa"/>
            <w:gridSpan w:val="2"/>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5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28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7446"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57" w:type="dxa"/>
            <w:gridSpan w:val="2"/>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5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28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8803" w:type="dxa"/>
            <w:gridSpan w:val="5"/>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55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2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shd w:val="clear" w:color="auto" w:fill="auto"/>
          <w:tblCellMar>
            <w:top w:w="0" w:type="dxa"/>
            <w:left w:w="0" w:type="dxa"/>
            <w:bottom w:w="0" w:type="dxa"/>
            <w:right w:w="0" w:type="dxa"/>
          </w:tblCellMar>
        </w:tblPrEx>
        <w:trPr>
          <w:trHeight w:val="308" w:hRule="atLeast"/>
        </w:trPr>
        <w:tc>
          <w:tcPr>
            <w:tcW w:w="8803" w:type="dxa"/>
            <w:gridSpan w:val="5"/>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5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0</w:t>
            </w:r>
          </w:p>
        </w:tc>
        <w:tc>
          <w:tcPr>
            <w:tcW w:w="13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0</w:t>
            </w:r>
          </w:p>
        </w:tc>
        <w:tc>
          <w:tcPr>
            <w:tcW w:w="22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0</w:t>
            </w:r>
          </w:p>
        </w:tc>
      </w:tr>
      <w:tr>
        <w:tblPrEx>
          <w:shd w:val="clear" w:color="auto" w:fill="auto"/>
          <w:tblCellMar>
            <w:top w:w="0" w:type="dxa"/>
            <w:left w:w="0" w:type="dxa"/>
            <w:bottom w:w="0" w:type="dxa"/>
            <w:right w:w="0" w:type="dxa"/>
          </w:tblCellMar>
        </w:tblPrEx>
        <w:trPr>
          <w:trHeight w:val="308" w:hRule="atLeast"/>
        </w:trPr>
        <w:tc>
          <w:tcPr>
            <w:tcW w:w="744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13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15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22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744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13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15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22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13988"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注：本表反映部门本年度国有资本经营预算财政拨款支出情况。</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tbl>
      <w:tblPr>
        <w:tblStyle w:val="6"/>
        <w:tblW w:w="13988" w:type="dxa"/>
        <w:tblInd w:w="0" w:type="dxa"/>
        <w:shd w:val="clear" w:color="auto" w:fill="auto"/>
        <w:tblLayout w:type="fixed"/>
        <w:tblCellMar>
          <w:top w:w="0" w:type="dxa"/>
          <w:left w:w="0" w:type="dxa"/>
          <w:bottom w:w="0" w:type="dxa"/>
          <w:right w:w="0" w:type="dxa"/>
        </w:tblCellMar>
      </w:tblPr>
      <w:tblGrid>
        <w:gridCol w:w="4320"/>
        <w:gridCol w:w="1033"/>
        <w:gridCol w:w="802"/>
        <w:gridCol w:w="803"/>
        <w:gridCol w:w="803"/>
        <w:gridCol w:w="802"/>
        <w:gridCol w:w="802"/>
        <w:gridCol w:w="1033"/>
        <w:gridCol w:w="803"/>
        <w:gridCol w:w="802"/>
        <w:gridCol w:w="803"/>
        <w:gridCol w:w="1182"/>
      </w:tblGrid>
      <w:tr>
        <w:tblPrEx>
          <w:shd w:val="clear" w:color="auto" w:fill="auto"/>
          <w:tblCellMar>
            <w:top w:w="0" w:type="dxa"/>
            <w:left w:w="0" w:type="dxa"/>
            <w:bottom w:w="0" w:type="dxa"/>
            <w:right w:w="0" w:type="dxa"/>
          </w:tblCellMar>
        </w:tblPrEx>
        <w:trPr>
          <w:trHeight w:val="540" w:hRule="atLeast"/>
        </w:trPr>
        <w:tc>
          <w:tcPr>
            <w:tcW w:w="13988" w:type="dxa"/>
            <w:gridSpan w:val="1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44"/>
                <w:szCs w:val="44"/>
                <w:u w:val="none"/>
                <w:lang w:val="en-US" w:eastAsia="zh-CN" w:bidi="ar"/>
              </w:rPr>
              <w:t>财政拨款“三公”经费支出决算表</w:t>
            </w:r>
          </w:p>
        </w:tc>
      </w:tr>
      <w:tr>
        <w:tblPrEx>
          <w:shd w:val="clear" w:color="auto" w:fill="auto"/>
          <w:tblCellMar>
            <w:top w:w="0" w:type="dxa"/>
            <w:left w:w="0" w:type="dxa"/>
            <w:bottom w:w="0" w:type="dxa"/>
            <w:right w:w="0" w:type="dxa"/>
          </w:tblCellMar>
        </w:tblPrEx>
        <w:trPr>
          <w:trHeight w:val="255" w:hRule="atLeast"/>
        </w:trPr>
        <w:tc>
          <w:tcPr>
            <w:tcW w:w="432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Arial" w:hAnsi="Arial" w:cs="Arial"/>
                <w:i w:val="0"/>
                <w:color w:val="000000"/>
                <w:sz w:val="20"/>
                <w:szCs w:val="20"/>
                <w:u w:val="none"/>
              </w:rPr>
            </w:pPr>
          </w:p>
        </w:tc>
        <w:tc>
          <w:tcPr>
            <w:tcW w:w="1033"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802"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803"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803"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802"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802"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033"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803"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802"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803"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182"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shd w:val="clear" w:color="auto" w:fill="auto"/>
          <w:tblCellMar>
            <w:top w:w="0" w:type="dxa"/>
            <w:left w:w="0" w:type="dxa"/>
            <w:bottom w:w="0" w:type="dxa"/>
            <w:right w:w="0" w:type="dxa"/>
          </w:tblCellMar>
        </w:tblPrEx>
        <w:trPr>
          <w:trHeight w:val="255" w:hRule="atLeast"/>
        </w:trPr>
        <w:tc>
          <w:tcPr>
            <w:tcW w:w="6958" w:type="dxa"/>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部门：广西河池市环江毛南族自治县农村经济经营指导中心</w:t>
            </w:r>
          </w:p>
        </w:tc>
        <w:tc>
          <w:tcPr>
            <w:tcW w:w="803"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802"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802"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033"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803"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802"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985"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shd w:val="clear" w:color="auto" w:fill="auto"/>
          <w:tblCellMar>
            <w:top w:w="0" w:type="dxa"/>
            <w:left w:w="0" w:type="dxa"/>
            <w:bottom w:w="0" w:type="dxa"/>
            <w:right w:w="0" w:type="dxa"/>
          </w:tblCellMar>
        </w:tblPrEx>
        <w:trPr>
          <w:trHeight w:val="308" w:hRule="atLeast"/>
        </w:trPr>
        <w:tc>
          <w:tcPr>
            <w:tcW w:w="8563" w:type="dxa"/>
            <w:gridSpan w:val="6"/>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5425"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shd w:val="clear" w:color="auto" w:fill="auto"/>
          <w:tblCellMar>
            <w:top w:w="0" w:type="dxa"/>
            <w:left w:w="0" w:type="dxa"/>
            <w:bottom w:w="0" w:type="dxa"/>
            <w:right w:w="0" w:type="dxa"/>
          </w:tblCellMar>
        </w:tblPrEx>
        <w:trPr>
          <w:trHeight w:val="308" w:hRule="atLeast"/>
        </w:trPr>
        <w:tc>
          <w:tcPr>
            <w:tcW w:w="4320"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3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2408" w:type="dxa"/>
            <w:gridSpan w:val="3"/>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80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80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3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2408" w:type="dxa"/>
            <w:gridSpan w:val="3"/>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18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shd w:val="clear" w:color="auto" w:fill="auto"/>
          <w:tblCellMar>
            <w:top w:w="0" w:type="dxa"/>
            <w:left w:w="0" w:type="dxa"/>
            <w:bottom w:w="0" w:type="dxa"/>
            <w:right w:w="0" w:type="dxa"/>
          </w:tblCellMar>
        </w:tblPrEx>
        <w:trPr>
          <w:trHeight w:val="615" w:hRule="atLeast"/>
        </w:trPr>
        <w:tc>
          <w:tcPr>
            <w:tcW w:w="432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03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80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80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80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公务用车运行维护费</w:t>
            </w:r>
          </w:p>
        </w:tc>
        <w:tc>
          <w:tcPr>
            <w:tcW w:w="80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80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03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80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80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80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公务用车运行维护费</w:t>
            </w:r>
          </w:p>
        </w:tc>
        <w:tc>
          <w:tcPr>
            <w:tcW w:w="118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432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3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0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0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0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0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80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03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80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80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1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shd w:val="clear" w:color="auto" w:fill="auto"/>
          <w:tblCellMar>
            <w:top w:w="0" w:type="dxa"/>
            <w:left w:w="0" w:type="dxa"/>
            <w:bottom w:w="0" w:type="dxa"/>
            <w:right w:w="0" w:type="dxa"/>
          </w:tblCellMar>
        </w:tblPrEx>
        <w:trPr>
          <w:trHeight w:val="308" w:hRule="atLeast"/>
        </w:trPr>
        <w:tc>
          <w:tcPr>
            <w:tcW w:w="4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0.35</w:t>
            </w: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0.35</w:t>
            </w:r>
          </w:p>
        </w:tc>
        <w:tc>
          <w:tcPr>
            <w:tcW w:w="8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0.35</w:t>
            </w: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0.35</w:t>
            </w:r>
          </w:p>
        </w:tc>
      </w:tr>
      <w:tr>
        <w:tblPrEx>
          <w:shd w:val="clear" w:color="auto" w:fill="auto"/>
          <w:tblCellMar>
            <w:top w:w="0" w:type="dxa"/>
            <w:left w:w="0" w:type="dxa"/>
            <w:bottom w:w="0" w:type="dxa"/>
            <w:right w:w="0" w:type="dxa"/>
          </w:tblCellMar>
        </w:tblPrEx>
        <w:trPr>
          <w:trHeight w:val="615" w:hRule="atLeast"/>
        </w:trPr>
        <w:tc>
          <w:tcPr>
            <w:tcW w:w="13988"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hint="eastAsia" w:ascii="黑体" w:hAnsi="黑体" w:eastAsia="黑体" w:cs="黑体"/>
          <w:b/>
          <w:bCs/>
          <w:sz w:val="32"/>
          <w:u w:color="auto"/>
          <w:lang w:val="en-US" w:eastAsia="zh-CN"/>
        </w:rPr>
      </w:pPr>
      <w:r>
        <w:rPr>
          <w:rFonts w:hint="eastAsia" w:ascii="黑体" w:hAnsi="黑体" w:eastAsia="黑体" w:cs="黑体"/>
          <w:b/>
          <w:bCs/>
          <w:sz w:val="32"/>
          <w:szCs w:val="32"/>
          <w:highlight w:val="none"/>
        </w:rPr>
        <w:t>第三部分：</w:t>
      </w:r>
      <w:r>
        <w:rPr>
          <w:rFonts w:hint="eastAsia" w:ascii="黑体" w:hAnsi="黑体" w:eastAsia="黑体" w:cs="黑体"/>
          <w:b/>
          <w:bCs/>
          <w:sz w:val="32"/>
          <w:u w:color="auto"/>
          <w:lang w:val="en-US" w:eastAsia="zh-CN"/>
        </w:rPr>
        <w:t>环江毛南族自治县农村经济经营指导中心</w:t>
      </w:r>
    </w:p>
    <w:p>
      <w:pPr>
        <w:jc w:val="center"/>
        <w:rPr>
          <w:rFonts w:ascii="仿宋" w:hAnsi="仿宋" w:eastAsia="仿宋" w:cs="仿宋"/>
          <w:b/>
          <w:bCs/>
          <w:sz w:val="32"/>
          <w:szCs w:val="32"/>
          <w:highlight w:val="none"/>
        </w:rPr>
      </w:pPr>
      <w:r>
        <w:rPr>
          <w:rFonts w:hint="eastAsia" w:ascii="黑体" w:hAnsi="黑体" w:eastAsia="黑体" w:cs="黑体"/>
          <w:b/>
          <w:bCs/>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u w:color="auto"/>
          <w:lang w:val="en-US" w:eastAsia="zh-CN"/>
        </w:rPr>
        <w:t>606.07</w:t>
      </w:r>
      <w:r>
        <w:rPr>
          <w:rFonts w:hint="eastAsia" w:ascii="仿宋" w:hAnsi="仿宋" w:eastAsia="仿宋" w:cs="仿宋"/>
          <w:sz w:val="32"/>
          <w:szCs w:val="32"/>
          <w:highlight w:val="none"/>
        </w:rPr>
        <w:t>万元，较2021年度决算数</w:t>
      </w:r>
      <w:r>
        <w:rPr>
          <w:rFonts w:hint="eastAsia" w:ascii="仿宋" w:hAnsi="仿宋" w:eastAsia="仿宋" w:cs="仿宋"/>
          <w:sz w:val="32"/>
          <w:szCs w:val="32"/>
          <w:highlight w:val="none"/>
          <w:lang w:eastAsia="zh-CN"/>
        </w:rPr>
        <w:t>增</w:t>
      </w:r>
      <w:r>
        <w:rPr>
          <w:rFonts w:hint="eastAsia" w:ascii="仿宋" w:hAnsi="仿宋" w:eastAsia="仿宋" w:cs="仿宋"/>
          <w:sz w:val="32"/>
          <w:szCs w:val="32"/>
          <w:highlight w:val="none"/>
          <w:lang w:val="en-US" w:eastAsia="zh-CN"/>
        </w:rPr>
        <w:t>加</w:t>
      </w:r>
      <w:r>
        <w:rPr>
          <w:rFonts w:hint="eastAsia" w:ascii="仿宋" w:hAnsi="仿宋" w:eastAsia="仿宋" w:cs="仿宋"/>
          <w:sz w:val="32"/>
          <w:u w:color="auto"/>
          <w:lang w:val="en-US" w:eastAsia="zh-CN"/>
        </w:rPr>
        <w:t>252.59</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增长71.46</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606.07</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606.07</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kern w:val="0"/>
          <w:sz w:val="32"/>
          <w:szCs w:val="32"/>
        </w:rPr>
        <w:t>为</w:t>
      </w:r>
      <w:r>
        <w:rPr>
          <w:rFonts w:hint="eastAsia" w:ascii="仿宋" w:hAnsi="仿宋" w:eastAsia="仿宋" w:cs="仿宋"/>
          <w:kern w:val="0"/>
          <w:sz w:val="32"/>
          <w:szCs w:val="32"/>
          <w:lang w:val="en-US" w:eastAsia="zh-CN"/>
        </w:rPr>
        <w:t>自治县</w:t>
      </w:r>
      <w:r>
        <w:rPr>
          <w:rFonts w:hint="eastAsia" w:ascii="仿宋" w:hAnsi="仿宋" w:eastAsia="仿宋" w:cs="仿宋"/>
          <w:kern w:val="0"/>
          <w:sz w:val="32"/>
          <w:szCs w:val="32"/>
        </w:rPr>
        <w:t>本级财政当年拨付的资金</w:t>
      </w:r>
      <w:r>
        <w:rPr>
          <w:rFonts w:hint="eastAsia" w:ascii="仿宋" w:hAnsi="仿宋" w:eastAsia="仿宋" w:cs="仿宋"/>
          <w:kern w:val="2"/>
          <w:sz w:val="32"/>
          <w:szCs w:val="32"/>
          <w:highlight w:val="none"/>
          <w:lang w:val="en-US" w:eastAsia="zh-CN" w:bidi="ar"/>
        </w:rPr>
        <w:t>。较2021年度决算数</w:t>
      </w:r>
      <w:r>
        <w:rPr>
          <w:rFonts w:hint="eastAsia" w:ascii="仿宋" w:hAnsi="仿宋" w:eastAsia="仿宋" w:cs="仿宋"/>
          <w:sz w:val="32"/>
          <w:u w:color="auto"/>
          <w:lang w:val="en-US" w:eastAsia="zh-CN"/>
        </w:rPr>
        <w:t>增加252.59</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val="en-US" w:eastAsia="zh-CN"/>
        </w:rPr>
        <w:t>增长71.46</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主要原因：财政追加拨款用于农村土地承包管理的工作经费及上级补助资金拨入。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黑体" w:eastAsia="仿宋_GB2312" w:cs="仿宋_GB2312"/>
          <w:kern w:val="0"/>
          <w:sz w:val="32"/>
          <w:szCs w:val="32"/>
          <w:lang w:val="en-US" w:eastAsia="zh-CN"/>
        </w:rPr>
      </w:pPr>
      <w:r>
        <w:rPr>
          <w:rFonts w:hint="eastAsia" w:ascii="仿宋_GB2312" w:eastAsia="仿宋_GB2312" w:cs="仿宋_GB2312"/>
          <w:kern w:val="0"/>
          <w:sz w:val="32"/>
          <w:szCs w:val="32"/>
        </w:rPr>
        <w:t>2.政府性基金预算财政拨款收入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val="en-US" w:eastAsia="zh-CN"/>
        </w:rPr>
        <w:t>自治县</w:t>
      </w:r>
      <w:r>
        <w:rPr>
          <w:rFonts w:hint="eastAsia" w:ascii="仿宋_GB2312" w:eastAsia="仿宋_GB2312" w:cs="仿宋_GB2312"/>
          <w:kern w:val="0"/>
          <w:sz w:val="32"/>
          <w:szCs w:val="32"/>
        </w:rPr>
        <w:t>本级财政当年拨付的资金。</w:t>
      </w:r>
      <w:r>
        <w:rPr>
          <w:rFonts w:hint="eastAsia" w:ascii="仿宋" w:hAnsi="仿宋" w:eastAsia="仿宋" w:cs="仿宋"/>
          <w:kern w:val="2"/>
          <w:sz w:val="32"/>
          <w:szCs w:val="32"/>
          <w:highlight w:val="none"/>
          <w:lang w:val="en-US" w:eastAsia="zh-CN" w:bidi="ar"/>
        </w:rPr>
        <w:t>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主要原因是：本单位没有该收入。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主要原因是：本单位没有该收入。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主要原因是：本单位没有该收入。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主要原因是：本单位没有该收入。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主要原因是：本单位没有该收入。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主要原因是：本单位没有该收入。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主要原因是：本单位没有该收入。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主要原因是：本单位没有该收入。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w:t>
      </w:r>
      <w:r>
        <w:rPr>
          <w:rFonts w:hint="eastAsia" w:ascii="仿宋_GB2312" w:eastAsia="仿宋_GB2312" w:cs="仿宋_GB2312"/>
          <w:kern w:val="0"/>
          <w:sz w:val="32"/>
          <w:szCs w:val="32"/>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主要原因：跨年度实施的</w:t>
      </w:r>
      <w:r>
        <w:rPr>
          <w:rFonts w:hint="eastAsia" w:ascii="仿宋" w:hAnsi="仿宋" w:eastAsia="仿宋" w:cs="仿宋"/>
          <w:color w:val="auto"/>
          <w:kern w:val="2"/>
          <w:sz w:val="32"/>
          <w:szCs w:val="32"/>
          <w:highlight w:val="none"/>
          <w:lang w:val="en-US" w:eastAsia="zh-CN" w:bidi="ar"/>
        </w:rPr>
        <w:t>项目已在本年执行完毕，不需要结转至下年继续执行。</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sz w:val="32"/>
          <w:szCs w:val="32"/>
          <w:highlight w:val="none"/>
        </w:rPr>
        <w:drawing>
          <wp:inline distT="0" distB="0" distL="114300" distR="114300">
            <wp:extent cx="4289425" cy="3201035"/>
            <wp:effectExtent l="4445" t="4445" r="11430" b="1397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u w:color="auto"/>
          <w:lang w:val="en-US" w:eastAsia="zh-CN"/>
        </w:rPr>
        <w:t>606.07</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606.07</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增加252.59</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增长71.46</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pageBreakBefore w:val="0"/>
        <w:kinsoku/>
        <w:wordWrap/>
        <w:overflowPunct/>
        <w:topLinePunct w:val="0"/>
        <w:autoSpaceDE w:val="0"/>
        <w:autoSpaceDN w:val="0"/>
        <w:bidi w:val="0"/>
        <w:adjustRightInd w:val="0"/>
        <w:spacing w:line="60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val="en-US" w:eastAsia="zh-CN" w:bidi="ar"/>
        </w:rPr>
        <w:t xml:space="preserve">一般公共服务支出 </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lang w:val="en-US" w:eastAsia="zh-CN"/>
        </w:rPr>
        <w:t>4.26万元，主要用于其他工资福利支出，较2021年增加3.21万元，增长305.71%，主要用于其他工资福利支出和上缴工会经费。</w:t>
      </w:r>
    </w:p>
    <w:p>
      <w:pPr>
        <w:keepNext w:val="0"/>
        <w:keepLines w:val="0"/>
        <w:pageBreakBefore w:val="0"/>
        <w:kinsoku/>
        <w:wordWrap/>
        <w:overflowPunct/>
        <w:topLinePunct w:val="0"/>
        <w:autoSpaceDE w:val="0"/>
        <w:autoSpaceDN w:val="0"/>
        <w:bidi w:val="0"/>
        <w:adjustRightInd w:val="0"/>
        <w:spacing w:line="560" w:lineRule="exact"/>
        <w:ind w:firstLine="627" w:firstLineChars="196"/>
        <w:jc w:val="both"/>
        <w:textAlignment w:val="auto"/>
        <w:rPr>
          <w:rFonts w:ascii="仿宋" w:hAnsi="仿宋" w:eastAsia="仿宋" w:cs="仿宋_GB2312"/>
          <w:kern w:val="0"/>
          <w:sz w:val="32"/>
          <w:szCs w:val="32"/>
        </w:rPr>
      </w:pPr>
      <w:r>
        <w:rPr>
          <w:rFonts w:hint="eastAsia" w:ascii="仿宋" w:hAnsi="仿宋" w:eastAsia="仿宋" w:cs="仿宋_GB2312"/>
          <w:kern w:val="0"/>
          <w:sz w:val="32"/>
          <w:szCs w:val="32"/>
          <w:lang w:val="en-US" w:eastAsia="zh-CN"/>
        </w:rPr>
        <w:t>2.</w:t>
      </w:r>
      <w:r>
        <w:rPr>
          <w:rFonts w:hint="eastAsia" w:ascii="仿宋" w:hAnsi="仿宋" w:eastAsia="仿宋" w:cs="仿宋_GB2312"/>
          <w:kern w:val="0"/>
          <w:sz w:val="32"/>
          <w:szCs w:val="32"/>
        </w:rPr>
        <w:t>社会保障和就业支出</w:t>
      </w: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lang w:val="en-US" w:eastAsia="zh-CN"/>
        </w:rPr>
        <w:t>208类）12.01万元</w:t>
      </w:r>
      <w:r>
        <w:rPr>
          <w:rFonts w:hint="eastAsia" w:ascii="仿宋" w:hAnsi="仿宋" w:eastAsia="仿宋" w:cs="仿宋_GB2312"/>
          <w:kern w:val="0"/>
          <w:sz w:val="32"/>
          <w:szCs w:val="32"/>
        </w:rPr>
        <w:t xml:space="preserve"> </w:t>
      </w: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rPr>
        <w:t>主要用于按国家规定发放行政事业单位单位基本养老保险的等方面的支出，较20</w:t>
      </w:r>
      <w:r>
        <w:rPr>
          <w:rFonts w:hint="eastAsia" w:ascii="仿宋" w:hAnsi="仿宋" w:eastAsia="仿宋" w:cs="仿宋_GB2312"/>
          <w:kern w:val="0"/>
          <w:sz w:val="32"/>
          <w:szCs w:val="32"/>
          <w:lang w:val="en-US" w:eastAsia="zh-CN"/>
        </w:rPr>
        <w:t>21</w:t>
      </w:r>
      <w:r>
        <w:rPr>
          <w:rFonts w:hint="eastAsia" w:ascii="仿宋" w:hAnsi="仿宋" w:eastAsia="仿宋" w:cs="仿宋_GB2312"/>
          <w:kern w:val="0"/>
          <w:sz w:val="32"/>
          <w:szCs w:val="32"/>
        </w:rPr>
        <w:t>年度决算数</w:t>
      </w:r>
      <w:r>
        <w:rPr>
          <w:rFonts w:hint="eastAsia" w:ascii="仿宋" w:hAnsi="仿宋" w:eastAsia="仿宋" w:cs="仿宋_GB2312"/>
          <w:kern w:val="0"/>
          <w:sz w:val="32"/>
          <w:szCs w:val="32"/>
          <w:lang w:val="en-US" w:eastAsia="zh-CN"/>
        </w:rPr>
        <w:t>增加2.13</w:t>
      </w:r>
      <w:r>
        <w:rPr>
          <w:rFonts w:hint="eastAsia" w:ascii="仿宋" w:hAnsi="仿宋" w:eastAsia="仿宋" w:cs="仿宋_GB2312"/>
          <w:kern w:val="0"/>
          <w:sz w:val="32"/>
          <w:szCs w:val="32"/>
        </w:rPr>
        <w:t>万元，</w:t>
      </w:r>
      <w:r>
        <w:rPr>
          <w:rFonts w:hint="eastAsia" w:ascii="仿宋" w:hAnsi="仿宋" w:eastAsia="仿宋" w:cs="仿宋_GB2312"/>
          <w:kern w:val="0"/>
          <w:sz w:val="32"/>
          <w:szCs w:val="32"/>
          <w:lang w:val="en-US" w:eastAsia="zh-CN"/>
        </w:rPr>
        <w:t>增长21.56</w:t>
      </w:r>
      <w:r>
        <w:rPr>
          <w:rFonts w:hint="eastAsia" w:ascii="仿宋" w:hAnsi="仿宋" w:eastAsia="仿宋" w:cs="仿宋_GB2312"/>
          <w:kern w:val="0"/>
          <w:sz w:val="32"/>
          <w:szCs w:val="32"/>
        </w:rPr>
        <w:t>%，主要原因是</w:t>
      </w:r>
      <w:r>
        <w:rPr>
          <w:rFonts w:hint="eastAsia" w:ascii="仿宋" w:hAnsi="仿宋" w:eastAsia="仿宋" w:cs="仿宋_GB2312"/>
          <w:kern w:val="0"/>
          <w:sz w:val="32"/>
          <w:szCs w:val="32"/>
          <w:lang w:val="en-US" w:eastAsia="zh-CN"/>
        </w:rPr>
        <w:t>基数调整</w:t>
      </w:r>
      <w:r>
        <w:rPr>
          <w:rFonts w:hint="eastAsia" w:ascii="仿宋" w:hAnsi="仿宋" w:eastAsia="仿宋" w:cs="仿宋_GB2312"/>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_GB2312"/>
          <w:kern w:val="0"/>
          <w:sz w:val="32"/>
          <w:szCs w:val="32"/>
          <w:lang w:val="en-US" w:eastAsia="zh-CN"/>
        </w:rPr>
        <w:t>3</w:t>
      </w:r>
      <w:r>
        <w:rPr>
          <w:rFonts w:hint="eastAsia" w:ascii="仿宋" w:hAnsi="仿宋" w:eastAsia="仿宋" w:cs="仿宋_GB2312"/>
          <w:kern w:val="0"/>
          <w:sz w:val="32"/>
          <w:szCs w:val="32"/>
        </w:rPr>
        <w:t>.农林水支出</w:t>
      </w: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lang w:val="en-US" w:eastAsia="zh-CN"/>
        </w:rPr>
        <w:t>213类）564.33万元</w:t>
      </w:r>
      <w:r>
        <w:rPr>
          <w:rFonts w:hint="eastAsia" w:ascii="仿宋" w:hAnsi="仿宋" w:eastAsia="仿宋" w:cs="仿宋_GB2312"/>
          <w:kern w:val="0"/>
          <w:sz w:val="32"/>
          <w:szCs w:val="32"/>
        </w:rPr>
        <w:t>，</w:t>
      </w:r>
      <w:r>
        <w:rPr>
          <w:rFonts w:hint="eastAsia" w:ascii="仿宋" w:hAnsi="仿宋" w:eastAsia="仿宋" w:cs="仿宋_GB2312"/>
          <w:kern w:val="0"/>
          <w:sz w:val="32"/>
          <w:szCs w:val="32"/>
          <w:lang w:val="en-US" w:eastAsia="zh-CN"/>
        </w:rPr>
        <w:t>主要用于</w:t>
      </w:r>
      <w:r>
        <w:rPr>
          <w:rFonts w:hint="eastAsia" w:ascii="仿宋" w:hAnsi="仿宋" w:eastAsia="仿宋" w:cs="仿宋"/>
          <w:bCs/>
          <w:color w:val="333333"/>
          <w:sz w:val="32"/>
          <w:szCs w:val="32"/>
          <w:shd w:val="clear" w:color="auto" w:fill="FFFFFF"/>
          <w:lang w:val="en-US" w:eastAsia="zh-CN"/>
        </w:rPr>
        <w:t>为</w:t>
      </w:r>
      <w:r>
        <w:rPr>
          <w:rFonts w:hint="eastAsia" w:ascii="仿宋" w:hAnsi="仿宋" w:eastAsia="仿宋" w:cs="仿宋"/>
          <w:bCs/>
          <w:color w:val="333333"/>
          <w:sz w:val="32"/>
          <w:szCs w:val="32"/>
          <w:shd w:val="clear" w:color="auto" w:fill="FFFFFF"/>
        </w:rPr>
        <w:t>确保</w:t>
      </w:r>
      <w:r>
        <w:rPr>
          <w:rFonts w:hint="eastAsia" w:ascii="仿宋" w:hAnsi="仿宋" w:eastAsia="仿宋" w:cs="仿宋"/>
          <w:kern w:val="0"/>
          <w:sz w:val="32"/>
          <w:szCs w:val="32"/>
        </w:rPr>
        <w:t>日常运转发生的基本支出</w:t>
      </w:r>
      <w:r>
        <w:rPr>
          <w:rFonts w:hint="eastAsia" w:ascii="仿宋" w:hAnsi="仿宋" w:eastAsia="仿宋" w:cs="仿宋"/>
          <w:kern w:val="0"/>
          <w:sz w:val="32"/>
          <w:szCs w:val="32"/>
          <w:lang w:val="en-US" w:eastAsia="zh-CN"/>
        </w:rPr>
        <w:t>及农业生产发展、农村合作经济和其他巩固脱贫衔接乡村振兴支出。</w:t>
      </w:r>
      <w:r>
        <w:rPr>
          <w:rFonts w:hint="eastAsia" w:ascii="仿宋" w:hAnsi="仿宋" w:eastAsia="仿宋" w:cs="仿宋_GB2312"/>
          <w:kern w:val="0"/>
          <w:sz w:val="32"/>
          <w:szCs w:val="32"/>
          <w:lang w:val="en-US" w:eastAsia="zh-CN"/>
        </w:rPr>
        <w:t>较2021年增加258.84</w:t>
      </w:r>
      <w:r>
        <w:rPr>
          <w:rFonts w:hint="eastAsia" w:ascii="仿宋" w:hAnsi="仿宋" w:eastAsia="仿宋" w:cs="仿宋_GB2312"/>
          <w:kern w:val="0"/>
          <w:sz w:val="32"/>
          <w:szCs w:val="32"/>
        </w:rPr>
        <w:t>万元，同比</w:t>
      </w:r>
      <w:r>
        <w:rPr>
          <w:rFonts w:hint="eastAsia" w:ascii="仿宋" w:hAnsi="仿宋" w:eastAsia="仿宋" w:cs="仿宋_GB2312"/>
          <w:kern w:val="0"/>
          <w:sz w:val="32"/>
          <w:szCs w:val="32"/>
          <w:lang w:val="en-US" w:eastAsia="zh-CN"/>
        </w:rPr>
        <w:t>增长84.73</w:t>
      </w:r>
      <w:r>
        <w:rPr>
          <w:rFonts w:hint="eastAsia" w:ascii="仿宋" w:hAnsi="仿宋" w:eastAsia="仿宋" w:cs="仿宋_GB2312"/>
          <w:kern w:val="0"/>
          <w:sz w:val="32"/>
          <w:szCs w:val="32"/>
        </w:rPr>
        <w:t>%，</w:t>
      </w:r>
      <w:r>
        <w:rPr>
          <w:rFonts w:hint="eastAsia" w:ascii="仿宋" w:hAnsi="仿宋" w:eastAsia="仿宋" w:cs="仿宋_GB2312"/>
          <w:kern w:val="0"/>
          <w:sz w:val="32"/>
          <w:szCs w:val="32"/>
          <w:lang w:val="en-US" w:eastAsia="zh-CN"/>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财政追加拨款用于农村土地承包管理的工作经费及上级补助资金支出。</w:t>
      </w:r>
    </w:p>
    <w:p>
      <w:pPr>
        <w:keepNext w:val="0"/>
        <w:keepLines w:val="0"/>
        <w:pageBreakBefore w:val="0"/>
        <w:kinsoku/>
        <w:wordWrap/>
        <w:overflowPunct/>
        <w:topLinePunct w:val="0"/>
        <w:autoSpaceDE w:val="0"/>
        <w:autoSpaceDN w:val="0"/>
        <w:bidi w:val="0"/>
        <w:adjustRightInd w:val="0"/>
        <w:spacing w:line="560" w:lineRule="exact"/>
        <w:ind w:firstLine="640" w:firstLineChars="200"/>
        <w:jc w:val="both"/>
        <w:textAlignment w:val="auto"/>
        <w:rPr>
          <w:rFonts w:hint="eastAsia" w:ascii="仿宋" w:hAnsi="仿宋" w:eastAsia="仿宋" w:cs="仿宋_GB2312"/>
          <w:kern w:val="0"/>
          <w:sz w:val="32"/>
          <w:szCs w:val="32"/>
        </w:rPr>
      </w:pPr>
      <w:r>
        <w:rPr>
          <w:rFonts w:hint="eastAsia" w:ascii="仿宋" w:hAnsi="仿宋" w:eastAsia="仿宋" w:cs="仿宋_GB2312"/>
          <w:kern w:val="0"/>
          <w:sz w:val="32"/>
          <w:szCs w:val="32"/>
          <w:lang w:val="en-US" w:eastAsia="zh-CN"/>
        </w:rPr>
        <w:t>4</w:t>
      </w:r>
      <w:r>
        <w:rPr>
          <w:rFonts w:hint="eastAsia" w:ascii="仿宋" w:hAnsi="仿宋" w:eastAsia="仿宋" w:cs="仿宋_GB2312"/>
          <w:kern w:val="0"/>
          <w:sz w:val="32"/>
          <w:szCs w:val="32"/>
        </w:rPr>
        <w:t>.住房保障支出</w:t>
      </w: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lang w:val="en-US" w:eastAsia="zh-CN"/>
        </w:rPr>
        <w:t>221类）7.83万元</w:t>
      </w: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rPr>
        <w:t>主要用于按照国家政策规定向职工发放的住房公积金、提租补贴、购房补贴等住房改革方面的支出。较20</w:t>
      </w:r>
      <w:r>
        <w:rPr>
          <w:rFonts w:hint="eastAsia" w:ascii="仿宋" w:hAnsi="仿宋" w:eastAsia="仿宋" w:cs="仿宋_GB2312"/>
          <w:kern w:val="0"/>
          <w:sz w:val="32"/>
          <w:szCs w:val="32"/>
          <w:lang w:val="en-US" w:eastAsia="zh-CN"/>
        </w:rPr>
        <w:t>21</w:t>
      </w:r>
      <w:r>
        <w:rPr>
          <w:rFonts w:hint="eastAsia" w:ascii="仿宋" w:hAnsi="仿宋" w:eastAsia="仿宋" w:cs="仿宋_GB2312"/>
          <w:kern w:val="0"/>
          <w:sz w:val="32"/>
          <w:szCs w:val="32"/>
        </w:rPr>
        <w:t>年度决算数</w:t>
      </w:r>
      <w:r>
        <w:rPr>
          <w:rFonts w:hint="eastAsia" w:ascii="仿宋" w:hAnsi="仿宋" w:eastAsia="仿宋" w:cs="仿宋_GB2312"/>
          <w:kern w:val="0"/>
          <w:sz w:val="32"/>
          <w:szCs w:val="32"/>
          <w:lang w:val="en-US" w:eastAsia="zh-CN"/>
        </w:rPr>
        <w:t>减少0.55</w:t>
      </w:r>
      <w:r>
        <w:rPr>
          <w:rFonts w:hint="eastAsia" w:ascii="仿宋" w:hAnsi="仿宋" w:eastAsia="仿宋" w:cs="仿宋_GB2312"/>
          <w:kern w:val="0"/>
          <w:sz w:val="32"/>
          <w:szCs w:val="32"/>
        </w:rPr>
        <w:t>万元，</w:t>
      </w:r>
      <w:r>
        <w:rPr>
          <w:rFonts w:hint="eastAsia" w:ascii="仿宋_GB2312" w:hAnsi="黑体" w:eastAsia="仿宋_GB2312" w:cs="仿宋_GB2312"/>
          <w:kern w:val="0"/>
          <w:sz w:val="32"/>
          <w:szCs w:val="32"/>
        </w:rPr>
        <w:t>下降</w:t>
      </w:r>
      <w:r>
        <w:rPr>
          <w:rFonts w:hint="eastAsia" w:ascii="仿宋_GB2312" w:hAnsi="黑体" w:eastAsia="仿宋_GB2312" w:cs="仿宋_GB2312"/>
          <w:kern w:val="0"/>
          <w:sz w:val="32"/>
          <w:szCs w:val="32"/>
          <w:lang w:val="en-US" w:eastAsia="zh-CN"/>
        </w:rPr>
        <w:t>6.56</w:t>
      </w:r>
      <w:r>
        <w:rPr>
          <w:rFonts w:hint="eastAsia" w:ascii="仿宋_GB2312" w:hAnsi="黑体" w:eastAsia="仿宋_GB2312" w:cs="仿宋_GB2312"/>
          <w:kern w:val="0"/>
          <w:sz w:val="32"/>
          <w:szCs w:val="32"/>
        </w:rPr>
        <w:t>%</w:t>
      </w:r>
      <w:r>
        <w:rPr>
          <w:rFonts w:hint="eastAsia" w:ascii="仿宋" w:hAnsi="仿宋" w:eastAsia="仿宋" w:cs="仿宋_GB2312"/>
          <w:kern w:val="0"/>
          <w:sz w:val="32"/>
          <w:szCs w:val="32"/>
        </w:rPr>
        <w:t>，主要原因是</w:t>
      </w:r>
      <w:r>
        <w:rPr>
          <w:rFonts w:hint="eastAsia" w:ascii="仿宋" w:hAnsi="仿宋" w:eastAsia="仿宋" w:cs="仿宋_GB2312"/>
          <w:kern w:val="0"/>
          <w:sz w:val="32"/>
          <w:szCs w:val="32"/>
          <w:lang w:val="en-US" w:eastAsia="zh-CN"/>
        </w:rPr>
        <w:t>基数调整</w:t>
      </w:r>
      <w:r>
        <w:rPr>
          <w:rFonts w:hint="eastAsia" w:ascii="仿宋" w:hAnsi="仿宋" w:eastAsia="仿宋" w:cs="仿宋_GB2312"/>
          <w:kern w:val="0"/>
          <w:sz w:val="32"/>
          <w:szCs w:val="32"/>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cs="仿宋_GB2312"/>
          <w:kern w:val="0"/>
          <w:sz w:val="32"/>
          <w:szCs w:val="32"/>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5.</w:t>
      </w:r>
      <w:r>
        <w:rPr>
          <w:rFonts w:hint="eastAsia" w:ascii="仿宋" w:hAnsi="仿宋" w:eastAsia="仿宋" w:cs="仿宋"/>
          <w:kern w:val="0"/>
          <w:sz w:val="32"/>
          <w:szCs w:val="32"/>
        </w:rPr>
        <w:t>其他支出</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229类）17.63万元</w:t>
      </w:r>
      <w:r>
        <w:rPr>
          <w:rFonts w:hint="eastAsia" w:ascii="仿宋" w:hAnsi="仿宋" w:eastAsia="仿宋" w:cs="仿宋"/>
          <w:kern w:val="0"/>
          <w:sz w:val="32"/>
          <w:szCs w:val="32"/>
        </w:rPr>
        <w:t>，为按自治县规定评定的</w:t>
      </w:r>
      <w:r>
        <w:rPr>
          <w:rFonts w:hint="eastAsia" w:ascii="仿宋" w:hAnsi="仿宋" w:eastAsia="仿宋" w:cs="仿宋"/>
          <w:color w:val="333333"/>
          <w:sz w:val="31"/>
          <w:szCs w:val="31"/>
          <w:shd w:val="clear" w:color="auto" w:fill="FFFFFF"/>
        </w:rPr>
        <w:t>绩效考评奖、伙食补助</w:t>
      </w:r>
      <w:r>
        <w:rPr>
          <w:rFonts w:hint="eastAsia" w:ascii="仿宋" w:hAnsi="仿宋" w:eastAsia="仿宋" w:cs="仿宋"/>
          <w:kern w:val="0"/>
          <w:sz w:val="32"/>
          <w:szCs w:val="32"/>
        </w:rPr>
        <w:t>等支出。较20</w:t>
      </w:r>
      <w:r>
        <w:rPr>
          <w:rFonts w:hint="eastAsia" w:ascii="仿宋" w:hAnsi="仿宋" w:eastAsia="仿宋" w:cs="仿宋"/>
          <w:kern w:val="0"/>
          <w:sz w:val="32"/>
          <w:szCs w:val="32"/>
          <w:lang w:val="en-US" w:eastAsia="zh-CN"/>
        </w:rPr>
        <w:t>21</w:t>
      </w:r>
      <w:r>
        <w:rPr>
          <w:rFonts w:hint="eastAsia" w:ascii="仿宋" w:hAnsi="仿宋" w:eastAsia="仿宋" w:cs="仿宋"/>
          <w:kern w:val="0"/>
          <w:sz w:val="32"/>
          <w:szCs w:val="32"/>
        </w:rPr>
        <w:t>年度决算数</w:t>
      </w:r>
      <w:r>
        <w:rPr>
          <w:rFonts w:hint="eastAsia" w:ascii="仿宋" w:hAnsi="仿宋" w:eastAsia="仿宋" w:cs="仿宋"/>
          <w:kern w:val="0"/>
          <w:sz w:val="32"/>
          <w:szCs w:val="32"/>
          <w:lang w:val="en-US" w:eastAsia="zh-CN"/>
        </w:rPr>
        <w:t>减少11.29</w:t>
      </w:r>
      <w:r>
        <w:rPr>
          <w:rFonts w:hint="eastAsia" w:ascii="仿宋" w:hAnsi="仿宋" w:eastAsia="仿宋" w:cs="仿宋"/>
          <w:kern w:val="0"/>
          <w:sz w:val="32"/>
          <w:szCs w:val="32"/>
        </w:rPr>
        <w:t>万元，</w:t>
      </w:r>
      <w:r>
        <w:rPr>
          <w:rFonts w:hint="eastAsia" w:ascii="仿宋" w:hAnsi="仿宋" w:eastAsia="仿宋" w:cs="仿宋"/>
          <w:kern w:val="0"/>
          <w:sz w:val="32"/>
          <w:szCs w:val="32"/>
          <w:lang w:val="en-US" w:eastAsia="zh-CN"/>
        </w:rPr>
        <w:t>下降39.04</w:t>
      </w:r>
      <w:r>
        <w:rPr>
          <w:rFonts w:hint="eastAsia" w:ascii="仿宋" w:hAnsi="仿宋" w:eastAsia="仿宋" w:cs="仿宋"/>
          <w:kern w:val="0"/>
          <w:sz w:val="32"/>
          <w:szCs w:val="32"/>
        </w:rPr>
        <w:t>%，主要原因是</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人员变动导致绩效考评奖支出减少</w:t>
      </w:r>
      <w:r>
        <w:rPr>
          <w:rFonts w:hint="eastAsia" w:ascii="仿宋" w:hAnsi="仿宋" w:eastAsia="仿宋" w:cs="仿宋"/>
          <w:kern w:val="0"/>
          <w:sz w:val="32"/>
          <w:szCs w:val="32"/>
        </w:rPr>
        <w:t>。</w:t>
      </w:r>
    </w:p>
    <w:p>
      <w:pPr>
        <w:keepNext w:val="0"/>
        <w:keepLines w:val="0"/>
        <w:widowControl w:val="0"/>
        <w:suppressLineNumbers w:val="0"/>
        <w:spacing w:before="0" w:beforeAutospacing="0" w:after="0" w:afterAutospacing="0"/>
        <w:ind w:left="0" w:right="0" w:firstLine="620" w:firstLineChars="200"/>
        <w:jc w:val="left"/>
        <w:rPr>
          <w:rFonts w:hint="default" w:ascii="仿宋" w:hAnsi="仿宋" w:eastAsia="仿宋_GB2312" w:cs="仿宋"/>
          <w:sz w:val="32"/>
          <w:szCs w:val="32"/>
          <w:highlight w:val="none"/>
          <w:lang w:val="en-US"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：本年无结余分配。</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ascii="仿宋" w:hAnsi="仿宋" w:eastAsia="仿宋" w:cs="仿宋"/>
          <w:sz w:val="32"/>
          <w:u w:color="auto"/>
        </w:rPr>
        <w:t>增长1</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主要原因是：本年无结转和结余。</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42460" cy="2451100"/>
            <wp:effectExtent l="4445" t="4445" r="10795"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二、2022 年度</w:t>
      </w:r>
      <w:bookmarkStart w:id="0" w:name="OLE_LINK1"/>
      <w:r>
        <w:rPr>
          <w:rFonts w:hint="eastAsia" w:ascii="黑体" w:hAnsi="黑体" w:eastAsia="黑体" w:cs="黑体"/>
          <w:sz w:val="32"/>
          <w:szCs w:val="32"/>
          <w:highlight w:val="none"/>
        </w:rPr>
        <w:t>一般公共预算财政拨款支出决算情况</w:t>
      </w:r>
      <w:bookmarkEnd w:id="0"/>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u w:color="auto"/>
          <w:lang w:val="en-US" w:eastAsia="zh-CN"/>
        </w:rPr>
        <w:t>606.07</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增加252.59</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增长71.45</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128.89</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477.18</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2022 年度一般公共预算财政拨款支出年初预算为</w:t>
      </w:r>
      <w:r>
        <w:rPr>
          <w:rFonts w:hint="eastAsia" w:ascii="仿宋" w:hAnsi="仿宋" w:eastAsia="仿宋" w:cs="仿宋"/>
          <w:sz w:val="32"/>
          <w:u w:color="auto"/>
          <w:lang w:val="en-US" w:eastAsia="zh-CN"/>
        </w:rPr>
        <w:t>114.78</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606.07</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528.03</w:t>
      </w:r>
      <w:r>
        <w:rPr>
          <w:rFonts w:ascii="仿宋" w:hAnsi="仿宋" w:eastAsia="仿宋" w:cs="仿宋"/>
          <w:sz w:val="32"/>
          <w:u w:color="auto"/>
        </w:rPr>
        <w:t>%</w:t>
      </w:r>
      <w:r>
        <w:rPr>
          <w:rFonts w:hint="eastAsia" w:ascii="仿宋" w:hAnsi="仿宋" w:eastAsia="仿宋" w:cs="仿宋"/>
          <w:sz w:val="32"/>
          <w:szCs w:val="32"/>
          <w:highlight w:val="none"/>
        </w:rPr>
        <w:t>。</w:t>
      </w:r>
    </w:p>
    <w:p>
      <w:pPr>
        <w:keepNext w:val="0"/>
        <w:keepLines w:val="0"/>
        <w:pageBreakBefore w:val="0"/>
        <w:kinsoku/>
        <w:wordWrap/>
        <w:overflowPunct/>
        <w:topLinePunct w:val="0"/>
        <w:autoSpaceDE w:val="0"/>
        <w:autoSpaceDN w:val="0"/>
        <w:bidi w:val="0"/>
        <w:adjustRightInd w:val="0"/>
        <w:spacing w:line="60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一）</w:t>
      </w:r>
      <w:r>
        <w:rPr>
          <w:rFonts w:hint="eastAsia" w:ascii="仿宋" w:hAnsi="仿宋" w:eastAsia="仿宋" w:cs="仿宋"/>
          <w:bCs/>
          <w:kern w:val="0"/>
          <w:sz w:val="32"/>
          <w:szCs w:val="32"/>
          <w:lang w:val="en-US" w:eastAsia="zh-CN"/>
        </w:rPr>
        <w:t>一</w:t>
      </w:r>
      <w:r>
        <w:rPr>
          <w:rFonts w:hint="eastAsia" w:ascii="仿宋" w:hAnsi="仿宋" w:eastAsia="仿宋" w:cs="仿宋"/>
          <w:sz w:val="32"/>
          <w:szCs w:val="32"/>
          <w:lang w:val="en-US" w:eastAsia="zh-CN"/>
        </w:rPr>
        <w:t>般公共服务支出（201类）年初预算为1.46万元，支出决算4.26万元，完成年初预算的291.78%，预决算差异原因主要是用于其他工资福利支出的行政运行年初无预算。</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403"/>
        <w:gridCol w:w="855"/>
        <w:gridCol w:w="705"/>
        <w:gridCol w:w="1200"/>
        <w:gridCol w:w="159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40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8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70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2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59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40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8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1.46</w:t>
            </w:r>
          </w:p>
        </w:tc>
        <w:tc>
          <w:tcPr>
            <w:tcW w:w="70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1.46</w:t>
            </w:r>
          </w:p>
        </w:tc>
        <w:tc>
          <w:tcPr>
            <w:tcW w:w="12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59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lang w:val="en-US" w:eastAsia="zh-CN"/>
              </w:rPr>
              <w:t>职工工会经费单位部分支出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Theme="minorEastAsia" w:hAnsiTheme="minorEastAsia" w:eastAsiaTheme="minorEastAsia" w:cstheme="minorEastAsia"/>
                <w:sz w:val="21"/>
                <w:szCs w:val="21"/>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2013601</w:t>
            </w:r>
          </w:p>
        </w:tc>
        <w:tc>
          <w:tcPr>
            <w:tcW w:w="140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 xml:space="preserve">  行政运行</w:t>
            </w:r>
          </w:p>
        </w:tc>
        <w:tc>
          <w:tcPr>
            <w:tcW w:w="8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70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2.80</w:t>
            </w:r>
          </w:p>
        </w:tc>
        <w:tc>
          <w:tcPr>
            <w:tcW w:w="12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59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其他工资福利支出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年初无预算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40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p>
        </w:tc>
        <w:tc>
          <w:tcPr>
            <w:tcW w:w="8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1.46</w:t>
            </w:r>
          </w:p>
        </w:tc>
        <w:tc>
          <w:tcPr>
            <w:tcW w:w="70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4.26</w:t>
            </w:r>
          </w:p>
        </w:tc>
        <w:tc>
          <w:tcPr>
            <w:tcW w:w="12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59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293870" cy="2016125"/>
            <wp:effectExtent l="4445" t="4445" r="6985" b="17780"/>
            <wp:docPr id="1"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kinsoku/>
        <w:wordWrap/>
        <w:overflowPunct/>
        <w:topLinePunct w:val="0"/>
        <w:autoSpaceDE w:val="0"/>
        <w:autoSpaceDN w:val="0"/>
        <w:bidi w:val="0"/>
        <w:adjustRightInd w:val="0"/>
        <w:spacing w:line="600" w:lineRule="exact"/>
        <w:ind w:firstLine="640" w:firstLineChars="200"/>
        <w:jc w:val="both"/>
        <w:textAlignment w:val="auto"/>
        <w:rPr>
          <w:rFonts w:ascii="仿宋" w:hAnsi="仿宋" w:eastAsia="仿宋" w:cs="仿宋"/>
          <w:bCs/>
          <w:kern w:val="0"/>
          <w:sz w:val="32"/>
          <w:szCs w:val="32"/>
        </w:rPr>
      </w:pPr>
      <w:r>
        <w:rPr>
          <w:rFonts w:hint="eastAsia" w:ascii="仿宋" w:hAnsi="仿宋" w:eastAsia="仿宋" w:cs="仿宋"/>
          <w:bCs/>
          <w:kern w:val="0"/>
          <w:sz w:val="32"/>
          <w:szCs w:val="32"/>
          <w:lang w:val="en-US" w:eastAsia="zh-CN"/>
        </w:rPr>
        <w:t>（二）</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cs="仿宋"/>
          <w:bCs/>
          <w:kern w:val="0"/>
          <w:sz w:val="32"/>
          <w:szCs w:val="32"/>
          <w:lang w:val="en-US" w:eastAsia="zh-CN"/>
        </w:rPr>
        <w:t>12.41万元</w:t>
      </w:r>
      <w:r>
        <w:rPr>
          <w:rFonts w:hint="eastAsia" w:ascii="仿宋" w:hAnsi="仿宋" w:eastAsia="仿宋" w:cs="仿宋"/>
          <w:bCs/>
          <w:kern w:val="0"/>
          <w:sz w:val="32"/>
          <w:szCs w:val="32"/>
        </w:rPr>
        <w:t>，支出决算为</w:t>
      </w:r>
      <w:r>
        <w:rPr>
          <w:rFonts w:hint="eastAsia" w:ascii="仿宋" w:hAnsi="仿宋" w:eastAsia="仿宋" w:cs="仿宋"/>
          <w:bCs/>
          <w:kern w:val="0"/>
          <w:sz w:val="32"/>
          <w:szCs w:val="32"/>
          <w:lang w:val="en-US" w:eastAsia="zh-CN"/>
        </w:rPr>
        <w:t>12.01</w:t>
      </w:r>
      <w:r>
        <w:rPr>
          <w:rFonts w:hint="eastAsia" w:ascii="仿宋" w:hAnsi="仿宋" w:eastAsia="仿宋" w:cs="仿宋"/>
          <w:bCs/>
          <w:kern w:val="0"/>
          <w:sz w:val="32"/>
          <w:szCs w:val="32"/>
        </w:rPr>
        <w:t>万元，完成年初预算的</w:t>
      </w:r>
      <w:r>
        <w:rPr>
          <w:rFonts w:hint="eastAsia" w:ascii="仿宋" w:hAnsi="仿宋" w:eastAsia="仿宋" w:cs="仿宋"/>
          <w:bCs/>
          <w:kern w:val="0"/>
          <w:sz w:val="32"/>
          <w:szCs w:val="32"/>
          <w:lang w:val="en-US" w:eastAsia="zh-CN"/>
        </w:rPr>
        <w:t>96.78</w:t>
      </w:r>
      <w:r>
        <w:rPr>
          <w:rFonts w:hint="eastAsia" w:ascii="仿宋" w:hAnsi="仿宋" w:eastAsia="仿宋" w:cs="仿宋"/>
          <w:bCs/>
          <w:kern w:val="0"/>
          <w:sz w:val="32"/>
          <w:szCs w:val="32"/>
        </w:rPr>
        <w:t>%。</w:t>
      </w:r>
      <w:r>
        <w:rPr>
          <w:rFonts w:hint="eastAsia" w:ascii="仿宋" w:hAnsi="仿宋" w:eastAsia="仿宋" w:cs="仿宋"/>
          <w:bCs/>
          <w:kern w:val="0"/>
          <w:sz w:val="32"/>
          <w:szCs w:val="32"/>
          <w:lang w:val="en-US" w:eastAsia="zh-CN"/>
        </w:rPr>
        <w:t>预决算差异</w:t>
      </w:r>
      <w:r>
        <w:rPr>
          <w:rFonts w:hint="eastAsia" w:ascii="仿宋" w:hAnsi="仿宋" w:eastAsia="仿宋" w:cs="仿宋_GB2312"/>
          <w:kern w:val="0"/>
          <w:sz w:val="32"/>
          <w:szCs w:val="32"/>
        </w:rPr>
        <w:t>原因是</w:t>
      </w:r>
      <w:r>
        <w:rPr>
          <w:rFonts w:hint="eastAsia" w:ascii="仿宋" w:hAnsi="仿宋" w:eastAsia="仿宋" w:cs="仿宋_GB2312"/>
          <w:kern w:val="0"/>
          <w:sz w:val="32"/>
          <w:szCs w:val="32"/>
          <w:lang w:val="en-US" w:eastAsia="zh-CN"/>
        </w:rPr>
        <w:t>年内有人员退休</w:t>
      </w:r>
      <w:r>
        <w:rPr>
          <w:rFonts w:hint="eastAsia" w:ascii="仿宋" w:hAnsi="仿宋" w:eastAsia="仿宋" w:cs="仿宋"/>
          <w:bCs/>
          <w:kern w:val="0"/>
          <w:sz w:val="32"/>
          <w:szCs w:val="32"/>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12.41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12.01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96.78%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bCs/>
                <w:color w:val="333333"/>
                <w:sz w:val="20"/>
                <w:szCs w:val="20"/>
                <w:shd w:val="clear" w:color="auto" w:fill="FFFFFF"/>
              </w:rPr>
              <w:t>机关事业单位基本养老保险缴费支出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bCs/>
                <w:kern w:val="0"/>
                <w:sz w:val="21"/>
                <w:szCs w:val="21"/>
                <w:lang w:val="en-US" w:eastAsia="zh-CN"/>
              </w:rPr>
              <w:t>人员退休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12.41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12.01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96.78%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kinsoku/>
        <w:wordWrap/>
        <w:overflowPunct/>
        <w:topLinePunct w:val="0"/>
        <w:autoSpaceDE w:val="0"/>
        <w:autoSpaceDN w:val="0"/>
        <w:bidi w:val="0"/>
        <w:adjustRightInd w:val="0"/>
        <w:spacing w:line="560" w:lineRule="exact"/>
        <w:ind w:firstLine="640" w:firstLineChars="200"/>
        <w:jc w:val="both"/>
        <w:textAlignment w:val="auto"/>
        <w:rPr>
          <w:rFonts w:ascii="仿宋_GB2312" w:eastAsia="仿宋_GB2312" w:cs="仿宋_GB2312"/>
          <w:kern w:val="0"/>
          <w:sz w:val="32"/>
          <w:szCs w:val="32"/>
        </w:rPr>
      </w:pPr>
      <w:bookmarkStart w:id="1" w:name="OLE_LINK2"/>
      <w:bookmarkEnd w:id="1"/>
      <w:r>
        <w:rPr>
          <w:rFonts w:hint="eastAsia" w:ascii="仿宋" w:hAnsi="仿宋" w:eastAsia="仿宋" w:cs="仿宋"/>
          <w:bCs/>
          <w:kern w:val="0"/>
          <w:sz w:val="32"/>
          <w:szCs w:val="32"/>
          <w:lang w:val="en-US" w:eastAsia="zh-CN"/>
        </w:rPr>
        <w:t>（三）农林水支出---</w:t>
      </w:r>
      <w:r>
        <w:rPr>
          <w:rFonts w:hint="eastAsia" w:ascii="仿宋" w:hAnsi="仿宋" w:eastAsia="仿宋" w:cs="仿宋"/>
          <w:bCs/>
          <w:kern w:val="0"/>
          <w:sz w:val="32"/>
          <w:szCs w:val="32"/>
        </w:rPr>
        <w:t>事业运行（</w:t>
      </w:r>
      <w:r>
        <w:rPr>
          <w:rFonts w:hint="eastAsia" w:ascii="仿宋" w:hAnsi="仿宋" w:eastAsia="仿宋" w:cs="仿宋"/>
          <w:bCs/>
          <w:kern w:val="0"/>
          <w:sz w:val="32"/>
          <w:szCs w:val="32"/>
          <w:lang w:val="en-US" w:eastAsia="zh-CN"/>
        </w:rPr>
        <w:t>213</w:t>
      </w:r>
      <w:r>
        <w:rPr>
          <w:rFonts w:hint="eastAsia" w:ascii="仿宋" w:hAnsi="仿宋" w:eastAsia="仿宋" w:cs="仿宋"/>
          <w:bCs/>
          <w:kern w:val="0"/>
          <w:sz w:val="32"/>
          <w:szCs w:val="32"/>
        </w:rPr>
        <w:t>项）支出年初预算为</w:t>
      </w:r>
      <w:r>
        <w:rPr>
          <w:rFonts w:hint="eastAsia" w:ascii="仿宋" w:hAnsi="仿宋" w:eastAsia="仿宋" w:cs="仿宋"/>
          <w:bCs/>
          <w:kern w:val="0"/>
          <w:sz w:val="32"/>
          <w:szCs w:val="32"/>
          <w:lang w:val="en-US" w:eastAsia="zh-CN"/>
        </w:rPr>
        <w:t>92.13万元</w:t>
      </w:r>
      <w:r>
        <w:rPr>
          <w:rFonts w:hint="eastAsia" w:ascii="仿宋" w:hAnsi="仿宋" w:eastAsia="仿宋" w:cs="仿宋"/>
          <w:bCs/>
          <w:kern w:val="0"/>
          <w:sz w:val="32"/>
          <w:szCs w:val="32"/>
        </w:rPr>
        <w:t>，支出决算为</w:t>
      </w:r>
      <w:r>
        <w:rPr>
          <w:rFonts w:hint="eastAsia" w:ascii="仿宋" w:hAnsi="仿宋" w:eastAsia="仿宋" w:cs="仿宋"/>
          <w:bCs/>
          <w:kern w:val="0"/>
          <w:sz w:val="32"/>
          <w:szCs w:val="32"/>
          <w:lang w:val="en-US" w:eastAsia="zh-CN"/>
        </w:rPr>
        <w:t>564.33万元</w:t>
      </w:r>
      <w:r>
        <w:rPr>
          <w:rFonts w:hint="eastAsia" w:ascii="仿宋" w:hAnsi="仿宋" w:eastAsia="仿宋" w:cs="仿宋"/>
          <w:bCs/>
          <w:kern w:val="0"/>
          <w:sz w:val="32"/>
          <w:szCs w:val="32"/>
        </w:rPr>
        <w:t>，完成年初预算的</w:t>
      </w:r>
      <w:r>
        <w:rPr>
          <w:rFonts w:hint="eastAsia" w:ascii="仿宋" w:hAnsi="仿宋" w:eastAsia="仿宋" w:cs="仿宋"/>
          <w:bCs/>
          <w:kern w:val="0"/>
          <w:sz w:val="32"/>
          <w:szCs w:val="32"/>
          <w:lang w:val="en-US" w:eastAsia="zh-CN"/>
        </w:rPr>
        <w:t>612.54</w:t>
      </w:r>
      <w:r>
        <w:rPr>
          <w:rFonts w:hint="eastAsia" w:ascii="仿宋" w:hAnsi="仿宋" w:eastAsia="仿宋" w:cs="仿宋"/>
          <w:bCs/>
          <w:kern w:val="0"/>
          <w:sz w:val="32"/>
          <w:szCs w:val="32"/>
        </w:rPr>
        <w:t xml:space="preserve"> %。</w:t>
      </w:r>
      <w:r>
        <w:rPr>
          <w:rFonts w:hint="eastAsia" w:ascii="仿宋" w:hAnsi="仿宋" w:eastAsia="仿宋" w:cs="仿宋"/>
          <w:bCs/>
          <w:kern w:val="0"/>
          <w:sz w:val="32"/>
          <w:szCs w:val="32"/>
          <w:lang w:val="en-US" w:eastAsia="zh-CN"/>
        </w:rPr>
        <w:t>预决算差异</w:t>
      </w:r>
      <w:r>
        <w:rPr>
          <w:rFonts w:hint="eastAsia" w:ascii="仿宋" w:hAnsi="仿宋" w:eastAsia="仿宋" w:cs="仿宋"/>
          <w:bCs/>
          <w:kern w:val="0"/>
          <w:sz w:val="32"/>
          <w:szCs w:val="32"/>
        </w:rPr>
        <w:t>主要</w:t>
      </w:r>
      <w:r>
        <w:rPr>
          <w:rFonts w:hint="eastAsia" w:ascii="仿宋" w:hAnsi="仿宋" w:eastAsia="仿宋" w:cs="仿宋"/>
          <w:bCs/>
          <w:kern w:val="0"/>
          <w:sz w:val="32"/>
          <w:szCs w:val="32"/>
          <w:lang w:val="en-US" w:eastAsia="zh-CN"/>
        </w:rPr>
        <w:t>原因是：上级专项补助资金年初无预算及财政增拨农村土地承包管理工作经费。</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800"/>
        <w:gridCol w:w="18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0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2130104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 xml:space="preserve"> 事业运行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92.13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415.63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614.54%</w:t>
            </w: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5"/>
                <w:szCs w:val="15"/>
                <w:highlight w:val="none"/>
                <w:lang w:val="en-US" w:eastAsia="zh-CN"/>
              </w:rPr>
            </w:pPr>
            <w:r>
              <w:rPr>
                <w:rFonts w:hint="eastAsia" w:asciiTheme="minorEastAsia" w:hAnsiTheme="minorEastAsia" w:eastAsiaTheme="minorEastAsia" w:cstheme="minorEastAsia"/>
                <w:kern w:val="0"/>
                <w:sz w:val="20"/>
                <w:szCs w:val="20"/>
              </w:rPr>
              <w:t>根据国家规定的基本工资和津补贴标准等安排的人员经费支出，确保移民局机关正常运转的办公费、印刷费、水电费、培训费、差旅费、会议费等日常公用经费支出</w:t>
            </w:r>
            <w:r>
              <w:rPr>
                <w:rFonts w:hint="eastAsia" w:asciiTheme="minorEastAsia" w:hAnsiTheme="minorEastAsia" w:cstheme="minorEastAsia"/>
                <w:kern w:val="0"/>
                <w:sz w:val="20"/>
                <w:szCs w:val="20"/>
                <w:lang w:val="en-US" w:eastAsia="zh-CN"/>
              </w:rPr>
              <w:t>及为开展土地承包管理所需要的运转经费支出等</w:t>
            </w:r>
            <w:r>
              <w:rPr>
                <w:rFonts w:hint="eastAsia" w:asciiTheme="minorEastAsia" w:hAnsiTheme="minorEastAsia" w:eastAsiaTheme="minorEastAsia" w:cstheme="minorEastAsia"/>
                <w:kern w:val="0"/>
                <w:sz w:val="20"/>
                <w:szCs w:val="20"/>
              </w:rPr>
              <w:t>。</w:t>
            </w:r>
          </w:p>
        </w:tc>
        <w:tc>
          <w:tcPr>
            <w:tcW w:w="180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FF0000"/>
                <w:sz w:val="15"/>
                <w:szCs w:val="15"/>
                <w:highlight w:val="none"/>
                <w:lang w:val="en-US" w:eastAsia="zh-CN"/>
              </w:rPr>
            </w:pPr>
            <w:r>
              <w:rPr>
                <w:rFonts w:hint="eastAsia" w:asciiTheme="minorEastAsia" w:hAnsiTheme="minorEastAsia" w:eastAsiaTheme="minorEastAsia" w:cstheme="minorEastAsia"/>
                <w:bCs/>
                <w:kern w:val="0"/>
                <w:sz w:val="21"/>
                <w:szCs w:val="21"/>
                <w:lang w:val="en-US" w:eastAsia="zh-CN"/>
              </w:rPr>
              <w:t>增拨农村土地承包管理工作经费年初无预算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2130122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农业生产发展</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61.00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FF0000"/>
                <w:sz w:val="21"/>
                <w:szCs w:val="21"/>
                <w:highlight w:val="none"/>
                <w:lang w:val="en-US" w:eastAsia="zh-CN"/>
              </w:rPr>
            </w:pPr>
            <w:r>
              <w:rPr>
                <w:rFonts w:hint="eastAsia" w:asciiTheme="minorEastAsia" w:hAnsiTheme="minorEastAsia" w:eastAsiaTheme="minorEastAsia" w:cstheme="minorEastAsia"/>
                <w:kern w:val="0"/>
                <w:sz w:val="18"/>
                <w:szCs w:val="18"/>
                <w:lang w:val="en-US" w:eastAsia="zh-CN"/>
              </w:rPr>
              <w:t>农业生产发展支出，如家庭农场、合作社、龙头企业</w:t>
            </w:r>
            <w:r>
              <w:rPr>
                <w:rFonts w:hint="eastAsia" w:asciiTheme="minorEastAsia" w:hAnsiTheme="minorEastAsia" w:eastAsiaTheme="minorEastAsia" w:cstheme="minorEastAsia"/>
                <w:kern w:val="0"/>
                <w:sz w:val="21"/>
                <w:szCs w:val="21"/>
                <w:lang w:val="en-US" w:eastAsia="zh-CN"/>
              </w:rPr>
              <w:t>等</w:t>
            </w:r>
          </w:p>
        </w:tc>
        <w:tc>
          <w:tcPr>
            <w:tcW w:w="180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FF0000"/>
                <w:sz w:val="18"/>
                <w:szCs w:val="18"/>
                <w:highlight w:val="none"/>
                <w:lang w:val="en-US" w:eastAsia="zh-CN"/>
              </w:rPr>
            </w:pPr>
            <w:r>
              <w:rPr>
                <w:rFonts w:hint="eastAsia" w:asciiTheme="minorEastAsia" w:hAnsiTheme="minorEastAsia" w:eastAsiaTheme="minorEastAsia" w:cstheme="minorEastAsia"/>
                <w:kern w:val="0"/>
                <w:sz w:val="21"/>
                <w:szCs w:val="21"/>
                <w:lang w:val="en-US" w:eastAsia="zh-CN"/>
              </w:rPr>
              <w:t>年初无预算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2130124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农村合作经济</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58.00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FF0000"/>
                <w:sz w:val="21"/>
                <w:szCs w:val="21"/>
                <w:highlight w:val="none"/>
                <w:lang w:val="en-US" w:eastAsia="zh-CN"/>
              </w:rPr>
            </w:pPr>
            <w:r>
              <w:rPr>
                <w:rFonts w:hint="eastAsia" w:asciiTheme="minorEastAsia" w:hAnsiTheme="minorEastAsia" w:eastAsiaTheme="minorEastAsia" w:cstheme="minorEastAsia"/>
                <w:kern w:val="0"/>
                <w:sz w:val="18"/>
                <w:szCs w:val="18"/>
                <w:lang w:val="en-US" w:eastAsia="zh-CN"/>
              </w:rPr>
              <w:t>农村合作经济支出，如：生态种养专业合作社等项目</w:t>
            </w:r>
          </w:p>
        </w:tc>
        <w:tc>
          <w:tcPr>
            <w:tcW w:w="180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FF0000"/>
                <w:sz w:val="18"/>
                <w:szCs w:val="18"/>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年初无预算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2130599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 xml:space="preserve">  其他巩固脱贫衔接乡村振兴支出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29.70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1"/>
                <w:szCs w:val="21"/>
                <w:highlight w:val="none"/>
                <w:lang w:val="en-US" w:eastAsia="zh-CN"/>
              </w:rPr>
            </w:pPr>
            <w:r>
              <w:rPr>
                <w:rFonts w:hint="eastAsia" w:asciiTheme="minorEastAsia" w:hAnsiTheme="minorEastAsia" w:eastAsiaTheme="minorEastAsia" w:cstheme="minorEastAsia"/>
                <w:kern w:val="0"/>
                <w:sz w:val="18"/>
                <w:szCs w:val="18"/>
                <w:lang w:val="en-US" w:eastAsia="zh-CN"/>
              </w:rPr>
              <w:t>印制农村股份经济合作社股权证经费</w:t>
            </w:r>
          </w:p>
        </w:tc>
        <w:tc>
          <w:tcPr>
            <w:tcW w:w="180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年初无预算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92.13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564.33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1"/>
                <w:szCs w:val="21"/>
                <w:highlight w:val="none"/>
                <w:lang w:val="en-US" w:eastAsia="zh-CN"/>
              </w:rPr>
            </w:pPr>
          </w:p>
        </w:tc>
        <w:tc>
          <w:tcPr>
            <w:tcW w:w="180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p>
        </w:tc>
      </w:tr>
    </w:tbl>
    <w:p>
      <w:pPr>
        <w:keepNext w:val="0"/>
        <w:keepLines w:val="0"/>
        <w:pageBreakBefore w:val="0"/>
        <w:kinsoku/>
        <w:wordWrap/>
        <w:overflowPunct/>
        <w:topLinePunct w:val="0"/>
        <w:autoSpaceDE w:val="0"/>
        <w:autoSpaceDN w:val="0"/>
        <w:bidi w:val="0"/>
        <w:adjustRightInd w:val="0"/>
        <w:spacing w:line="560" w:lineRule="exact"/>
        <w:jc w:val="both"/>
        <w:textAlignment w:val="auto"/>
        <w:rPr>
          <w:rFonts w:hint="eastAsia" w:ascii="仿宋" w:hAnsi="仿宋" w:eastAsia="仿宋" w:cs="仿宋"/>
          <w:bCs/>
          <w:kern w:val="0"/>
          <w:sz w:val="32"/>
          <w:szCs w:val="32"/>
          <w:lang w:val="en-US" w:eastAsia="zh-CN"/>
        </w:rPr>
      </w:pPr>
    </w:p>
    <w:p>
      <w:pPr>
        <w:jc w:val="center"/>
        <w:rPr>
          <w:rFonts w:hint="eastAsia" w:ascii="仿宋" w:hAnsi="仿宋" w:eastAsia="仿宋" w:cs="仿宋"/>
          <w:bCs/>
          <w:kern w:val="0"/>
          <w:sz w:val="32"/>
          <w:szCs w:val="32"/>
          <w:lang w:eastAsia="zh-CN"/>
        </w:rPr>
      </w:pPr>
      <w:r>
        <w:rPr>
          <w:rFonts w:hint="eastAsia" w:ascii="仿宋" w:hAnsi="仿宋" w:eastAsia="仿宋" w:cs="仿宋"/>
          <w:sz w:val="32"/>
          <w:szCs w:val="32"/>
          <w:highlight w:val="none"/>
        </w:rPr>
        <w:drawing>
          <wp:inline distT="0" distB="0" distL="114300" distR="114300">
            <wp:extent cx="4474845" cy="2997200"/>
            <wp:effectExtent l="5080" t="4445" r="15875" b="825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0"/>
        </w:numPr>
        <w:suppressLineNumbers w:val="0"/>
        <w:spacing w:before="0" w:beforeAutospacing="0" w:after="0" w:afterAutospacing="0"/>
        <w:ind w:leftChars="0" w:right="0" w:rightChars="0" w:firstLine="640" w:firstLineChars="200"/>
        <w:jc w:val="left"/>
        <w:rPr>
          <w:rFonts w:hint="eastAsia" w:ascii="仿宋" w:hAnsi="仿宋" w:eastAsia="仿宋" w:cs="仿宋"/>
          <w:bCs/>
          <w:kern w:val="0"/>
          <w:sz w:val="32"/>
          <w:szCs w:val="32"/>
        </w:rPr>
      </w:pP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lang w:val="en-US" w:eastAsia="zh-CN"/>
        </w:rPr>
        <w:t>四）</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w:t>
      </w:r>
      <w:r>
        <w:rPr>
          <w:rFonts w:hint="eastAsia" w:ascii="仿宋" w:hAnsi="仿宋" w:eastAsia="仿宋" w:cs="仿宋"/>
          <w:bCs/>
          <w:kern w:val="0"/>
          <w:sz w:val="32"/>
          <w:szCs w:val="32"/>
        </w:rPr>
        <w:t>年初预算为</w:t>
      </w:r>
      <w:r>
        <w:rPr>
          <w:rFonts w:hint="eastAsia" w:ascii="仿宋" w:hAnsi="仿宋" w:eastAsia="仿宋" w:cs="仿宋"/>
          <w:bCs/>
          <w:kern w:val="0"/>
          <w:sz w:val="32"/>
          <w:szCs w:val="32"/>
          <w:lang w:val="en-US" w:eastAsia="zh-CN"/>
        </w:rPr>
        <w:t>8.78</w:t>
      </w:r>
      <w:r>
        <w:rPr>
          <w:rFonts w:hint="eastAsia" w:ascii="仿宋" w:hAnsi="仿宋" w:eastAsia="仿宋" w:cs="仿宋"/>
          <w:bCs/>
          <w:kern w:val="0"/>
          <w:sz w:val="32"/>
          <w:szCs w:val="32"/>
        </w:rPr>
        <w:t>万元，支出决算为</w:t>
      </w:r>
      <w:r>
        <w:rPr>
          <w:rFonts w:hint="eastAsia" w:ascii="仿宋" w:hAnsi="仿宋" w:eastAsia="仿宋" w:cs="仿宋"/>
          <w:bCs/>
          <w:kern w:val="0"/>
          <w:sz w:val="32"/>
          <w:szCs w:val="32"/>
          <w:lang w:val="en-US" w:eastAsia="zh-CN"/>
        </w:rPr>
        <w:t>7.83</w:t>
      </w:r>
      <w:r>
        <w:rPr>
          <w:rFonts w:hint="eastAsia" w:ascii="仿宋" w:hAnsi="仿宋" w:eastAsia="仿宋" w:cs="仿宋"/>
          <w:bCs/>
          <w:kern w:val="0"/>
          <w:sz w:val="32"/>
          <w:szCs w:val="32"/>
        </w:rPr>
        <w:t>万元，完成年初预算的</w:t>
      </w:r>
      <w:r>
        <w:rPr>
          <w:rFonts w:hint="eastAsia" w:ascii="仿宋" w:hAnsi="仿宋" w:eastAsia="仿宋" w:cs="仿宋"/>
          <w:bCs/>
          <w:kern w:val="0"/>
          <w:sz w:val="32"/>
          <w:szCs w:val="32"/>
          <w:lang w:val="en-US" w:eastAsia="zh-CN"/>
        </w:rPr>
        <w:t>89.18</w:t>
      </w:r>
      <w:r>
        <w:rPr>
          <w:rFonts w:hint="eastAsia" w:ascii="仿宋" w:hAnsi="仿宋" w:eastAsia="仿宋" w:cs="仿宋"/>
          <w:bCs/>
          <w:kern w:val="0"/>
          <w:sz w:val="32"/>
          <w:szCs w:val="32"/>
        </w:rPr>
        <w:t>%。</w:t>
      </w:r>
      <w:r>
        <w:rPr>
          <w:rFonts w:hint="eastAsia" w:ascii="仿宋" w:hAnsi="仿宋" w:eastAsia="仿宋" w:cs="仿宋"/>
          <w:bCs/>
          <w:kern w:val="0"/>
          <w:sz w:val="32"/>
          <w:szCs w:val="32"/>
          <w:lang w:val="en-US" w:eastAsia="zh-CN"/>
        </w:rPr>
        <w:t>预决算差异</w:t>
      </w:r>
      <w:r>
        <w:rPr>
          <w:rFonts w:hint="eastAsia" w:ascii="仿宋" w:hAnsi="仿宋" w:eastAsia="仿宋" w:cs="仿宋"/>
          <w:bCs/>
          <w:kern w:val="0"/>
          <w:sz w:val="32"/>
          <w:szCs w:val="32"/>
        </w:rPr>
        <w:t>主</w:t>
      </w:r>
      <w:r>
        <w:rPr>
          <w:rFonts w:hint="eastAsia" w:ascii="仿宋" w:hAnsi="仿宋" w:eastAsia="仿宋" w:cs="仿宋_GB2312"/>
          <w:kern w:val="0"/>
          <w:sz w:val="32"/>
          <w:szCs w:val="32"/>
        </w:rPr>
        <w:t>要原因是</w:t>
      </w:r>
      <w:r>
        <w:rPr>
          <w:rFonts w:hint="eastAsia" w:ascii="仿宋" w:hAnsi="仿宋" w:eastAsia="仿宋" w:cs="仿宋_GB2312"/>
          <w:kern w:val="0"/>
          <w:sz w:val="32"/>
          <w:szCs w:val="32"/>
          <w:lang w:val="en-US" w:eastAsia="zh-CN"/>
        </w:rPr>
        <w:t>基数调整</w:t>
      </w:r>
      <w:r>
        <w:rPr>
          <w:rFonts w:hint="eastAsia" w:ascii="仿宋" w:hAnsi="仿宋" w:eastAsia="仿宋" w:cs="仿宋_GB2312"/>
          <w:kern w:val="0"/>
          <w:sz w:val="32"/>
          <w:szCs w:val="32"/>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8.78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7.83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89.18%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kern w:val="0"/>
                <w:sz w:val="20"/>
                <w:szCs w:val="20"/>
              </w:rPr>
              <w:t>按照国家政策规定向职工发放的住房公积金方面的支出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bCs/>
                <w:kern w:val="0"/>
                <w:sz w:val="21"/>
                <w:szCs w:val="21"/>
                <w:lang w:val="en-US" w:eastAsia="zh-CN"/>
              </w:rPr>
              <w:t>基数调整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8.78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7.83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drawing>
          <wp:inline distT="0" distB="0" distL="114300" distR="114300">
            <wp:extent cx="4474845" cy="3215640"/>
            <wp:effectExtent l="4445" t="4445" r="16510" b="184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五）其他</w:t>
      </w:r>
      <w:r>
        <w:rPr>
          <w:rFonts w:hint="eastAsia" w:ascii="仿宋" w:hAnsi="仿宋" w:eastAsia="仿宋"/>
          <w:sz w:val="32"/>
          <w:szCs w:val="32"/>
          <w:highlight w:val="none"/>
        </w:rPr>
        <w:t>支出</w:t>
      </w:r>
      <w:r>
        <w:rPr>
          <w:rFonts w:ascii="仿宋" w:hAnsi="仿宋" w:eastAsia="仿宋"/>
          <w:sz w:val="32"/>
          <w:u w:color="auto"/>
        </w:rPr>
        <w:t>（22</w:t>
      </w:r>
      <w:r>
        <w:rPr>
          <w:rFonts w:hint="eastAsia" w:ascii="仿宋" w:hAnsi="仿宋" w:eastAsia="仿宋"/>
          <w:sz w:val="32"/>
          <w:u w:color="auto"/>
          <w:lang w:val="en-US" w:eastAsia="zh-CN"/>
        </w:rPr>
        <w:t>9</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22.13</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原因是：年初无预算。</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17.63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kern w:val="0"/>
                <w:sz w:val="20"/>
                <w:szCs w:val="20"/>
                <w:lang w:val="en-US" w:eastAsia="zh-CN"/>
              </w:rPr>
              <w:t>本部门及所属事业单位人员的年终绩效奖金</w:t>
            </w:r>
            <w:r>
              <w:rPr>
                <w:rFonts w:hint="eastAsia" w:asciiTheme="minorEastAsia" w:hAnsiTheme="minorEastAsia" w:cstheme="minorEastAsia"/>
                <w:kern w:val="0"/>
                <w:sz w:val="20"/>
                <w:szCs w:val="20"/>
                <w:lang w:val="en-US" w:eastAsia="zh-CN"/>
              </w:rPr>
              <w:t>和伙食补助</w:t>
            </w:r>
            <w:r>
              <w:rPr>
                <w:rFonts w:hint="eastAsia" w:asciiTheme="minorEastAsia" w:hAnsiTheme="minorEastAsia" w:eastAsiaTheme="minorEastAsia" w:cstheme="minorEastAsia"/>
                <w:kern w:val="0"/>
                <w:sz w:val="20"/>
                <w:szCs w:val="20"/>
              </w:rPr>
              <w:t>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cstheme="minorEastAsia"/>
                <w:color w:val="000000" w:themeColor="text1"/>
                <w:sz w:val="20"/>
                <w:szCs w:val="20"/>
                <w:highlight w:val="none"/>
                <w:lang w:val="en-US" w:eastAsia="zh-CN"/>
                <w14:textFill>
                  <w14:solidFill>
                    <w14:schemeClr w14:val="tx1"/>
                  </w14:solidFill>
                </w14:textFill>
              </w:rPr>
              <w:t>年初无预算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17.63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pageBreakBefore w:val="0"/>
        <w:kinsoku/>
        <w:wordWrap/>
        <w:overflowPunct/>
        <w:topLinePunct w:val="0"/>
        <w:autoSpaceDE w:val="0"/>
        <w:autoSpaceDN w:val="0"/>
        <w:bidi w:val="0"/>
        <w:adjustRightInd w:val="0"/>
        <w:spacing w:line="560" w:lineRule="exact"/>
        <w:jc w:val="both"/>
        <w:textAlignment w:val="auto"/>
        <w:rPr>
          <w:rFonts w:hint="eastAsia" w:ascii="仿宋" w:hAnsi="仿宋" w:eastAsia="仿宋" w:cs="仿宋_GB2312"/>
          <w:kern w:val="0"/>
          <w:sz w:val="32"/>
          <w:szCs w:val="32"/>
          <w:lang w:val="en-US" w:eastAsia="zh-CN"/>
        </w:rPr>
      </w:pPr>
    </w:p>
    <w:p>
      <w:pPr>
        <w:jc w:val="center"/>
        <w:rPr>
          <w:rFonts w:hint="eastAsia" w:ascii="仿宋" w:hAnsi="仿宋" w:eastAsia="仿宋" w:cs="仿宋_GB2312"/>
          <w:kern w:val="0"/>
          <w:sz w:val="32"/>
          <w:szCs w:val="32"/>
          <w:lang w:val="en-US" w:eastAsia="zh-CN"/>
        </w:rPr>
      </w:pPr>
      <w:r>
        <w:rPr>
          <w:rFonts w:hint="eastAsia" w:ascii="仿宋" w:hAnsi="仿宋" w:eastAsia="仿宋" w:cs="仿宋"/>
          <w:sz w:val="32"/>
          <w:szCs w:val="32"/>
          <w:highlight w:val="none"/>
        </w:rPr>
        <w:drawing>
          <wp:inline distT="0" distB="0" distL="114300" distR="114300">
            <wp:extent cx="4474845" cy="3215640"/>
            <wp:effectExtent l="4445" t="4445" r="16510" b="18415"/>
            <wp:docPr id="9"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kinsoku/>
        <w:wordWrap/>
        <w:overflowPunct/>
        <w:topLinePunct w:val="0"/>
        <w:bidi w:val="0"/>
        <w:snapToGrid/>
        <w:spacing w:line="520" w:lineRule="exact"/>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keepNext w:val="0"/>
        <w:keepLines w:val="0"/>
        <w:pageBreakBefore w:val="0"/>
        <w:widowControl w:val="0"/>
        <w:kinsoku/>
        <w:wordWrap/>
        <w:overflowPunct/>
        <w:topLinePunct w:val="0"/>
        <w:bidi w:val="0"/>
        <w:snapToGrid/>
        <w:spacing w:line="52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本单位</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u w:color="auto"/>
          <w:lang w:val="en-US" w:eastAsia="zh-CN"/>
        </w:rPr>
        <w:t>128.89</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118.53</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10.36</w:t>
      </w:r>
      <w:r>
        <w:rPr>
          <w:rFonts w:hint="default" w:ascii="仿宋_GB2312" w:hAnsi="微软雅黑" w:eastAsia="仿宋_GB2312" w:cs="仿宋_GB2312"/>
          <w:i w:val="0"/>
          <w:iCs w:val="0"/>
          <w:caps w:val="0"/>
          <w:color w:val="000000"/>
          <w:spacing w:val="0"/>
          <w:sz w:val="31"/>
          <w:szCs w:val="31"/>
          <w:highlight w:val="none"/>
          <w:shd w:val="clear" w:color="auto" w:fill="FFFFFF"/>
        </w:rPr>
        <w:t>元，</w:t>
      </w:r>
      <w:r>
        <w:rPr>
          <w:rFonts w:hint="eastAsia" w:ascii="仿宋" w:hAnsi="仿宋" w:eastAsia="仿宋" w:cs="仿宋"/>
          <w:sz w:val="32"/>
          <w:szCs w:val="32"/>
          <w:highlight w:val="none"/>
        </w:rPr>
        <w:t>支出具体情况如下：</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ascii="仿宋_GB2312" w:eastAsia="仿宋_GB2312"/>
          <w:bCs/>
          <w:kern w:val="0"/>
          <w:sz w:val="32"/>
          <w:szCs w:val="32"/>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113.88</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128.33</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bCs/>
          <w:kern w:val="0"/>
          <w:sz w:val="32"/>
          <w:szCs w:val="32"/>
        </w:rPr>
        <w:t>预决算差异主要是：</w:t>
      </w:r>
      <w:r>
        <w:rPr>
          <w:rFonts w:hint="eastAsia" w:ascii="仿宋_GB2312" w:eastAsia="仿宋_GB2312"/>
          <w:bCs/>
          <w:kern w:val="0"/>
          <w:sz w:val="32"/>
          <w:szCs w:val="32"/>
        </w:rPr>
        <w:t>发</w:t>
      </w:r>
      <w:r>
        <w:rPr>
          <w:rFonts w:hint="eastAsia" w:ascii="仿宋_GB2312" w:hAnsi="仿宋_GB2312" w:eastAsia="仿宋_GB2312" w:cs="仿宋_GB2312"/>
          <w:kern w:val="0"/>
          <w:sz w:val="32"/>
          <w:szCs w:val="32"/>
        </w:rPr>
        <w:t>放的职工绩效考评奖及</w:t>
      </w:r>
      <w:r>
        <w:rPr>
          <w:rFonts w:hint="eastAsia" w:ascii="仿宋_GB2312" w:hAnsi="仿宋_GB2312" w:eastAsia="仿宋_GB2312" w:cs="仿宋_GB2312"/>
          <w:kern w:val="0"/>
          <w:sz w:val="32"/>
          <w:szCs w:val="32"/>
          <w:lang w:val="en-US" w:eastAsia="zh-CN"/>
        </w:rPr>
        <w:t>伙食补助费</w:t>
      </w:r>
      <w:r>
        <w:rPr>
          <w:rFonts w:hint="eastAsia" w:ascii="仿宋_GB2312" w:hAnsi="仿宋_GB2312" w:eastAsia="仿宋_GB2312" w:cs="仿宋_GB2312"/>
          <w:kern w:val="0"/>
          <w:sz w:val="32"/>
          <w:szCs w:val="32"/>
        </w:rPr>
        <w:t>没有列入年初预算</w:t>
      </w:r>
      <w:r>
        <w:rPr>
          <w:rFonts w:hint="eastAsia" w:ascii="仿宋_GB2312" w:eastAsia="仿宋_GB2312"/>
          <w:bCs/>
          <w:kern w:val="0"/>
          <w:sz w:val="32"/>
          <w:szCs w:val="32"/>
        </w:rPr>
        <w:t>。</w:t>
      </w:r>
    </w:p>
    <w:p>
      <w:pPr>
        <w:keepNext w:val="0"/>
        <w:keepLines w:val="0"/>
        <w:pageBreakBefore w:val="0"/>
        <w:widowControl w:val="0"/>
        <w:kinsoku/>
        <w:wordWrap/>
        <w:overflowPunct/>
        <w:topLinePunct w:val="0"/>
        <w:bidi w:val="0"/>
        <w:snapToGrid/>
        <w:spacing w:line="520" w:lineRule="exact"/>
        <w:jc w:val="both"/>
        <w:textAlignment w:val="auto"/>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29.13万元，30102津贴补贴17.53万元，30103奖金27.45万元，30106伙食补助费1.20万元，30108机关事业单位基本养老保险缴费12.97万元，30110职工基本医疗保险缴费5.32万元，30112其他社会保障缴费0.43万元，30113住房公积金7.92万元，30199其他工资福利支出11.92万元。</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drawing>
          <wp:inline distT="0" distB="0" distL="114300" distR="114300">
            <wp:extent cx="4474845" cy="2978150"/>
            <wp:effectExtent l="4445" t="4445" r="16510" b="825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10.36</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97.64</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bCs/>
          <w:kern w:val="0"/>
          <w:sz w:val="32"/>
          <w:szCs w:val="32"/>
        </w:rPr>
        <w:t>预决算差异主要是：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本单位贯彻落实厉行节约的有关规定，控制开支，不铺张浪费。</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30201办公费1.10万元，30205水费0.10万元，30206电费0.24万元，30207邮电费1.16万元，30228工会经费1.46万元，30239其他交通费用 6.30万元。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882900"/>
            <wp:effectExtent l="4445" t="4445" r="16510" b="825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微软雅黑" w:eastAsia="仿宋_GB2312" w:cs="仿宋_GB2312"/>
          <w:i w:val="0"/>
          <w:iCs w:val="0"/>
          <w:caps w:val="0"/>
          <w:color w:val="000000"/>
          <w:spacing w:val="0"/>
          <w:sz w:val="31"/>
          <w:szCs w:val="31"/>
          <w:highlight w:val="none"/>
          <w:shd w:val="clear" w:color="auto" w:fill="FFFFFF"/>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4.65</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119.54</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30301离休费0万元，30302退休费0万元，30305生活补助4.65万元。</w:t>
      </w:r>
    </w:p>
    <w:p>
      <w:pPr>
        <w:numPr>
          <w:ilvl w:val="0"/>
          <w:numId w:val="0"/>
        </w:numPr>
        <w:ind w:left="420" w:leftChars="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default" w:ascii="仿宋" w:hAnsi="仿宋" w:eastAsia="仿宋" w:cs="仿宋"/>
          <w:color w:val="FF0000"/>
          <w:kern w:val="2"/>
          <w:sz w:val="32"/>
          <w:szCs w:val="32"/>
          <w:highlight w:val="none"/>
          <w:lang w:val="en-US" w:eastAsia="zh-CN" w:bidi="ar"/>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主要原因是：本单位无该项支出年初预算及支出。</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numPr>
          <w:ilvl w:val="0"/>
          <w:numId w:val="0"/>
        </w:numPr>
        <w:ind w:left="420" w:leftChars="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92989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rPr>
        <w:t>差异</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主要原因是：本单位无该项支出年初预算及支出。</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numPr>
          <w:ilvl w:val="0"/>
          <w:numId w:val="0"/>
        </w:numPr>
        <w:ind w:left="420" w:leftChars="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044825"/>
            <wp:effectExtent l="4445" t="4445" r="16510" b="17780"/>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lang w:val="en-US" w:eastAsia="zh-CN"/>
        </w:rPr>
        <w:t>六）</w:t>
      </w:r>
      <w:r>
        <w:rPr>
          <w:rFonts w:hint="eastAsia" w:ascii="仿宋" w:hAnsi="仿宋" w:eastAsia="仿宋" w:cs="仿宋_GB2312"/>
          <w:kern w:val="0"/>
          <w:sz w:val="32"/>
          <w:szCs w:val="32"/>
        </w:rPr>
        <w:t>其他支出</w:t>
      </w:r>
      <w:r>
        <w:rPr>
          <w:rFonts w:hint="eastAsia" w:ascii="仿宋" w:hAnsi="仿宋" w:eastAsia="仿宋" w:cs="仿宋"/>
          <w:bCs/>
          <w:kern w:val="0"/>
          <w:sz w:val="32"/>
          <w:szCs w:val="32"/>
        </w:rPr>
        <w:t xml:space="preserve"> 0 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rPr>
        <w:t>差异</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主要原因是：本单位无该项支出年初预算及支出。</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numPr>
          <w:ilvl w:val="0"/>
          <w:numId w:val="0"/>
        </w:numPr>
        <w:ind w:left="420" w:left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drawing>
          <wp:inline distT="0" distB="0" distL="114300" distR="114300">
            <wp:extent cx="4474845" cy="2931160"/>
            <wp:effectExtent l="4445" t="4445" r="16510" b="1714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ind w:firstLine="640" w:firstLineChars="200"/>
        <w:jc w:val="left"/>
        <w:rPr>
          <w:rFonts w:hint="default" w:ascii="仿宋" w:hAnsi="仿宋" w:eastAsia="仿宋" w:cs="仿宋"/>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Times New Roman" w:eastAsia="仿宋_GB2312" w:cs="Times New Roman"/>
          <w:color w:val="FF0000"/>
          <w:sz w:val="32"/>
          <w:szCs w:val="32"/>
        </w:rPr>
      </w:pP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本</w:t>
      </w:r>
      <w:r>
        <w:rPr>
          <w:rFonts w:hint="eastAsia" w:ascii="仿宋_GB2312" w:hAnsi="Times New Roman" w:eastAsia="仿宋_GB2312" w:cs="Times New Roman"/>
          <w:color w:val="000000" w:themeColor="text1"/>
          <w:sz w:val="32"/>
          <w:szCs w:val="32"/>
          <w:lang w:eastAsia="zh-CN"/>
          <w14:textFill>
            <w14:solidFill>
              <w14:schemeClr w14:val="tx1"/>
            </w14:solidFill>
          </w14:textFill>
        </w:rPr>
        <w:t>单位</w:t>
      </w:r>
      <w:r>
        <w:rPr>
          <w:rFonts w:ascii="仿宋_GB2312" w:hAnsi="仿宋_GB2312" w:eastAsia="仿宋_GB2312" w:cs="仿宋_GB2312"/>
          <w:color w:val="000000" w:themeColor="text1"/>
          <w:sz w:val="32"/>
          <w:u w:color="auto"/>
          <w14:textFill>
            <w14:solidFill>
              <w14:schemeClr w14:val="tx1"/>
            </w14:solidFill>
          </w14:textFill>
        </w:rPr>
        <w:t>没有政府性基金收入，也没有政府性基金收入安排的支出</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_GB2312" w:cs="仿宋"/>
          <w:sz w:val="32"/>
          <w:szCs w:val="32"/>
          <w:highlight w:val="none"/>
          <w:lang w:eastAsia="zh-CN"/>
        </w:rPr>
      </w:pPr>
      <w:bookmarkStart w:id="2" w:name="PO_part3A5B1C1DiffReason1"/>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本</w:t>
      </w:r>
      <w:r>
        <w:rPr>
          <w:rFonts w:hint="eastAsia" w:ascii="仿宋_GB2312" w:hAnsi="Times New Roman" w:eastAsia="仿宋_GB2312" w:cs="Times New Roman"/>
          <w:color w:val="000000" w:themeColor="text1"/>
          <w:sz w:val="32"/>
          <w:szCs w:val="32"/>
          <w:lang w:eastAsia="zh-CN"/>
          <w14:textFill>
            <w14:solidFill>
              <w14:schemeClr w14:val="tx1"/>
            </w14:solidFill>
          </w14:textFill>
        </w:rPr>
        <w:t>单位</w:t>
      </w:r>
      <w:r>
        <w:rPr>
          <w:rFonts w:ascii="仿宋_GB2312" w:hAnsi="仿宋_GB2312" w:eastAsia="仿宋_GB2312" w:cs="仿宋_GB2312"/>
          <w:color w:val="000000" w:themeColor="text1"/>
          <w:sz w:val="32"/>
          <w:u w:color="auto"/>
          <w14:textFill>
            <w14:solidFill>
              <w14:schemeClr w14:val="tx1"/>
            </w14:solidFill>
          </w14:textFill>
        </w:rPr>
        <w:t>没有国有资本经营预算收入，也没有国有资本经营预算收入</w:t>
      </w:r>
      <w:r>
        <w:rPr>
          <w:rFonts w:hint="eastAsia" w:ascii="仿宋_GB2312" w:hAnsi="Times New Roman" w:eastAsia="仿宋_GB2312" w:cs="Times New Roman"/>
          <w:color w:val="000000" w:themeColor="text1"/>
          <w:sz w:val="32"/>
          <w:szCs w:val="32"/>
          <w14:textFill>
            <w14:solidFill>
              <w14:schemeClr w14:val="tx1"/>
            </w14:solidFill>
          </w14:textFill>
        </w:rPr>
        <w:t>安排的支出</w:t>
      </w:r>
      <w:bookmarkEnd w:id="2"/>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0.35</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hint="eastAsia" w:ascii="仿宋" w:hAnsi="仿宋" w:eastAsia="仿宋" w:cs="仿宋"/>
          <w:sz w:val="32"/>
          <w:szCs w:val="32"/>
          <w:highlight w:val="none"/>
          <w:lang w:val="en-US" w:eastAsia="zh-CN"/>
        </w:rPr>
        <w:t>减少0.02</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_GB2312"/>
          <w:kern w:val="0"/>
          <w:sz w:val="32"/>
          <w:szCs w:val="32"/>
        </w:rPr>
        <w:t>认真贯彻落实中央“八项规定”精神和厉行节约要求，严控和压缩“三公”经费相关支出</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0.35</w:t>
      </w:r>
      <w:r>
        <w:rPr>
          <w:rFonts w:hint="eastAsia" w:ascii="仿宋" w:hAnsi="仿宋" w:eastAsia="仿宋" w:cs="仿宋"/>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FF0000"/>
          <w:sz w:val="32"/>
          <w:szCs w:val="32"/>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14:textFill>
            <w14:solidFill>
              <w14:schemeClr w14:val="tx1"/>
            </w14:solidFill>
          </w14:textFill>
        </w:rPr>
        <w:t>主要原因是</w:t>
      </w:r>
      <w:bookmarkStart w:id="3" w:name="PO_part3A6B2IncReason1"/>
      <w:r>
        <w:rPr>
          <w:rFonts w:hint="eastAsia" w:ascii="仿宋" w:hAnsi="仿宋" w:eastAsia="仿宋" w:cs="仿宋"/>
          <w:color w:val="000000" w:themeColor="text1"/>
          <w:sz w:val="32"/>
          <w:szCs w:val="32"/>
          <w14:textFill>
            <w14:solidFill>
              <w14:schemeClr w14:val="tx1"/>
            </w14:solidFill>
          </w14:textFill>
        </w:rPr>
        <w:t>本部门无公务用车购置</w:t>
      </w:r>
      <w:bookmarkEnd w:id="3"/>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color w:val="FF0000"/>
          <w:sz w:val="32"/>
          <w:szCs w:val="32"/>
          <w:highlight w:val="none"/>
          <w:lang w:val="en-US" w:eastAsia="zh-CN"/>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本部门无公务用车。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color w:val="FF0000"/>
          <w:sz w:val="32"/>
          <w:szCs w:val="32"/>
          <w:highlight w:val="none"/>
        </w:rPr>
      </w:pPr>
      <w:r>
        <w:rPr>
          <w:rFonts w:hint="eastAsia" w:ascii="仿宋" w:hAnsi="仿宋" w:eastAsia="仿宋" w:cs="仿宋"/>
          <w:color w:val="000000" w:themeColor="text1"/>
          <w:sz w:val="32"/>
          <w:szCs w:val="32"/>
          <w:highlight w:val="none"/>
          <w14:textFill>
            <w14:solidFill>
              <w14:schemeClr w14:val="tx1"/>
            </w14:solidFill>
          </w14:textFill>
        </w:rPr>
        <w:t>2022年，</w:t>
      </w:r>
      <w:r>
        <w:rPr>
          <w:rFonts w:hint="eastAsia" w:ascii="仿宋" w:hAnsi="仿宋" w:eastAsia="仿宋" w:cs="仿宋"/>
          <w:color w:val="000000" w:themeColor="text1"/>
          <w:sz w:val="32"/>
          <w:u w:color="auto"/>
          <w:lang w:val="en-US" w:eastAsia="zh-CN"/>
          <w14:textFill>
            <w14:solidFill>
              <w14:schemeClr w14:val="tx1"/>
            </w14:solidFill>
          </w14:textFill>
        </w:rPr>
        <w:t>本</w:t>
      </w:r>
      <w:r>
        <w:rPr>
          <w:rFonts w:hint="eastAsia" w:ascii="仿宋" w:hAnsi="仿宋" w:eastAsia="仿宋" w:cs="仿宋"/>
          <w:color w:val="000000" w:themeColor="text1"/>
          <w:sz w:val="32"/>
          <w:u w:color="auto"/>
          <w:lang w:eastAsia="zh-CN"/>
          <w14:textFill>
            <w14:solidFill>
              <w14:schemeClr w14:val="tx1"/>
            </w14:solidFill>
          </w14:textFill>
        </w:rPr>
        <w:t>单位</w:t>
      </w:r>
      <w:r>
        <w:rPr>
          <w:rFonts w:hint="eastAsia" w:ascii="仿宋" w:hAnsi="仿宋" w:eastAsia="仿宋" w:cs="仿宋"/>
          <w:color w:val="000000" w:themeColor="text1"/>
          <w:sz w:val="32"/>
          <w:szCs w:val="32"/>
          <w:highlight w:val="none"/>
          <w14:textFill>
            <w14:solidFill>
              <w14:schemeClr w14:val="tx1"/>
            </w14:solidFill>
          </w14:textFill>
        </w:rPr>
        <w:t>及</w:t>
      </w:r>
      <w:r>
        <w:rPr>
          <w:rFonts w:hint="eastAsia" w:ascii="仿宋" w:hAnsi="仿宋" w:eastAsia="仿宋" w:cs="仿宋"/>
          <w:color w:val="000000" w:themeColor="text1"/>
          <w:sz w:val="32"/>
          <w:szCs w:val="32"/>
          <w:highlight w:val="none"/>
          <w:u w:val="single"/>
          <w:lang w:val="en-US" w:eastAsia="zh-CN"/>
          <w14:textFill>
            <w14:solidFill>
              <w14:schemeClr w14:val="tx1"/>
            </w14:solidFill>
          </w14:textFill>
        </w:rPr>
        <w:t xml:space="preserve">  0个</w:t>
      </w:r>
      <w:r>
        <w:rPr>
          <w:rFonts w:hint="eastAsia" w:ascii="仿宋" w:hAnsi="仿宋" w:eastAsia="仿宋" w:cs="仿宋"/>
          <w:color w:val="000000" w:themeColor="text1"/>
          <w:sz w:val="32"/>
          <w:szCs w:val="32"/>
          <w:highlight w:val="none"/>
          <w14:textFill>
            <w14:solidFill>
              <w14:schemeClr w14:val="tx1"/>
            </w14:solidFill>
          </w14:textFill>
        </w:rPr>
        <w:t>所属单位开支财政拨款的公务</w:t>
      </w:r>
      <w:r>
        <w:rPr>
          <w:rFonts w:hint="eastAsia" w:ascii="仿宋" w:hAnsi="仿宋" w:eastAsia="仿宋" w:cs="仿宋"/>
          <w:color w:val="auto"/>
          <w:sz w:val="32"/>
          <w:szCs w:val="32"/>
          <w:highlight w:val="none"/>
        </w:rPr>
        <w:t>用车保有量为</w:t>
      </w:r>
      <w:r>
        <w:rPr>
          <w:rFonts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 xml:space="preserve">  万元。</w:t>
      </w:r>
    </w:p>
    <w:p>
      <w:pPr>
        <w:keepNext w:val="0"/>
        <w:keepLines w:val="0"/>
        <w:pageBreakBefore w:val="0"/>
        <w:widowControl w:val="0"/>
        <w:suppressLineNumbers w:val="0"/>
        <w:kinsoku/>
        <w:wordWrap/>
        <w:overflowPunct/>
        <w:topLinePunct w:val="0"/>
        <w:bidi w:val="0"/>
        <w:snapToGrid/>
        <w:spacing w:before="0" w:beforeAutospacing="0" w:after="0" w:afterAutospacing="0"/>
        <w:ind w:left="0" w:right="0" w:firstLine="640" w:firstLineChars="200"/>
        <w:jc w:val="both"/>
        <w:textAlignment w:val="auto"/>
        <w:rPr>
          <w:rFonts w:ascii="仿宋" w:hAnsi="仿宋" w:eastAsia="仿宋" w:cs="仿宋"/>
          <w:bCs/>
          <w:color w:val="FF0000"/>
          <w:kern w:val="0"/>
          <w:sz w:val="32"/>
          <w:szCs w:val="32"/>
          <w:u w:val="singl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0.35</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hint="eastAsia" w:ascii="仿宋" w:hAnsi="仿宋" w:eastAsia="仿宋" w:cs="仿宋"/>
          <w:sz w:val="32"/>
          <w:szCs w:val="32"/>
          <w:highlight w:val="none"/>
          <w:lang w:val="en-US" w:eastAsia="zh-CN"/>
        </w:rPr>
        <w:t>减少0.02</w:t>
      </w:r>
      <w:r>
        <w:rPr>
          <w:rFonts w:hint="eastAsia" w:ascii="仿宋" w:hAnsi="仿宋" w:eastAsia="仿宋" w:cs="仿宋"/>
          <w:sz w:val="32"/>
          <w:szCs w:val="32"/>
          <w:highlight w:val="none"/>
        </w:rPr>
        <w:t>万元，</w:t>
      </w:r>
      <w:r>
        <w:rPr>
          <w:rFonts w:hint="eastAsia" w:ascii="仿宋" w:hAnsi="仿宋" w:eastAsia="仿宋" w:cs="仿宋"/>
          <w:bCs/>
          <w:spacing w:val="6"/>
          <w:kern w:val="0"/>
          <w:sz w:val="32"/>
          <w:szCs w:val="32"/>
        </w:rPr>
        <w:t>主要原因是：认真贯彻落实中央“八项规定”精神和厉行节约要求，严控和压缩“三公”经费相关支</w:t>
      </w:r>
      <w:r>
        <w:rPr>
          <w:rFonts w:hint="eastAsia" w:ascii="仿宋" w:hAnsi="仿宋" w:eastAsia="仿宋" w:cs="仿宋"/>
          <w:bCs/>
          <w:kern w:val="0"/>
          <w:sz w:val="32"/>
          <w:szCs w:val="32"/>
        </w:rPr>
        <w:t>出。</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8</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31</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keepNext w:val="0"/>
        <w:keepLines w:val="0"/>
        <w:pageBreakBefore w:val="0"/>
        <w:widowControl w:val="0"/>
        <w:kinsoku/>
        <w:wordWrap/>
        <w:overflowPunct/>
        <w:topLinePunct w:val="0"/>
        <w:bidi w:val="0"/>
        <w:snapToGrid/>
        <w:spacing w:line="520" w:lineRule="exact"/>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keepNext w:val="0"/>
        <w:keepLines w:val="0"/>
        <w:pageBreakBefore w:val="0"/>
        <w:widowControl w:val="0"/>
        <w:kinsoku/>
        <w:wordWrap/>
        <w:overflowPunct/>
        <w:topLinePunct w:val="0"/>
        <w:bidi w:val="0"/>
        <w:snapToGrid/>
        <w:spacing w:line="520" w:lineRule="exact"/>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keepNext w:val="0"/>
        <w:keepLines w:val="0"/>
        <w:pageBreakBefore w:val="0"/>
        <w:widowControl w:val="0"/>
        <w:kinsoku/>
        <w:wordWrap/>
        <w:overflowPunct/>
        <w:topLinePunct w:val="0"/>
        <w:bidi w:val="0"/>
        <w:snapToGrid/>
        <w:spacing w:line="520" w:lineRule="exact"/>
        <w:ind w:firstLine="640" w:firstLineChars="200"/>
        <w:jc w:val="both"/>
        <w:textAlignment w:val="auto"/>
        <w:rPr>
          <w:rFonts w:hint="default" w:ascii="仿宋" w:hAnsi="仿宋" w:eastAsia="仿宋" w:cs="仿宋"/>
          <w:color w:val="FF0000"/>
          <w:sz w:val="32"/>
          <w:szCs w:val="32"/>
          <w:highlight w:val="none"/>
          <w:lang w:val="en-US" w:eastAsia="zh-CN"/>
        </w:rPr>
      </w:pPr>
      <w:r>
        <w:rPr>
          <w:rFonts w:hint="eastAsia" w:ascii="仿宋" w:hAnsi="仿宋" w:eastAsia="仿宋" w:cs="仿宋"/>
          <w:sz w:val="32"/>
          <w:szCs w:val="32"/>
          <w:highlight w:val="none"/>
        </w:rPr>
        <w:t>本部门2022年度机关运行经费支出</w:t>
      </w:r>
      <w:r>
        <w:rPr>
          <w:rFonts w:hint="eastAsia" w:ascii="仿宋" w:hAnsi="仿宋" w:eastAsia="仿宋" w:cs="仿宋"/>
          <w:sz w:val="32"/>
          <w:szCs w:val="32"/>
          <w:highlight w:val="none"/>
          <w:lang w:val="en-US" w:eastAsia="zh-CN"/>
        </w:rPr>
        <w:t>10.36</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0.25</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2.31</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2.36</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29.5</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kern w:val="0"/>
          <w:sz w:val="32"/>
          <w:szCs w:val="32"/>
        </w:rPr>
        <w:t>主要原因是：</w:t>
      </w:r>
      <w:r>
        <w:rPr>
          <w:rFonts w:hint="eastAsia" w:ascii="仿宋" w:hAnsi="仿宋" w:eastAsia="仿宋" w:cs="仿宋"/>
          <w:i w:val="0"/>
          <w:iCs w:val="0"/>
          <w:caps w:val="0"/>
          <w:color w:val="333333"/>
          <w:spacing w:val="0"/>
          <w:sz w:val="32"/>
          <w:szCs w:val="32"/>
          <w:shd w:val="clear" w:fill="FFFFFF"/>
          <w:lang w:val="en-US" w:eastAsia="zh-CN"/>
        </w:rPr>
        <w:t>其他交通费用增加。</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3" w:firstLineChars="200"/>
        <w:jc w:val="both"/>
        <w:textAlignment w:val="auto"/>
        <w:rPr>
          <w:rFonts w:ascii="仿宋" w:hAnsi="仿宋" w:eastAsia="仿宋" w:cs="仿宋"/>
          <w:b/>
          <w:bCs/>
          <w:kern w:val="0"/>
          <w:sz w:val="32"/>
          <w:szCs w:val="32"/>
        </w:rPr>
      </w:pPr>
      <w:r>
        <w:rPr>
          <w:rFonts w:hint="eastAsia" w:ascii="仿宋" w:hAnsi="仿宋" w:eastAsia="仿宋" w:cs="仿宋"/>
          <w:b/>
          <w:bCs/>
          <w:kern w:val="0"/>
          <w:sz w:val="32"/>
          <w:szCs w:val="32"/>
        </w:rPr>
        <w:t>（二）政府采购支出情况说明。</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ascii="仿宋" w:hAnsi="仿宋" w:eastAsia="仿宋" w:cs="仿宋"/>
          <w:kern w:val="0"/>
          <w:sz w:val="32"/>
          <w:szCs w:val="32"/>
        </w:rPr>
      </w:pPr>
      <w:r>
        <w:rPr>
          <w:rFonts w:hint="eastAsia" w:ascii="仿宋" w:hAnsi="仿宋" w:eastAsia="仿宋" w:cs="仿宋"/>
          <w:kern w:val="0"/>
          <w:sz w:val="32"/>
          <w:szCs w:val="32"/>
        </w:rPr>
        <w:t>20</w:t>
      </w:r>
      <w:r>
        <w:rPr>
          <w:rFonts w:hint="eastAsia" w:ascii="仿宋" w:hAnsi="仿宋" w:eastAsia="仿宋" w:cs="仿宋"/>
          <w:kern w:val="0"/>
          <w:sz w:val="32"/>
          <w:szCs w:val="32"/>
          <w:lang w:val="en-US" w:eastAsia="zh-CN"/>
        </w:rPr>
        <w:t>22</w:t>
      </w:r>
      <w:r>
        <w:rPr>
          <w:rFonts w:hint="eastAsia" w:ascii="仿宋" w:hAnsi="仿宋" w:eastAsia="仿宋" w:cs="仿宋"/>
          <w:kern w:val="0"/>
          <w:sz w:val="32"/>
          <w:szCs w:val="32"/>
        </w:rPr>
        <w:t>年度本部门政府采购支出总额0万元，其中：政府采购货</w:t>
      </w:r>
      <w:r>
        <w:rPr>
          <w:rFonts w:hint="eastAsia" w:ascii="仿宋" w:hAnsi="仿宋" w:eastAsia="仿宋" w:cs="仿宋"/>
          <w:spacing w:val="-3"/>
          <w:kern w:val="0"/>
          <w:sz w:val="32"/>
          <w:szCs w:val="32"/>
        </w:rPr>
        <w:t xml:space="preserve">物支出 0 万元、政府采购工程支出  0万元、政府采购服务支出0 </w:t>
      </w:r>
      <w:r>
        <w:rPr>
          <w:rFonts w:hint="eastAsia" w:ascii="仿宋" w:hAnsi="仿宋" w:eastAsia="仿宋" w:cs="仿宋"/>
          <w:kern w:val="0"/>
          <w:sz w:val="32"/>
          <w:szCs w:val="32"/>
        </w:rPr>
        <w:t>万元，授予中小企业合同金额 0 万元，占政府采购支出总额的 0 %，其中：授予小微企业合同金额 0万元，占政府采购支出总额的 0 %。</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3" w:firstLineChars="200"/>
        <w:jc w:val="both"/>
        <w:textAlignment w:val="auto"/>
        <w:rPr>
          <w:rFonts w:ascii="仿宋" w:hAnsi="仿宋" w:eastAsia="仿宋" w:cs="仿宋"/>
          <w:b/>
          <w:bCs/>
          <w:kern w:val="0"/>
          <w:sz w:val="32"/>
          <w:szCs w:val="32"/>
        </w:rPr>
      </w:pPr>
      <w:r>
        <w:rPr>
          <w:rFonts w:hint="eastAsia" w:ascii="仿宋" w:hAnsi="仿宋" w:eastAsia="仿宋" w:cs="仿宋"/>
          <w:b/>
          <w:bCs/>
          <w:kern w:val="0"/>
          <w:sz w:val="32"/>
          <w:szCs w:val="32"/>
        </w:rPr>
        <w:t>（三）国有资产占用情况说明。</w:t>
      </w:r>
    </w:p>
    <w:p>
      <w:pPr>
        <w:keepNext w:val="0"/>
        <w:keepLines w:val="0"/>
        <w:pageBreakBefore w:val="0"/>
        <w:widowControl w:val="0"/>
        <w:kinsoku/>
        <w:wordWrap/>
        <w:overflowPunct/>
        <w:topLinePunct w:val="0"/>
        <w:bidi w:val="0"/>
        <w:snapToGrid/>
        <w:spacing w:line="52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keepNext w:val="0"/>
        <w:keepLines w:val="0"/>
        <w:pageBreakBefore w:val="0"/>
        <w:widowControl w:val="0"/>
        <w:kinsoku/>
        <w:wordWrap/>
        <w:overflowPunct/>
        <w:topLinePunct w:val="0"/>
        <w:bidi w:val="0"/>
        <w:snapToGrid/>
        <w:spacing w:line="520" w:lineRule="exact"/>
        <w:ind w:firstLine="640" w:firstLineChars="200"/>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keepNext w:val="0"/>
        <w:keepLines w:val="0"/>
        <w:pageBreakBefore w:val="0"/>
        <w:widowControl w:val="0"/>
        <w:kinsoku/>
        <w:wordWrap/>
        <w:overflowPunct/>
        <w:topLinePunct w:val="0"/>
        <w:bidi w:val="0"/>
        <w:snapToGrid/>
        <w:spacing w:line="52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keepNext w:val="0"/>
        <w:keepLines w:val="0"/>
        <w:pageBreakBefore w:val="0"/>
        <w:widowControl w:val="0"/>
        <w:kinsoku/>
        <w:wordWrap/>
        <w:overflowPunct/>
        <w:topLinePunct w:val="0"/>
        <w:bidi w:val="0"/>
        <w:snapToGrid/>
        <w:spacing w:line="520" w:lineRule="exact"/>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17</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483.28</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79.74</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ascii="仿宋" w:hAnsi="仿宋" w:eastAsia="仿宋" w:cs="仿宋"/>
          <w:kern w:val="0"/>
          <w:sz w:val="32"/>
          <w:szCs w:val="32"/>
        </w:rPr>
      </w:pPr>
      <w:r>
        <w:rPr>
          <w:rFonts w:hint="eastAsia" w:ascii="仿宋" w:hAnsi="仿宋" w:eastAsia="仿宋" w:cs="仿宋"/>
          <w:color w:val="000000" w:themeColor="text1"/>
          <w:sz w:val="32"/>
          <w:szCs w:val="32"/>
          <w14:textFill>
            <w14:solidFill>
              <w14:schemeClr w14:val="tx1"/>
            </w14:solidFill>
          </w14:textFill>
        </w:rPr>
        <w:t>组织对“桂整合[2022]18号2022年第二批中央农业生产发展资金(农民合作社)”等</w:t>
      </w:r>
      <w:r>
        <w:rPr>
          <w:rFonts w:hint="eastAsia" w:ascii="仿宋" w:hAnsi="仿宋" w:eastAsia="仿宋" w:cs="仿宋"/>
          <w:color w:val="000000" w:themeColor="text1"/>
          <w:sz w:val="32"/>
          <w:szCs w:val="32"/>
          <w:lang w:val="en-US" w:eastAsia="zh-CN"/>
          <w14:textFill>
            <w14:solidFill>
              <w14:schemeClr w14:val="tx1"/>
            </w14:solidFill>
          </w14:textFill>
        </w:rPr>
        <w:t>17</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483.28</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kern w:val="0"/>
          <w:sz w:val="32"/>
          <w:szCs w:val="32"/>
        </w:rPr>
        <w:t>项目支出绩效情况理想，达到项目申请时设定的各项绩效目标。社会公众或服务对象满意度达9</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%以上。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color w:val="FF0000"/>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组织对“农村产权流转交易信息平台工作经费”</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val="en-US" w:eastAsia="zh-CN"/>
          <w14:textFill>
            <w14:solidFill>
              <w14:schemeClr w14:val="tx1"/>
            </w14:solidFill>
          </w14:textFill>
        </w:rPr>
        <w:t>取得了良好的社会效益，服务对象满意度达到95%以上。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keepNext w:val="0"/>
        <w:keepLines w:val="0"/>
        <w:pageBreakBefore w:val="0"/>
        <w:widowControl/>
        <w:kinsoku/>
        <w:wordWrap/>
        <w:overflowPunct/>
        <w:topLinePunct w:val="0"/>
        <w:autoSpaceDE/>
        <w:autoSpaceDN/>
        <w:bidi w:val="0"/>
        <w:adjustRightInd/>
        <w:snapToGrid/>
        <w:spacing w:line="520" w:lineRule="exact"/>
        <w:ind w:firstLine="640"/>
        <w:jc w:val="both"/>
        <w:textAlignment w:val="auto"/>
        <w:rPr>
          <w:rFonts w:ascii="仿宋" w:hAnsi="仿宋" w:eastAsia="仿宋" w:cs="仿宋"/>
          <w:color w:val="FF0000"/>
          <w:kern w:val="0"/>
          <w:sz w:val="32"/>
          <w:szCs w:val="32"/>
          <w:u w:val="single"/>
        </w:rPr>
      </w:pPr>
      <w:r>
        <w:rPr>
          <w:rFonts w:hint="eastAsia" w:ascii="仿宋" w:hAnsi="仿宋" w:eastAsia="仿宋" w:cs="仿宋"/>
          <w:color w:val="000000" w:themeColor="text1"/>
          <w:sz w:val="32"/>
          <w:szCs w:val="32"/>
          <w14:textFill>
            <w14:solidFill>
              <w14:schemeClr w14:val="tx1"/>
            </w14:solidFill>
          </w14:textFill>
        </w:rPr>
        <w:t>我部门根据年初设定的绩效目标，“农村产权流转交易信息平台工作经费”项目自评得分为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kern w:val="0"/>
          <w:sz w:val="32"/>
          <w:szCs w:val="32"/>
          <w:lang w:val="en-US" w:eastAsia="zh-CN"/>
        </w:rPr>
        <w:t>农村产权流转交易信息平台运行正常开展，</w:t>
      </w:r>
      <w:r>
        <w:rPr>
          <w:rFonts w:hint="eastAsia" w:ascii="仿宋" w:hAnsi="仿宋" w:eastAsia="仿宋" w:cs="仿宋"/>
          <w:i w:val="0"/>
          <w:iCs w:val="0"/>
          <w:caps w:val="0"/>
          <w:color w:val="333333"/>
          <w:spacing w:val="0"/>
          <w:sz w:val="32"/>
          <w:szCs w:val="32"/>
        </w:rPr>
        <w:t>盘活</w:t>
      </w:r>
      <w:r>
        <w:rPr>
          <w:rFonts w:hint="eastAsia" w:ascii="仿宋" w:hAnsi="仿宋" w:eastAsia="仿宋" w:cs="仿宋"/>
          <w:i w:val="0"/>
          <w:iCs w:val="0"/>
          <w:caps w:val="0"/>
          <w:color w:val="333333"/>
          <w:spacing w:val="0"/>
          <w:sz w:val="32"/>
          <w:szCs w:val="32"/>
          <w:lang w:val="en-US" w:eastAsia="zh-CN"/>
        </w:rPr>
        <w:t>了</w:t>
      </w:r>
      <w:r>
        <w:rPr>
          <w:rFonts w:hint="eastAsia" w:ascii="仿宋" w:hAnsi="仿宋" w:eastAsia="仿宋" w:cs="仿宋"/>
          <w:i w:val="0"/>
          <w:iCs w:val="0"/>
          <w:caps w:val="0"/>
          <w:color w:val="333333"/>
          <w:spacing w:val="0"/>
          <w:sz w:val="32"/>
          <w:szCs w:val="32"/>
        </w:rPr>
        <w:t>农村资源要素，解决</w:t>
      </w:r>
      <w:r>
        <w:rPr>
          <w:rFonts w:hint="eastAsia" w:ascii="仿宋" w:hAnsi="仿宋" w:eastAsia="仿宋" w:cs="仿宋"/>
          <w:i w:val="0"/>
          <w:iCs w:val="0"/>
          <w:caps w:val="0"/>
          <w:color w:val="333333"/>
          <w:spacing w:val="0"/>
          <w:sz w:val="32"/>
          <w:szCs w:val="32"/>
          <w:lang w:val="en-US" w:eastAsia="zh-CN"/>
        </w:rPr>
        <w:t>了</w:t>
      </w:r>
      <w:r>
        <w:rPr>
          <w:rFonts w:hint="eastAsia" w:ascii="仿宋" w:hAnsi="仿宋" w:eastAsia="仿宋" w:cs="仿宋"/>
          <w:i w:val="0"/>
          <w:iCs w:val="0"/>
          <w:caps w:val="0"/>
          <w:color w:val="333333"/>
          <w:spacing w:val="0"/>
          <w:sz w:val="32"/>
          <w:szCs w:val="32"/>
        </w:rPr>
        <w:t>土地资源流动难、农户融资难贷款难、产业转型升级难等问题，在阳光、规范、有序的运作机制下，助力农民增收创收，壮大集体经济，推动农业产业向集约化、规模化、高效化发展。</w:t>
      </w:r>
      <w:r>
        <w:rPr>
          <w:rFonts w:ascii="仿宋" w:hAnsi="仿宋" w:eastAsia="仿宋" w:cs="宋体"/>
          <w:sz w:val="32"/>
          <w:szCs w:val="32"/>
        </w:rPr>
        <w:t>从评价情况来看，</w:t>
      </w:r>
      <w:r>
        <w:rPr>
          <w:rFonts w:hint="eastAsia" w:ascii="仿宋" w:hAnsi="仿宋" w:eastAsia="仿宋" w:cs="宋体"/>
          <w:sz w:val="32"/>
          <w:szCs w:val="32"/>
          <w:lang w:val="en-US" w:eastAsia="zh-CN"/>
        </w:rPr>
        <w:t>达到了年初设定的绩效目标</w:t>
      </w:r>
      <w:r>
        <w:rPr>
          <w:rFonts w:hint="eastAsia" w:ascii="仿宋" w:hAnsi="仿宋" w:eastAsia="仿宋" w:cs="宋体"/>
          <w:sz w:val="32"/>
          <w:szCs w:val="32"/>
        </w:rPr>
        <w:t>。</w:t>
      </w:r>
    </w:p>
    <w:p>
      <w:pPr>
        <w:keepNext w:val="0"/>
        <w:keepLines w:val="0"/>
        <w:pageBreakBefore w:val="0"/>
        <w:widowControl w:val="0"/>
        <w:kinsoku/>
        <w:wordWrap/>
        <w:overflowPunct/>
        <w:topLinePunct w:val="0"/>
        <w:bidi w:val="0"/>
        <w:snapToGrid/>
        <w:spacing w:line="520" w:lineRule="exact"/>
        <w:jc w:val="both"/>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val="en-US" w:eastAsia="zh-CN"/>
        </w:rPr>
        <w:t>环江县</w:t>
      </w:r>
      <w:r>
        <w:rPr>
          <w:rFonts w:ascii="仿宋" w:hAnsi="仿宋" w:eastAsia="仿宋" w:cs="仿宋"/>
          <w:sz w:val="32"/>
          <w:u w:color="auto"/>
        </w:rPr>
        <w:t>财政部门当年拨付的资金。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val="en-US"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val="en-US" w:eastAsia="zh-CN"/>
        </w:rPr>
        <w:t>环江县</w:t>
      </w:r>
      <w:bookmarkStart w:id="4" w:name="_GoBack"/>
      <w:bookmarkEnd w:id="4"/>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C97760"/>
    <w:multiLevelType w:val="singleLevel"/>
    <w:tmpl w:val="FFC97760"/>
    <w:lvl w:ilvl="0" w:tentative="0">
      <w:start w:val="1"/>
      <w:numFmt w:val="chineseCounting"/>
      <w:suff w:val="nothing"/>
      <w:lvlText w:val="（%1）"/>
      <w:lvlJc w:val="left"/>
      <w:rPr>
        <w:rFonts w:hint="eastAsia"/>
        <w:color w:val="000000" w:themeColor="text1"/>
        <w14:textFill>
          <w14:solidFill>
            <w14:schemeClr w14:val="tx1"/>
          </w14:solidFill>
        </w14:textFil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wOWIyNDIyOTA4MDc3NmEwN2QxM2NkODgwZjJjNzU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3F45283"/>
    <w:rsid w:val="04845710"/>
    <w:rsid w:val="04E54546"/>
    <w:rsid w:val="05992762"/>
    <w:rsid w:val="06F04D75"/>
    <w:rsid w:val="074C7501"/>
    <w:rsid w:val="07B0770E"/>
    <w:rsid w:val="089A2F9E"/>
    <w:rsid w:val="0942143F"/>
    <w:rsid w:val="0AB75B61"/>
    <w:rsid w:val="0AD266B7"/>
    <w:rsid w:val="0B07496E"/>
    <w:rsid w:val="0D100297"/>
    <w:rsid w:val="0D202B45"/>
    <w:rsid w:val="0DD11704"/>
    <w:rsid w:val="0F8D4C87"/>
    <w:rsid w:val="0F9C4F66"/>
    <w:rsid w:val="10505FAA"/>
    <w:rsid w:val="105F7E7E"/>
    <w:rsid w:val="118A052F"/>
    <w:rsid w:val="11E56B5B"/>
    <w:rsid w:val="120B6A97"/>
    <w:rsid w:val="125C77AB"/>
    <w:rsid w:val="126E6E81"/>
    <w:rsid w:val="135724C7"/>
    <w:rsid w:val="14CB726E"/>
    <w:rsid w:val="152F34BE"/>
    <w:rsid w:val="16825D1F"/>
    <w:rsid w:val="17E92249"/>
    <w:rsid w:val="183C6BEA"/>
    <w:rsid w:val="18A0245E"/>
    <w:rsid w:val="18A95B52"/>
    <w:rsid w:val="18D304F1"/>
    <w:rsid w:val="19B04BFA"/>
    <w:rsid w:val="19F32577"/>
    <w:rsid w:val="19F45B80"/>
    <w:rsid w:val="1B0706AD"/>
    <w:rsid w:val="1B0C078D"/>
    <w:rsid w:val="1B2B31E2"/>
    <w:rsid w:val="1B4C295A"/>
    <w:rsid w:val="1B973C63"/>
    <w:rsid w:val="1BA1001E"/>
    <w:rsid w:val="1D317259"/>
    <w:rsid w:val="1E664F5B"/>
    <w:rsid w:val="1EB34BE1"/>
    <w:rsid w:val="215E639F"/>
    <w:rsid w:val="21EC3183"/>
    <w:rsid w:val="225E72CD"/>
    <w:rsid w:val="246E2F77"/>
    <w:rsid w:val="254B4E2B"/>
    <w:rsid w:val="26843140"/>
    <w:rsid w:val="270F0029"/>
    <w:rsid w:val="272833E6"/>
    <w:rsid w:val="282C2B17"/>
    <w:rsid w:val="283D7C94"/>
    <w:rsid w:val="29480E03"/>
    <w:rsid w:val="2983634D"/>
    <w:rsid w:val="299B48AB"/>
    <w:rsid w:val="2AC87744"/>
    <w:rsid w:val="2B1C6459"/>
    <w:rsid w:val="2BB02055"/>
    <w:rsid w:val="2C575A56"/>
    <w:rsid w:val="2CD54A3F"/>
    <w:rsid w:val="2F257714"/>
    <w:rsid w:val="2F3275E5"/>
    <w:rsid w:val="2F4B7B43"/>
    <w:rsid w:val="2FD55C94"/>
    <w:rsid w:val="30AA08EF"/>
    <w:rsid w:val="30D23D1C"/>
    <w:rsid w:val="31221CF5"/>
    <w:rsid w:val="31400178"/>
    <w:rsid w:val="31B32047"/>
    <w:rsid w:val="31D64A55"/>
    <w:rsid w:val="31DB6675"/>
    <w:rsid w:val="321E3342"/>
    <w:rsid w:val="32724AF9"/>
    <w:rsid w:val="327759C8"/>
    <w:rsid w:val="330579E5"/>
    <w:rsid w:val="33185FE3"/>
    <w:rsid w:val="33220F3C"/>
    <w:rsid w:val="34EE2E36"/>
    <w:rsid w:val="36777241"/>
    <w:rsid w:val="38A951DB"/>
    <w:rsid w:val="38B31605"/>
    <w:rsid w:val="39003F4F"/>
    <w:rsid w:val="3B8C4BDA"/>
    <w:rsid w:val="3C07002B"/>
    <w:rsid w:val="3D0D152A"/>
    <w:rsid w:val="3DF62756"/>
    <w:rsid w:val="3EC03F51"/>
    <w:rsid w:val="3F1B7587"/>
    <w:rsid w:val="40463B9F"/>
    <w:rsid w:val="40B23D27"/>
    <w:rsid w:val="41E57B4F"/>
    <w:rsid w:val="432F26F6"/>
    <w:rsid w:val="43880F63"/>
    <w:rsid w:val="441C5A6F"/>
    <w:rsid w:val="444C5F56"/>
    <w:rsid w:val="44B6427D"/>
    <w:rsid w:val="44C44FCC"/>
    <w:rsid w:val="44CC7369"/>
    <w:rsid w:val="457F5108"/>
    <w:rsid w:val="4635249F"/>
    <w:rsid w:val="46951B6B"/>
    <w:rsid w:val="496E2094"/>
    <w:rsid w:val="49A34401"/>
    <w:rsid w:val="4A3E30AB"/>
    <w:rsid w:val="4AC14DAC"/>
    <w:rsid w:val="4CA94729"/>
    <w:rsid w:val="4D154C85"/>
    <w:rsid w:val="4E1539B8"/>
    <w:rsid w:val="4EC8553A"/>
    <w:rsid w:val="508F4E24"/>
    <w:rsid w:val="51461E90"/>
    <w:rsid w:val="51463753"/>
    <w:rsid w:val="51801902"/>
    <w:rsid w:val="518F1D3C"/>
    <w:rsid w:val="52553A93"/>
    <w:rsid w:val="53521F8B"/>
    <w:rsid w:val="53855E5F"/>
    <w:rsid w:val="53E22F47"/>
    <w:rsid w:val="54522FF8"/>
    <w:rsid w:val="55450629"/>
    <w:rsid w:val="554E04A7"/>
    <w:rsid w:val="55A2626B"/>
    <w:rsid w:val="56692963"/>
    <w:rsid w:val="568B0F48"/>
    <w:rsid w:val="5786217B"/>
    <w:rsid w:val="59337A15"/>
    <w:rsid w:val="59805DD4"/>
    <w:rsid w:val="59810274"/>
    <w:rsid w:val="5C553181"/>
    <w:rsid w:val="5CA96A00"/>
    <w:rsid w:val="5CEC790B"/>
    <w:rsid w:val="5CF730BC"/>
    <w:rsid w:val="5D611CB6"/>
    <w:rsid w:val="5DA561BC"/>
    <w:rsid w:val="5E0A74B6"/>
    <w:rsid w:val="5E5F0DCE"/>
    <w:rsid w:val="5FA40A7B"/>
    <w:rsid w:val="5FD56D29"/>
    <w:rsid w:val="5FE575B3"/>
    <w:rsid w:val="5FEC7F3F"/>
    <w:rsid w:val="60086A91"/>
    <w:rsid w:val="60F74BC3"/>
    <w:rsid w:val="617D3BF8"/>
    <w:rsid w:val="61841F6A"/>
    <w:rsid w:val="623007A9"/>
    <w:rsid w:val="637D7558"/>
    <w:rsid w:val="644F19AC"/>
    <w:rsid w:val="64F42F38"/>
    <w:rsid w:val="656D3272"/>
    <w:rsid w:val="65AA4920"/>
    <w:rsid w:val="66203AE4"/>
    <w:rsid w:val="667B0635"/>
    <w:rsid w:val="67694F1E"/>
    <w:rsid w:val="67B155F4"/>
    <w:rsid w:val="68225670"/>
    <w:rsid w:val="6890498C"/>
    <w:rsid w:val="68936AC4"/>
    <w:rsid w:val="68966F60"/>
    <w:rsid w:val="68D11CB8"/>
    <w:rsid w:val="69597934"/>
    <w:rsid w:val="6A5A758C"/>
    <w:rsid w:val="6B964DDC"/>
    <w:rsid w:val="6C783074"/>
    <w:rsid w:val="6D5B50DE"/>
    <w:rsid w:val="6D9E65C6"/>
    <w:rsid w:val="6DA81947"/>
    <w:rsid w:val="6EB66DE2"/>
    <w:rsid w:val="6ED3075F"/>
    <w:rsid w:val="6F2A2D4B"/>
    <w:rsid w:val="6F8A0C1E"/>
    <w:rsid w:val="6FCB5100"/>
    <w:rsid w:val="703F45D4"/>
    <w:rsid w:val="715D6546"/>
    <w:rsid w:val="71BE069E"/>
    <w:rsid w:val="71E24444"/>
    <w:rsid w:val="72CC7D1F"/>
    <w:rsid w:val="73953409"/>
    <w:rsid w:val="73E069A3"/>
    <w:rsid w:val="74037BE4"/>
    <w:rsid w:val="76566E77"/>
    <w:rsid w:val="76625077"/>
    <w:rsid w:val="76A54D29"/>
    <w:rsid w:val="78104AA8"/>
    <w:rsid w:val="783E2823"/>
    <w:rsid w:val="784A49A4"/>
    <w:rsid w:val="78E257C5"/>
    <w:rsid w:val="794B35BE"/>
    <w:rsid w:val="79C570F9"/>
    <w:rsid w:val="7AA708D1"/>
    <w:rsid w:val="7B0A3A31"/>
    <w:rsid w:val="7B3360ED"/>
    <w:rsid w:val="7B5319F3"/>
    <w:rsid w:val="7BDF037E"/>
    <w:rsid w:val="7BF50948"/>
    <w:rsid w:val="7CE66A78"/>
    <w:rsid w:val="7D23564C"/>
    <w:rsid w:val="7D5E062D"/>
    <w:rsid w:val="7DF76CD8"/>
    <w:rsid w:val="7E3E1D33"/>
    <w:rsid w:val="7E8E69B7"/>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 w:type="paragraph" w:customStyle="1" w:styleId="12">
    <w:name w:val="summary ml"/>
    <w:basedOn w:val="1"/>
    <w:qFormat/>
    <w:uiPriority w:val="0"/>
    <w:pPr>
      <w:widowControl/>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3.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606.07</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4.65</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社会保障和就业支出</c:v>
                </c:pt>
                <c:pt idx="2">
                  <c:v>其他支出</c:v>
                </c:pt>
                <c:pt idx="3">
                  <c:v>农林水支出</c:v>
                </c:pt>
                <c:pt idx="4">
                  <c:v>住房保障支出</c:v>
                </c:pt>
              </c:strCache>
            </c:strRef>
          </c:cat>
          <c:val>
            <c:numRef>
              <c:f>Sheet1!$B$2:$B$6</c:f>
              <c:numCache>
                <c:formatCode>General</c:formatCode>
                <c:ptCount val="5"/>
                <c:pt idx="0">
                  <c:v>1.05</c:v>
                </c:pt>
                <c:pt idx="1">
                  <c:v>9.88</c:v>
                </c:pt>
                <c:pt idx="2">
                  <c:v>28.92</c:v>
                </c:pt>
                <c:pt idx="3">
                  <c:v>305.49</c:v>
                </c:pt>
                <c:pt idx="4">
                  <c:v>8.38</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社会保障和就业支出</c:v>
                </c:pt>
                <c:pt idx="2">
                  <c:v>其他支出</c:v>
                </c:pt>
                <c:pt idx="3">
                  <c:v>农林水支出</c:v>
                </c:pt>
                <c:pt idx="4">
                  <c:v>住房保障支出</c:v>
                </c:pt>
              </c:strCache>
            </c:strRef>
          </c:cat>
          <c:val>
            <c:numRef>
              <c:f>Sheet1!$C$2:$C$6</c:f>
              <c:numCache>
                <c:formatCode>General</c:formatCode>
                <c:ptCount val="5"/>
                <c:pt idx="0">
                  <c:v>4.26</c:v>
                </c:pt>
                <c:pt idx="1">
                  <c:v>12.01</c:v>
                </c:pt>
                <c:pt idx="2">
                  <c:v>17.63</c:v>
                </c:pt>
                <c:pt idx="3">
                  <c:v>564.33</c:v>
                </c:pt>
                <c:pt idx="4">
                  <c:v>7.83</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Sheet1!$A$2:$A$10</c:f>
              <c:numCache>
                <c:formatCode>General</c:formatCode>
                <c:ptCount val="9"/>
                <c:pt idx="0">
                  <c:v>201</c:v>
                </c:pt>
                <c:pt idx="1">
                  <c:v>20129</c:v>
                </c:pt>
                <c:pt idx="2">
                  <c:v>2012999</c:v>
                </c:pt>
                <c:pt idx="3">
                  <c:v>20136</c:v>
                </c:pt>
                <c:pt idx="4">
                  <c:v>2013601</c:v>
                </c:pt>
              </c:numCache>
            </c:numRef>
          </c:cat>
          <c:val>
            <c:numRef>
              <c:f>Sheet1!$B$2:$B$10</c:f>
              <c:numCache>
                <c:formatCode>General</c:formatCode>
                <c:ptCount val="9"/>
                <c:pt idx="0">
                  <c:v>4.26</c:v>
                </c:pt>
                <c:pt idx="1">
                  <c:v>1.46</c:v>
                </c:pt>
                <c:pt idx="2">
                  <c:v>1.46</c:v>
                </c:pt>
                <c:pt idx="3">
                  <c:v>2.8</c:v>
                </c:pt>
                <c:pt idx="4">
                  <c:v>2.8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2080505</c:v>
                </c:pt>
                <c:pt idx="3">
                  <c:v>208x</c:v>
                </c:pt>
              </c:strCache>
            </c:strRef>
          </c:cat>
          <c:val>
            <c:numRef>
              <c:f>Sheet1!$B$2:$B$5</c:f>
              <c:numCache>
                <c:formatCode>General</c:formatCode>
                <c:ptCount val="4"/>
                <c:pt idx="0">
                  <c:v>12.01</c:v>
                </c:pt>
                <c:pt idx="3">
                  <c:v>12.01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农林水</a:t>
            </a:r>
            <a:r>
              <a:rPr lang="en-US"/>
              <a:t>支出</a:t>
            </a:r>
            <a:endParaRPr lang="en-US" sz="1100"/>
          </a:p>
        </c:rich>
      </c:tx>
      <c:layout/>
      <c:overlay val="0"/>
      <c:spPr>
        <a:noFill/>
        <a:ln>
          <a:noFill/>
        </a:ln>
        <a:effectLst/>
      </c:spPr>
    </c:title>
    <c:autoTitleDeleted val="0"/>
    <c:plotArea>
      <c:layout>
        <c:manualLayout>
          <c:layoutTarget val="inner"/>
          <c:xMode val="edge"/>
          <c:yMode val="edge"/>
          <c:x val="0.0764296863913722"/>
          <c:y val="0.17239336492891"/>
          <c:w val="0.892351355186604"/>
          <c:h val="0.645616113744076"/>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2130104</c:v>
                </c:pt>
                <c:pt idx="1">
                  <c:v>2130122</c:v>
                </c:pt>
                <c:pt idx="2">
                  <c:v>2130124</c:v>
                </c:pt>
                <c:pt idx="3">
                  <c:v>2130599</c:v>
                </c:pt>
                <c:pt idx="4">
                  <c:v>213x</c:v>
                </c:pt>
              </c:strCache>
            </c:strRef>
          </c:cat>
          <c:val>
            <c:numRef>
              <c:f>Sheet1!$B$2:$B$6</c:f>
              <c:numCache>
                <c:formatCode>General</c:formatCode>
                <c:ptCount val="5"/>
                <c:pt idx="0">
                  <c:v>415.63</c:v>
                </c:pt>
                <c:pt idx="1">
                  <c:v>61</c:v>
                </c:pt>
                <c:pt idx="2">
                  <c:v>58</c:v>
                </c:pt>
                <c:pt idx="3">
                  <c:v>29.7</c:v>
                </c:pt>
                <c:pt idx="4">
                  <c:v>564.33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manualLayout>
          <c:xMode val="edge"/>
          <c:yMode val="edge"/>
          <c:x val="0.341492833829999"/>
          <c:y val="0.0805687203791469"/>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221X</c:v>
                </c:pt>
                <c:pt idx="1">
                  <c:v>2210201</c:v>
                </c:pt>
              </c:strCache>
            </c:strRef>
          </c:cat>
          <c:val>
            <c:numRef>
              <c:f>Sheet1!$B$2:$B$3</c:f>
              <c:numCache>
                <c:formatCode>General</c:formatCode>
                <c:ptCount val="2"/>
                <c:pt idx="0">
                  <c:v>7.83</c:v>
                </c:pt>
                <c:pt idx="1">
                  <c:v>7.83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其他</a:t>
            </a:r>
            <a:r>
              <a:rPr lang="en-US"/>
              <a:t>支出</a:t>
            </a:r>
            <a:endParaRPr lang="en-US" sz="1100"/>
          </a:p>
        </c:rich>
      </c:tx>
      <c:layout>
        <c:manualLayout>
          <c:xMode val="edge"/>
          <c:yMode val="edge"/>
          <c:x val="0.335816659571449"/>
          <c:y val="0.023696682464455"/>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17.63</c:v>
                </c:pt>
                <c:pt idx="1">
                  <c:v>17.63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29.13</c:v>
                </c:pt>
                <c:pt idx="1">
                  <c:v>17.53</c:v>
                </c:pt>
                <c:pt idx="2">
                  <c:v>27.45</c:v>
                </c:pt>
                <c:pt idx="3">
                  <c:v>1.2</c:v>
                </c:pt>
                <c:pt idx="4">
                  <c:v>0</c:v>
                </c:pt>
                <c:pt idx="5">
                  <c:v>12.97</c:v>
                </c:pt>
                <c:pt idx="6">
                  <c:v>0</c:v>
                </c:pt>
                <c:pt idx="7">
                  <c:v>5.32</c:v>
                </c:pt>
                <c:pt idx="8">
                  <c:v>0</c:v>
                </c:pt>
                <c:pt idx="9">
                  <c:v>0.43</c:v>
                </c:pt>
                <c:pt idx="10">
                  <c:v>7.92</c:v>
                </c:pt>
                <c:pt idx="11">
                  <c:v>0</c:v>
                </c:pt>
                <c:pt idx="12">
                  <c:v>11.92</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1.1</c:v>
                </c:pt>
                <c:pt idx="1">
                  <c:v>0</c:v>
                </c:pt>
                <c:pt idx="2">
                  <c:v>0</c:v>
                </c:pt>
                <c:pt idx="3">
                  <c:v>0</c:v>
                </c:pt>
                <c:pt idx="4">
                  <c:v>0.1</c:v>
                </c:pt>
                <c:pt idx="5">
                  <c:v>0.24</c:v>
                </c:pt>
                <c:pt idx="6">
                  <c:v>1.16</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1.46</c:v>
                </c:pt>
                <c:pt idx="22">
                  <c:v>0</c:v>
                </c:pt>
                <c:pt idx="23">
                  <c:v>0</c:v>
                </c:pt>
                <c:pt idx="24">
                  <c:v>6.3</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1</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2023-11-24T02:02:42Z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4773DAD2CD474615ABA50A0F94E242EE_13</vt:lpwstr>
  </property>
</Properties>
</file>