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center"/>
        <w:rPr>
          <w:rFonts w:ascii="黑体" w:hAnsi="黑体" w:eastAsia="黑体" w:cs="黑体"/>
          <w:b/>
          <w:bCs/>
          <w:color w:val="auto"/>
          <w:sz w:val="52"/>
          <w:szCs w:val="52"/>
          <w:highlight w:val="none"/>
        </w:rPr>
      </w:pPr>
      <w:r>
        <w:rPr>
          <w:rFonts w:hint="eastAsia" w:ascii="黑体" w:hAnsi="黑体" w:eastAsia="黑体" w:cs="黑体"/>
          <w:b/>
          <w:bCs/>
          <w:color w:val="auto"/>
          <w:sz w:val="52"/>
          <w:szCs w:val="52"/>
          <w:highlight w:val="none"/>
          <w:lang w:val="en-US" w:eastAsia="zh-CN"/>
        </w:rPr>
        <w:t>环江毛南族自治县爱山林业试验场</w:t>
      </w:r>
      <w:r>
        <w:rPr>
          <w:rFonts w:hint="eastAsia" w:ascii="黑体" w:hAnsi="黑体" w:eastAsia="黑体" w:cs="黑体"/>
          <w:b/>
          <w:bCs/>
          <w:color w:val="auto"/>
          <w:sz w:val="52"/>
          <w:szCs w:val="52"/>
          <w:highlight w:val="none"/>
        </w:rPr>
        <w:t>2022年度部门决算</w:t>
      </w:r>
    </w:p>
    <w:p>
      <w:pPr>
        <w:jc w:val="center"/>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rPr>
        <w:t>2023年</w:t>
      </w:r>
      <w:r>
        <w:rPr>
          <w:rFonts w:hint="eastAsia" w:ascii="黑体" w:hAnsi="黑体" w:eastAsia="黑体" w:cs="黑体"/>
          <w:b/>
          <w:bCs/>
          <w:color w:val="auto"/>
          <w:sz w:val="36"/>
          <w:szCs w:val="36"/>
          <w:highlight w:val="none"/>
          <w:lang w:val="en-US" w:eastAsia="zh-CN"/>
        </w:rPr>
        <w:t>10</w:t>
      </w:r>
      <w:r>
        <w:rPr>
          <w:rFonts w:hint="eastAsia" w:ascii="黑体" w:hAnsi="黑体" w:eastAsia="黑体" w:cs="黑体"/>
          <w:b/>
          <w:bCs/>
          <w:color w:val="auto"/>
          <w:sz w:val="36"/>
          <w:szCs w:val="36"/>
          <w:highlight w:val="none"/>
        </w:rPr>
        <w:t>月</w:t>
      </w:r>
    </w:p>
    <w:p>
      <w:pPr>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pPr>
        <w:jc w:val="center"/>
        <w:rPr>
          <w:rFonts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目</w:t>
      </w:r>
      <w:r>
        <w:rPr>
          <w:rFonts w:hint="eastAsia" w:ascii="黑体" w:hAnsi="黑体" w:eastAsia="黑体" w:cs="黑体"/>
          <w:b/>
          <w:bCs/>
          <w:color w:val="auto"/>
          <w:sz w:val="36"/>
          <w:szCs w:val="36"/>
          <w:highlight w:val="none"/>
          <w:lang w:val="en-US" w:eastAsia="zh-CN"/>
        </w:rPr>
        <w:t xml:space="preserve">  </w:t>
      </w:r>
      <w:r>
        <w:rPr>
          <w:rFonts w:hint="eastAsia" w:ascii="黑体" w:hAnsi="黑体" w:eastAsia="黑体" w:cs="黑体"/>
          <w:b/>
          <w:bCs/>
          <w:color w:val="auto"/>
          <w:sz w:val="36"/>
          <w:szCs w:val="36"/>
          <w:highlight w:val="none"/>
        </w:rPr>
        <w:t xml:space="preserve"> 录</w:t>
      </w:r>
    </w:p>
    <w:p>
      <w:pPr>
        <w:jc w:val="left"/>
        <w:rPr>
          <w:rFonts w:ascii="黑体" w:hAnsi="黑体" w:eastAsia="黑体" w:cs="黑体"/>
          <w:b/>
          <w:bCs/>
          <w:color w:val="auto"/>
          <w:sz w:val="36"/>
          <w:szCs w:val="36"/>
          <w:highlight w:val="none"/>
        </w:rPr>
      </w:pP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第一部分：</w:t>
      </w:r>
      <w:r>
        <w:rPr>
          <w:rFonts w:hint="eastAsia" w:ascii="黑体" w:hAnsi="黑体" w:eastAsia="黑体" w:cs="黑体"/>
          <w:color w:val="auto"/>
          <w:sz w:val="32"/>
          <w:u w:color="auto"/>
          <w:lang w:eastAsia="zh-CN"/>
        </w:rPr>
        <w:t>环江毛南族自治县爱山林业试验场</w:t>
      </w:r>
      <w:r>
        <w:rPr>
          <w:rFonts w:hint="eastAsia" w:ascii="黑体" w:hAnsi="黑体" w:eastAsia="黑体" w:cs="黑体"/>
          <w:color w:val="auto"/>
          <w:sz w:val="32"/>
          <w:szCs w:val="32"/>
          <w:highlight w:val="none"/>
        </w:rPr>
        <w:t>概况</w:t>
      </w:r>
    </w:p>
    <w:p>
      <w:pPr>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一、主要职能</w:t>
      </w:r>
    </w:p>
    <w:p>
      <w:pPr>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二、部门决算单位构成</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w:t>
      </w:r>
      <w:r>
        <w:rPr>
          <w:rFonts w:hint="eastAsia" w:ascii="黑体" w:hAnsi="黑体" w:eastAsia="黑体" w:cs="黑体"/>
          <w:color w:val="auto"/>
          <w:sz w:val="32"/>
          <w:u w:color="auto"/>
          <w:lang w:eastAsia="zh-CN"/>
        </w:rPr>
        <w:t>环江毛南族自治县爱山林业试验场</w:t>
      </w:r>
      <w:r>
        <w:rPr>
          <w:rFonts w:hint="eastAsia" w:ascii="黑体" w:hAnsi="黑体" w:eastAsia="黑体" w:cs="黑体"/>
          <w:color w:val="auto"/>
          <w:sz w:val="32"/>
          <w:szCs w:val="32"/>
          <w:highlight w:val="none"/>
        </w:rPr>
        <w:t>2022年度部门决算报表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表一：收入支出决算总表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表二：收入决算表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表三：支出决算表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表四：财政拨款收入支出决算总表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表五：一般公共预算财政拨款支出决算表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表六：一般公共预算财政拨款基本支出决算明细表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表七：政府性基金</w:t>
      </w:r>
      <w:r>
        <w:rPr>
          <w:rFonts w:hint="eastAsia" w:ascii="仿宋_GB2312" w:hAnsi="黑体" w:eastAsia="仿宋_GB2312"/>
          <w:color w:val="auto"/>
          <w:sz w:val="32"/>
          <w:szCs w:val="32"/>
          <w:highlight w:val="none"/>
        </w:rPr>
        <w:t>预算财政拨款</w:t>
      </w:r>
      <w:r>
        <w:rPr>
          <w:rFonts w:hint="eastAsia" w:ascii="仿宋_GB2312" w:eastAsia="仿宋_GB2312"/>
          <w:color w:val="auto"/>
          <w:sz w:val="32"/>
          <w:szCs w:val="32"/>
          <w:highlight w:val="none"/>
        </w:rPr>
        <w:t>收入支出决算表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表八：国有资本经营预算</w:t>
      </w:r>
      <w:r>
        <w:rPr>
          <w:rFonts w:hint="eastAsia" w:ascii="仿宋_GB2312" w:hAnsi="黑体" w:eastAsia="仿宋_GB2312"/>
          <w:color w:val="auto"/>
          <w:sz w:val="32"/>
          <w:szCs w:val="32"/>
          <w:highlight w:val="none"/>
        </w:rPr>
        <w:t>财政拨款</w:t>
      </w:r>
      <w:r>
        <w:rPr>
          <w:rFonts w:hint="eastAsia" w:ascii="仿宋_GB2312" w:eastAsia="仿宋_GB2312"/>
          <w:color w:val="auto"/>
          <w:sz w:val="32"/>
          <w:szCs w:val="32"/>
          <w:highlight w:val="none"/>
        </w:rPr>
        <w:t>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表九：一般公共预算财政拨款安排的“三公”经费支出决算表</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第三部分：</w:t>
      </w:r>
      <w:r>
        <w:rPr>
          <w:rFonts w:hint="eastAsia" w:ascii="黑体" w:hAnsi="黑体" w:eastAsia="黑体" w:cs="黑体"/>
          <w:color w:val="auto"/>
          <w:sz w:val="32"/>
          <w:u w:color="auto"/>
          <w:lang w:eastAsia="zh-CN"/>
        </w:rPr>
        <w:t>环江毛南族自治县爱山林业试验场</w:t>
      </w:r>
      <w:r>
        <w:rPr>
          <w:rFonts w:hint="eastAsia" w:ascii="黑体" w:hAnsi="黑体" w:eastAsia="黑体" w:cs="黑体"/>
          <w:color w:val="auto"/>
          <w:sz w:val="32"/>
          <w:szCs w:val="32"/>
          <w:highlight w:val="none"/>
        </w:rPr>
        <w:t>2022年度部门决算情况说明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一、</w:t>
      </w:r>
      <w:r>
        <w:rPr>
          <w:rFonts w:hint="eastAsia" w:ascii="仿宋_GB2312" w:eastAsia="仿宋_GB2312"/>
          <w:color w:val="auto"/>
          <w:kern w:val="0"/>
          <w:sz w:val="32"/>
          <w:szCs w:val="32"/>
          <w:highlight w:val="none"/>
        </w:rPr>
        <w:t>202</w:t>
      </w:r>
      <w:r>
        <w:rPr>
          <w:rFonts w:hint="eastAsia" w:ascii="仿宋_GB2312" w:eastAsia="仿宋_GB2312"/>
          <w:color w:val="auto"/>
          <w:kern w:val="0"/>
          <w:sz w:val="32"/>
          <w:szCs w:val="32"/>
          <w:highlight w:val="none"/>
          <w:lang w:val="en-US" w:eastAsia="zh-CN"/>
        </w:rPr>
        <w:t>2</w:t>
      </w:r>
      <w:r>
        <w:rPr>
          <w:rFonts w:hint="eastAsia" w:ascii="仿宋_GB2312" w:eastAsia="仿宋_GB2312" w:cs="仿宋_GB2312"/>
          <w:color w:val="auto"/>
          <w:kern w:val="0"/>
          <w:sz w:val="32"/>
          <w:szCs w:val="32"/>
          <w:highlight w:val="none"/>
        </w:rPr>
        <w:t>年度收入支出决算总体情况。</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二、</w:t>
      </w:r>
      <w:r>
        <w:rPr>
          <w:rFonts w:hint="eastAsia" w:ascii="仿宋_GB2312" w:eastAsia="仿宋_GB2312"/>
          <w:color w:val="auto"/>
          <w:kern w:val="0"/>
          <w:sz w:val="32"/>
          <w:szCs w:val="32"/>
          <w:highlight w:val="none"/>
        </w:rPr>
        <w:t>20</w:t>
      </w:r>
      <w:r>
        <w:rPr>
          <w:rFonts w:hint="eastAsia" w:ascii="仿宋_GB2312" w:eastAsia="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w:t>
      </w:r>
      <w:r>
        <w:rPr>
          <w:rFonts w:hint="eastAsia" w:ascii="仿宋_GB2312" w:eastAsia="仿宋_GB2312"/>
          <w:color w:val="auto"/>
          <w:sz w:val="32"/>
          <w:szCs w:val="32"/>
          <w:highlight w:val="none"/>
        </w:rPr>
        <w:t>一般</w:t>
      </w:r>
      <w:r>
        <w:rPr>
          <w:rFonts w:hint="eastAsia" w:ascii="仿宋_GB2312" w:eastAsia="仿宋_GB2312" w:cs="仿宋_GB2312"/>
          <w:color w:val="auto"/>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三、20</w:t>
      </w:r>
      <w:r>
        <w:rPr>
          <w:rFonts w:hint="eastAsia" w:ascii="仿宋_GB2312" w:eastAsia="仿宋_GB2312" w:cs="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四、</w:t>
      </w:r>
      <w:r>
        <w:rPr>
          <w:rFonts w:hint="eastAsia" w:ascii="仿宋_GB2312" w:eastAsia="仿宋_GB2312"/>
          <w:color w:val="auto"/>
          <w:kern w:val="0"/>
          <w:sz w:val="32"/>
          <w:szCs w:val="32"/>
          <w:highlight w:val="none"/>
        </w:rPr>
        <w:t>20</w:t>
      </w:r>
      <w:r>
        <w:rPr>
          <w:rFonts w:hint="eastAsia" w:ascii="仿宋_GB2312" w:eastAsia="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color w:val="auto"/>
          <w:kern w:val="0"/>
          <w:sz w:val="32"/>
          <w:szCs w:val="32"/>
          <w:highlight w:val="none"/>
          <w:lang w:eastAsia="zh-CN"/>
        </w:rPr>
      </w:pPr>
      <w:r>
        <w:rPr>
          <w:rFonts w:hint="eastAsia" w:ascii="仿宋_GB2312" w:eastAsia="仿宋_GB2312" w:cs="仿宋_GB2312"/>
          <w:color w:val="auto"/>
          <w:kern w:val="0"/>
          <w:sz w:val="32"/>
          <w:szCs w:val="32"/>
          <w:highlight w:val="none"/>
        </w:rPr>
        <w:t>五、20</w:t>
      </w:r>
      <w:r>
        <w:rPr>
          <w:rFonts w:hint="eastAsia" w:ascii="仿宋_GB2312" w:eastAsia="仿宋_GB2312" w:cs="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年度国有资本经营预算支出决算情况</w:t>
      </w:r>
      <w:r>
        <w:rPr>
          <w:rFonts w:hint="eastAsia" w:ascii="仿宋_GB2312" w:eastAsia="仿宋_GB2312" w:cs="仿宋_GB2312"/>
          <w:color w:val="auto"/>
          <w:kern w:val="0"/>
          <w:sz w:val="32"/>
          <w:szCs w:val="32"/>
          <w:highlight w:val="none"/>
          <w:lang w:eastAsia="zh-CN"/>
        </w:rPr>
        <w:t>。</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六、</w:t>
      </w:r>
      <w:r>
        <w:rPr>
          <w:rFonts w:hint="eastAsia" w:ascii="仿宋_GB2312" w:eastAsia="仿宋_GB2312"/>
          <w:color w:val="auto"/>
          <w:sz w:val="32"/>
          <w:szCs w:val="32"/>
          <w:highlight w:val="none"/>
        </w:rPr>
        <w:t>一般</w:t>
      </w:r>
      <w:r>
        <w:rPr>
          <w:rFonts w:hint="eastAsia" w:ascii="仿宋_GB2312" w:eastAsia="仿宋_GB2312" w:cs="仿宋_GB2312"/>
          <w:color w:val="auto"/>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七、其他重要事项情况说明。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第四部分：名词解释</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pPr>
        <w:jc w:val="center"/>
        <w:rPr>
          <w:rFonts w:ascii="仿宋" w:hAnsi="仿宋" w:eastAsia="仿宋" w:cs="仿宋"/>
          <w:color w:val="auto"/>
          <w:sz w:val="32"/>
          <w:szCs w:val="32"/>
          <w:highlight w:val="none"/>
        </w:rPr>
      </w:pPr>
      <w:r>
        <w:rPr>
          <w:rFonts w:hint="eastAsia" w:ascii="黑体" w:hAnsi="黑体" w:eastAsia="黑体" w:cs="黑体"/>
          <w:b/>
          <w:bCs/>
          <w:color w:val="auto"/>
          <w:sz w:val="32"/>
          <w:szCs w:val="32"/>
          <w:highlight w:val="none"/>
        </w:rPr>
        <w:t>第一部分：</w:t>
      </w:r>
      <w:r>
        <w:rPr>
          <w:rFonts w:hint="eastAsia" w:ascii="黑体" w:hAnsi="黑体" w:eastAsia="黑体" w:cs="黑体"/>
          <w:b/>
          <w:color w:val="auto"/>
          <w:sz w:val="32"/>
          <w:u w:color="auto"/>
          <w:lang w:eastAsia="zh-CN"/>
        </w:rPr>
        <w:t>环江毛南族自治县爱山林业试验场</w:t>
      </w:r>
      <w:r>
        <w:rPr>
          <w:rFonts w:hint="eastAsia" w:ascii="黑体" w:hAnsi="黑体" w:eastAsia="黑体" w:cs="黑体"/>
          <w:b/>
          <w:bCs/>
          <w:color w:val="auto"/>
          <w:sz w:val="32"/>
          <w:szCs w:val="32"/>
          <w:highlight w:val="none"/>
        </w:rPr>
        <w:t>概况</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一、主要职能</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(一)负责贯彻执行国家有关林业的方针政策和法律法规，保护培育森林资源，维护国家生态安全。</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(二)负责制定国有林场中长期发展规划和年度计划并负责组织实施。开展资源调查、林业统计、林业资产核算和森林资源档案管理工作。</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(三)负责管护区域内的森林防火宣传及森林火灾扑救工作，确保国有森林资源不受损失。</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(四)负责管护区域内森林资源培育保护、野生动植物资源保护、林业有害生物防治工作。</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(五)依据国家和自治区相关的管理规定，做好辖区内重点公益林管理工作。负责林场森林资源保护管理情况的考核。</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(六)负责林场林木、林产品和其他产品管理。</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(七)负责林场社会事务管理工作，确保林区社会安全稳定。</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(八)承办县委、县政府及上级主管部门交办的其他事项。</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二、部门决算单位构成</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我部门没有下属单位，按照部门决算编报要求，单独编制本部门决算。</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爱山林业试验场设3个内设机构：办公室、营林绿化股、护林防火股。核定财政全额拨款事业编制9名，退休人员24名。具体情况如下表：</w:t>
      </w:r>
    </w:p>
    <w:p>
      <w:pPr>
        <w:ind w:firstLine="640" w:firstLineChars="200"/>
        <w:jc w:val="righ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单位：人</w:t>
      </w:r>
    </w:p>
    <w:tbl>
      <w:tblPr>
        <w:tblStyle w:val="7"/>
        <w:tblW w:w="8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9"/>
        <w:gridCol w:w="513"/>
        <w:gridCol w:w="754"/>
        <w:gridCol w:w="1448"/>
        <w:gridCol w:w="770"/>
        <w:gridCol w:w="1538"/>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2529" w:type="dxa"/>
            <w:vMerge w:val="restart"/>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项目</w:t>
            </w:r>
          </w:p>
        </w:tc>
        <w:tc>
          <w:tcPr>
            <w:tcW w:w="513" w:type="dxa"/>
            <w:vMerge w:val="restart"/>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合计</w:t>
            </w:r>
          </w:p>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p>
        </w:tc>
        <w:tc>
          <w:tcPr>
            <w:tcW w:w="754" w:type="dxa"/>
            <w:vMerge w:val="restart"/>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行政单位</w:t>
            </w:r>
          </w:p>
        </w:tc>
        <w:tc>
          <w:tcPr>
            <w:tcW w:w="2218" w:type="dxa"/>
            <w:gridSpan w:val="2"/>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财政拨款事业单位</w:t>
            </w:r>
          </w:p>
        </w:tc>
        <w:tc>
          <w:tcPr>
            <w:tcW w:w="1538" w:type="dxa"/>
            <w:vMerge w:val="restart"/>
            <w:vAlign w:val="top"/>
          </w:tcPr>
          <w:p>
            <w:pPr>
              <w:keepNext w:val="0"/>
              <w:keepLines w:val="0"/>
              <w:suppressLineNumbers w:val="0"/>
              <w:spacing w:before="0" w:beforeAutospacing="0" w:after="0" w:afterAutospacing="0"/>
              <w:ind w:left="0" w:right="0"/>
              <w:jc w:val="center"/>
              <w:rPr>
                <w:rFonts w:hint="default" w:ascii="仿宋" w:hAnsi="仿宋" w:eastAsia="仿宋" w:cs="仿宋"/>
                <w:color w:val="auto"/>
                <w:kern w:val="2"/>
                <w:sz w:val="32"/>
                <w:szCs w:val="32"/>
                <w:highlight w:val="none"/>
                <w:vertAlign w:val="baseline"/>
                <w:lang w:val="en-US" w:eastAsia="zh-CN" w:bidi="ar-SA"/>
              </w:rPr>
            </w:pPr>
            <w:r>
              <w:rPr>
                <w:rFonts w:hint="eastAsia" w:ascii="仿宋" w:hAnsi="仿宋" w:eastAsia="仿宋" w:cs="仿宋"/>
                <w:color w:val="auto"/>
                <w:sz w:val="32"/>
                <w:szCs w:val="32"/>
                <w:highlight w:val="none"/>
                <w:vertAlign w:val="baseline"/>
                <w:lang w:val="en-US" w:eastAsia="zh-CN"/>
              </w:rPr>
              <w:t>财政补助事业单位</w:t>
            </w:r>
          </w:p>
        </w:tc>
        <w:tc>
          <w:tcPr>
            <w:tcW w:w="905" w:type="dxa"/>
            <w:vMerge w:val="restart"/>
            <w:vAlign w:val="top"/>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32"/>
                <w:szCs w:val="32"/>
                <w:highlight w:val="none"/>
                <w:vertAlign w:val="baseline"/>
                <w:lang w:val="en-US" w:eastAsia="zh-CN" w:bidi="ar-SA"/>
              </w:rPr>
            </w:pPr>
            <w:r>
              <w:rPr>
                <w:rFonts w:hint="eastAsia" w:ascii="仿宋" w:hAnsi="仿宋" w:eastAsia="仿宋" w:cs="仿宋"/>
                <w:color w:val="auto"/>
                <w:sz w:val="32"/>
                <w:szCs w:val="32"/>
                <w:highlight w:val="none"/>
                <w:vertAlign w:val="baseline"/>
                <w:lang w:val="en-US" w:eastAsia="zh-CN"/>
              </w:rPr>
              <w:t>聘用人员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2529" w:type="dxa"/>
            <w:vMerge w:val="continue"/>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p>
        </w:tc>
        <w:tc>
          <w:tcPr>
            <w:tcW w:w="513" w:type="dxa"/>
            <w:vMerge w:val="continue"/>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p>
        </w:tc>
        <w:tc>
          <w:tcPr>
            <w:tcW w:w="754"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1448" w:type="dxa"/>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参（依）照公管理</w:t>
            </w:r>
          </w:p>
        </w:tc>
        <w:tc>
          <w:tcPr>
            <w:tcW w:w="770" w:type="dxa"/>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其他</w:t>
            </w:r>
          </w:p>
        </w:tc>
        <w:tc>
          <w:tcPr>
            <w:tcW w:w="1538" w:type="dxa"/>
            <w:vMerge w:val="continue"/>
            <w:vAlign w:val="top"/>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32"/>
                <w:szCs w:val="32"/>
                <w:highlight w:val="none"/>
                <w:vertAlign w:val="baseline"/>
                <w:lang w:val="en-US" w:eastAsia="zh-CN" w:bidi="ar-SA"/>
              </w:rPr>
            </w:pPr>
          </w:p>
        </w:tc>
        <w:tc>
          <w:tcPr>
            <w:tcW w:w="905" w:type="dxa"/>
            <w:vMerge w:val="continue"/>
            <w:vAlign w:val="top"/>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2529"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编制数</w:t>
            </w:r>
          </w:p>
        </w:tc>
        <w:tc>
          <w:tcPr>
            <w:tcW w:w="513" w:type="dxa"/>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9</w:t>
            </w:r>
          </w:p>
        </w:tc>
        <w:tc>
          <w:tcPr>
            <w:tcW w:w="754"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1448"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770"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1538" w:type="dxa"/>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9</w:t>
            </w:r>
          </w:p>
        </w:tc>
        <w:tc>
          <w:tcPr>
            <w:tcW w:w="905"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529" w:type="dxa"/>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在职人数</w:t>
            </w:r>
          </w:p>
        </w:tc>
        <w:tc>
          <w:tcPr>
            <w:tcW w:w="513" w:type="dxa"/>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8</w:t>
            </w:r>
          </w:p>
        </w:tc>
        <w:tc>
          <w:tcPr>
            <w:tcW w:w="754"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1448"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770"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1538" w:type="dxa"/>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8</w:t>
            </w:r>
          </w:p>
        </w:tc>
        <w:tc>
          <w:tcPr>
            <w:tcW w:w="905"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529" w:type="dxa"/>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其中：在岗人数</w:t>
            </w:r>
          </w:p>
        </w:tc>
        <w:tc>
          <w:tcPr>
            <w:tcW w:w="513" w:type="dxa"/>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8</w:t>
            </w:r>
          </w:p>
        </w:tc>
        <w:tc>
          <w:tcPr>
            <w:tcW w:w="754"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1448"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770"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1538" w:type="dxa"/>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8</w:t>
            </w:r>
          </w:p>
        </w:tc>
        <w:tc>
          <w:tcPr>
            <w:tcW w:w="905"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529" w:type="dxa"/>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离退休人数</w:t>
            </w:r>
          </w:p>
        </w:tc>
        <w:tc>
          <w:tcPr>
            <w:tcW w:w="513" w:type="dxa"/>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25</w:t>
            </w:r>
          </w:p>
        </w:tc>
        <w:tc>
          <w:tcPr>
            <w:tcW w:w="754"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1448"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770"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1538" w:type="dxa"/>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25</w:t>
            </w:r>
          </w:p>
        </w:tc>
        <w:tc>
          <w:tcPr>
            <w:tcW w:w="905"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529" w:type="dxa"/>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其中：离休人数</w:t>
            </w:r>
          </w:p>
        </w:tc>
        <w:tc>
          <w:tcPr>
            <w:tcW w:w="513"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754"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1448"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770"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1538"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905"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529" w:type="dxa"/>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退休人数</w:t>
            </w:r>
          </w:p>
        </w:tc>
        <w:tc>
          <w:tcPr>
            <w:tcW w:w="513" w:type="dxa"/>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25</w:t>
            </w:r>
          </w:p>
        </w:tc>
        <w:tc>
          <w:tcPr>
            <w:tcW w:w="754"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1448"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770"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1538" w:type="dxa"/>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25</w:t>
            </w:r>
          </w:p>
        </w:tc>
        <w:tc>
          <w:tcPr>
            <w:tcW w:w="905"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r>
    </w:tbl>
    <w:p>
      <w:pPr>
        <w:jc w:val="center"/>
        <w:rPr>
          <w:rFonts w:hint="eastAsia" w:ascii="仿宋" w:hAnsi="仿宋" w:eastAsia="仿宋" w:cs="仿宋"/>
          <w:color w:val="auto"/>
          <w:sz w:val="32"/>
          <w:szCs w:val="32"/>
          <w:highlight w:val="none"/>
          <w:lang w:val="en-US" w:eastAsia="zh-CN"/>
        </w:rPr>
      </w:pPr>
    </w:p>
    <w:p>
      <w:pPr>
        <w:jc w:val="center"/>
        <w:rPr>
          <w:rFonts w:hint="eastAsia" w:ascii="黑体" w:hAnsi="黑体" w:eastAsia="黑体" w:cs="黑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both"/>
        <w:rPr>
          <w:rFonts w:hint="eastAsia" w:ascii="黑体" w:hAnsi="黑体" w:eastAsia="黑体" w:cs="黑体"/>
          <w:color w:val="auto"/>
          <w:sz w:val="32"/>
          <w:szCs w:val="32"/>
          <w:highlight w:val="none"/>
          <w:lang w:val="en-US" w:eastAsia="zh-CN"/>
        </w:rPr>
      </w:pPr>
    </w:p>
    <w:p>
      <w:pPr>
        <w:jc w:val="both"/>
        <w:rPr>
          <w:rFonts w:hint="default" w:ascii="黑体" w:hAnsi="黑体" w:eastAsia="黑体" w:cs="黑体"/>
          <w:color w:val="auto"/>
          <w:sz w:val="32"/>
          <w:szCs w:val="32"/>
          <w:highlight w:val="none"/>
          <w:lang w:val="en-US" w:eastAsia="zh-CN"/>
        </w:rPr>
      </w:pPr>
    </w:p>
    <w:p>
      <w:pPr>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w:t>
      </w:r>
      <w:r>
        <w:rPr>
          <w:rFonts w:hint="eastAsia" w:ascii="黑体" w:hAnsi="黑体" w:eastAsia="黑体" w:cs="黑体"/>
          <w:color w:val="auto"/>
          <w:sz w:val="32"/>
          <w:u w:color="auto"/>
          <w:lang w:eastAsia="zh-CN"/>
        </w:rPr>
        <w:t>环江毛南族自治县爱山林业试验场</w:t>
      </w:r>
      <w:r>
        <w:rPr>
          <w:rFonts w:hint="eastAsia" w:ascii="黑体" w:hAnsi="黑体" w:eastAsia="黑体" w:cs="黑体"/>
          <w:color w:val="auto"/>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广西河池市环江毛南族自治县爱山林业试验场</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182.66</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1.50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11.66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117.32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8.75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24.00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19.44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182.66</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182.66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182.66</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182.66</w:t>
            </w:r>
          </w:p>
        </w:tc>
      </w:tr>
    </w:tbl>
    <w:p>
      <w:pPr>
        <w:rPr>
          <w:rFonts w:ascii="宋体" w:hAnsi="宋体" w:eastAsia="宋体" w:cs="宋体"/>
          <w:color w:val="auto"/>
          <w:kern w:val="0"/>
          <w:sz w:val="30"/>
          <w:szCs w:val="30"/>
          <w:highlight w:val="none"/>
          <w:lang w:bidi="ar"/>
        </w:rPr>
      </w:pPr>
      <w:r>
        <w:rPr>
          <w:rFonts w:hint="eastAsia" w:ascii="宋体" w:hAnsi="宋体" w:eastAsia="宋体" w:cs="宋体"/>
          <w:color w:val="auto"/>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广西河池市环江毛南族自治县爱山林业试验场</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182.66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182.66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1.50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1.50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1.50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1.50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1.50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1.50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11.66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11.66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11.66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11.66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11.66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11.66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213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农林水支出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117.32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117.32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21301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农业农村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2130104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事业运行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21302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林业和草原</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116.15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116.15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2130204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事业机构</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84.15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84.15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2130205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森林资源培育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32.00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32.00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8.75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8.75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8.75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8.75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8.75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8.75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灾害防治及应急管理支出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24.00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24.00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22499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其他灾害防治及应急管理支出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24.00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24.00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2249999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其他灾害防治及应急管理支出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24.00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24.00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19.44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19.44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19.44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19.44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19.44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19.44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注：本表反映部门本年度取得的各项收入情况。</w:t>
            </w:r>
          </w:p>
        </w:tc>
      </w:tr>
    </w:tbl>
    <w:p>
      <w:pPr>
        <w:jc w:val="center"/>
        <w:rPr>
          <w:rFonts w:ascii="仿宋" w:hAnsi="仿宋" w:eastAsia="仿宋" w:cs="仿宋"/>
          <w:color w:val="auto"/>
          <w:sz w:val="24"/>
          <w:highlight w:val="none"/>
        </w:rPr>
      </w:pPr>
    </w:p>
    <w:p>
      <w:pPr>
        <w:rPr>
          <w:rFonts w:hint="eastAsia" w:ascii="仿宋" w:hAnsi="仿宋" w:eastAsia="仿宋" w:cs="仿宋"/>
          <w:color w:val="auto"/>
          <w:sz w:val="24"/>
          <w:highlight w:val="none"/>
        </w:rPr>
      </w:pPr>
      <w:r>
        <w:rPr>
          <w:rFonts w:ascii="仿宋" w:hAnsi="仿宋" w:eastAsia="仿宋" w:cs="仿宋"/>
          <w:color w:val="auto"/>
          <w:sz w:val="24"/>
          <w:highlight w:val="none"/>
        </w:rPr>
        <w:br w:type="page"/>
      </w:r>
    </w:p>
    <w:p>
      <w:pPr>
        <w:rPr>
          <w:rFonts w:ascii="仿宋" w:hAnsi="仿宋" w:eastAsia="仿宋" w:cs="仿宋"/>
          <w:color w:val="auto"/>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广西河池市环江毛南族自治县爱山林业试验场</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default" w:ascii="宋体" w:hAnsi="宋体" w:eastAsia="宋体" w:cs="宋体"/>
                <w:b/>
                <w:bCs/>
                <w:color w:val="auto"/>
                <w:sz w:val="22"/>
                <w:szCs w:val="22"/>
                <w:highlight w:val="none"/>
              </w:rPr>
              <w:t>182.66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default" w:ascii="宋体" w:hAnsi="宋体" w:eastAsia="宋体" w:cs="宋体"/>
                <w:b/>
                <w:bCs/>
                <w:color w:val="auto"/>
                <w:sz w:val="22"/>
                <w:szCs w:val="22"/>
                <w:highlight w:val="none"/>
              </w:rPr>
              <w:t>126.66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56.00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default"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1.50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1.50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1.50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1.50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1.50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1.50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11.66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11.66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11.66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11.66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11.66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11.66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213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农林水支出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117.32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85.32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32.00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21301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农业农村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1.16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2130104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事业运行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1.16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21302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林业和草原</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116.15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84.15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32.00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2130204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事业机构</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84.15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84.15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2130205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森林资源培育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32.00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32.00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8.75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8.75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8.75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8.75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8.75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8.75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灾害防治及应急管理支出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24.00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24.00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22499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其他灾害防治及应急管理支出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24.00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24.00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2249999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其他灾害防治及应急管理支出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24.00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24.00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19.44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19.44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19.44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19.44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19.44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19.44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注：本表反映部门本年度各项支出情况。</w:t>
            </w:r>
          </w:p>
        </w:tc>
      </w:tr>
    </w:tbl>
    <w:p>
      <w:pPr>
        <w:rPr>
          <w:rFonts w:ascii="仿宋" w:hAnsi="仿宋" w:eastAsia="仿宋" w:cs="仿宋"/>
          <w:color w:val="auto"/>
          <w:sz w:val="24"/>
          <w:highlight w:val="none"/>
        </w:rPr>
      </w:pPr>
    </w:p>
    <w:p>
      <w:pPr>
        <w:jc w:val="center"/>
        <w:rPr>
          <w:rFonts w:ascii="仿宋" w:hAnsi="仿宋" w:eastAsia="仿宋" w:cs="仿宋"/>
          <w:color w:val="auto"/>
          <w:sz w:val="24"/>
          <w:highlight w:val="none"/>
        </w:rPr>
      </w:pPr>
    </w:p>
    <w:p>
      <w:pPr>
        <w:jc w:val="center"/>
        <w:rPr>
          <w:rFonts w:ascii="仿宋" w:hAnsi="仿宋" w:eastAsia="仿宋" w:cs="仿宋"/>
          <w:color w:val="auto"/>
          <w:sz w:val="24"/>
          <w:highlight w:val="none"/>
        </w:rPr>
      </w:pPr>
    </w:p>
    <w:p>
      <w:pPr>
        <w:jc w:val="center"/>
        <w:rPr>
          <w:rFonts w:ascii="仿宋" w:hAnsi="仿宋" w:eastAsia="仿宋" w:cs="仿宋"/>
          <w:color w:val="auto"/>
          <w:sz w:val="24"/>
          <w:highlight w:val="none"/>
        </w:rPr>
      </w:pPr>
    </w:p>
    <w:p>
      <w:pPr>
        <w:jc w:val="center"/>
        <w:rPr>
          <w:rFonts w:ascii="仿宋" w:hAnsi="仿宋" w:eastAsia="仿宋" w:cs="仿宋"/>
          <w:color w:val="auto"/>
          <w:sz w:val="24"/>
          <w:highlight w:val="none"/>
        </w:rPr>
      </w:pPr>
    </w:p>
    <w:p>
      <w:pPr>
        <w:jc w:val="center"/>
        <w:rPr>
          <w:rFonts w:ascii="仿宋" w:hAnsi="仿宋" w:eastAsia="仿宋" w:cs="仿宋"/>
          <w:color w:val="auto"/>
          <w:sz w:val="24"/>
          <w:highlight w:val="none"/>
        </w:rPr>
      </w:pPr>
    </w:p>
    <w:p>
      <w:pPr>
        <w:jc w:val="center"/>
        <w:rPr>
          <w:rFonts w:ascii="仿宋" w:hAnsi="仿宋" w:eastAsia="仿宋" w:cs="仿宋"/>
          <w:color w:val="auto"/>
          <w:sz w:val="24"/>
          <w:highlight w:val="none"/>
        </w:rPr>
      </w:pPr>
    </w:p>
    <w:p>
      <w:pPr>
        <w:jc w:val="center"/>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表四：财政拨款收入支出决算总表</w:t>
      </w: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广西河池市环江毛南族自治县爱山林业试验场</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182.66</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1.50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1.50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11.66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11.66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117.32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117.32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8.75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8.75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24.00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24.00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19.44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19.44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182.66</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182.66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182.66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182.66</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182.66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182.66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0"/>
                <w:szCs w:val="20"/>
                <w:highlight w:val="none"/>
              </w:rPr>
            </w:pPr>
          </w:p>
        </w:tc>
      </w:tr>
    </w:tbl>
    <w:p>
      <w:pPr>
        <w:rPr>
          <w:rFonts w:ascii="仿宋" w:hAnsi="仿宋" w:eastAsia="仿宋" w:cs="仿宋"/>
          <w:color w:val="auto"/>
          <w:sz w:val="24"/>
          <w:highlight w:val="none"/>
        </w:rPr>
      </w:pPr>
    </w:p>
    <w:p>
      <w:pPr>
        <w:jc w:val="left"/>
        <w:rPr>
          <w:rFonts w:ascii="仿宋" w:hAnsi="仿宋" w:eastAsia="仿宋" w:cs="仿宋"/>
          <w:color w:val="auto"/>
          <w:sz w:val="24"/>
          <w:highlight w:val="none"/>
        </w:rPr>
      </w:pPr>
    </w:p>
    <w:p>
      <w:pPr>
        <w:jc w:val="left"/>
        <w:rPr>
          <w:rFonts w:ascii="仿宋" w:hAnsi="仿宋" w:eastAsia="仿宋" w:cs="仿宋"/>
          <w:color w:val="auto"/>
          <w:sz w:val="24"/>
          <w:highlight w:val="none"/>
        </w:rPr>
      </w:pPr>
    </w:p>
    <w:p>
      <w:pPr>
        <w:jc w:val="left"/>
        <w:rPr>
          <w:rFonts w:ascii="仿宋" w:hAnsi="仿宋" w:eastAsia="仿宋" w:cs="仿宋"/>
          <w:color w:val="auto"/>
          <w:sz w:val="24"/>
          <w:highlight w:val="none"/>
        </w:rPr>
      </w:pPr>
    </w:p>
    <w:p>
      <w:pPr>
        <w:jc w:val="left"/>
        <w:rPr>
          <w:rFonts w:ascii="仿宋" w:hAnsi="仿宋" w:eastAsia="仿宋" w:cs="仿宋"/>
          <w:color w:val="auto"/>
          <w:sz w:val="24"/>
          <w:highlight w:val="none"/>
        </w:rPr>
      </w:pPr>
    </w:p>
    <w:p>
      <w:pPr>
        <w:jc w:val="left"/>
        <w:rPr>
          <w:rFonts w:ascii="仿宋" w:hAnsi="仿宋" w:eastAsia="仿宋" w:cs="仿宋"/>
          <w:color w:val="auto"/>
          <w:sz w:val="24"/>
          <w:highlight w:val="none"/>
        </w:rPr>
      </w:pPr>
    </w:p>
    <w:p>
      <w:pPr>
        <w:jc w:val="left"/>
        <w:rPr>
          <w:rFonts w:ascii="仿宋" w:hAnsi="仿宋" w:eastAsia="仿宋" w:cs="仿宋"/>
          <w:color w:val="auto"/>
          <w:sz w:val="24"/>
          <w:highlight w:val="none"/>
        </w:rPr>
      </w:pPr>
    </w:p>
    <w:p>
      <w:pPr>
        <w:jc w:val="left"/>
        <w:rPr>
          <w:rFonts w:ascii="仿宋" w:hAnsi="仿宋" w:eastAsia="仿宋" w:cs="仿宋"/>
          <w:color w:val="auto"/>
          <w:sz w:val="24"/>
          <w:highlight w:val="none"/>
        </w:rPr>
      </w:pPr>
    </w:p>
    <w:p>
      <w:pPr>
        <w:jc w:val="left"/>
        <w:rPr>
          <w:rFonts w:ascii="仿宋" w:hAnsi="仿宋" w:eastAsia="仿宋" w:cs="仿宋"/>
          <w:color w:val="auto"/>
          <w:sz w:val="24"/>
          <w:highlight w:val="none"/>
        </w:rPr>
      </w:pPr>
    </w:p>
    <w:p>
      <w:pPr>
        <w:jc w:val="left"/>
        <w:rPr>
          <w:rFonts w:ascii="仿宋" w:hAnsi="仿宋" w:eastAsia="仿宋" w:cs="仿宋"/>
          <w:color w:val="auto"/>
          <w:sz w:val="24"/>
          <w:highlight w:val="none"/>
        </w:rPr>
      </w:pPr>
    </w:p>
    <w:p>
      <w:pPr>
        <w:jc w:val="left"/>
        <w:rPr>
          <w:rFonts w:ascii="仿宋" w:hAnsi="仿宋" w:eastAsia="仿宋" w:cs="仿宋"/>
          <w:color w:val="auto"/>
          <w:sz w:val="24"/>
          <w:highlight w:val="none"/>
        </w:rPr>
      </w:pPr>
    </w:p>
    <w:p>
      <w:pPr>
        <w:jc w:val="left"/>
        <w:rPr>
          <w:rFonts w:ascii="仿宋" w:hAnsi="仿宋" w:eastAsia="仿宋" w:cs="仿宋"/>
          <w:color w:val="auto"/>
          <w:sz w:val="24"/>
          <w:highlight w:val="none"/>
        </w:rPr>
      </w:pPr>
    </w:p>
    <w:p>
      <w:pPr>
        <w:jc w:val="left"/>
        <w:rPr>
          <w:rFonts w:ascii="仿宋" w:hAnsi="仿宋" w:eastAsia="仿宋" w:cs="仿宋"/>
          <w:color w:val="auto"/>
          <w:sz w:val="24"/>
          <w:highlight w:val="none"/>
        </w:rPr>
      </w:pPr>
    </w:p>
    <w:p>
      <w:pPr>
        <w:jc w:val="left"/>
        <w:rPr>
          <w:rFonts w:ascii="仿宋" w:hAnsi="仿宋" w:eastAsia="仿宋" w:cs="仿宋"/>
          <w:color w:val="auto"/>
          <w:sz w:val="24"/>
          <w:highlight w:val="none"/>
        </w:rPr>
      </w:pPr>
    </w:p>
    <w:p>
      <w:pPr>
        <w:jc w:val="left"/>
        <w:rPr>
          <w:rFonts w:ascii="仿宋" w:hAnsi="仿宋" w:eastAsia="仿宋" w:cs="仿宋"/>
          <w:color w:val="auto"/>
          <w:sz w:val="24"/>
          <w:highlight w:val="none"/>
        </w:rPr>
      </w:pPr>
    </w:p>
    <w:p>
      <w:pPr>
        <w:jc w:val="left"/>
        <w:rPr>
          <w:rFonts w:ascii="仿宋" w:hAnsi="仿宋" w:eastAsia="仿宋" w:cs="仿宋"/>
          <w:color w:val="auto"/>
          <w:sz w:val="24"/>
          <w:highlight w:val="none"/>
        </w:rPr>
      </w:pPr>
      <w:r>
        <w:rPr>
          <w:rFonts w:hint="eastAsia" w:ascii="仿宋" w:hAnsi="仿宋" w:eastAsia="仿宋" w:cs="仿宋"/>
          <w:color w:val="auto"/>
          <w:sz w:val="24"/>
          <w:highlight w:val="none"/>
        </w:rPr>
        <w:t>表五：一般公共预算财政拨款支出决算表</w:t>
      </w: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广西河池市环江毛南族自治县爱山林业试验场</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default" w:ascii="宋体" w:hAnsi="宋体" w:eastAsia="宋体" w:cs="宋体"/>
                <w:b/>
                <w:bCs/>
                <w:color w:val="auto"/>
                <w:sz w:val="22"/>
                <w:szCs w:val="22"/>
                <w:highlight w:val="none"/>
              </w:rPr>
              <w:t>182.66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126.66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56.00</w:t>
            </w:r>
          </w:p>
        </w:tc>
      </w:tr>
      <w:tr>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1.50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1.50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1.50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1.50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1.50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1.50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11.66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11.66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11.66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11.66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11.66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11.66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213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农林水支出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117.32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85.32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32.00</w:t>
            </w:r>
          </w:p>
        </w:tc>
      </w:tr>
      <w:tr>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21301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农业农村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1.16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1.16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2130104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事业运行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1.16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1.16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21302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林业和草原</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116.15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84.15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32.00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2130204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事业机构</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84.15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84.15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2130205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森林资源培育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32.00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32.00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8.75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8.75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8.75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8.75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8.75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8.75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灾害防治及应急管理支出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24.00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24.00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22499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其他灾害防治及应急管理支出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24.00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24.00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2249999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其他灾害防治及应急管理支出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24.00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24.00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19.44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19.44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19.44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19.44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19.44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19.44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注：本表反映部门本年度一般公共预算财政拨款支出情况。</w:t>
            </w:r>
          </w:p>
        </w:tc>
      </w:tr>
    </w:tbl>
    <w:p>
      <w:pPr>
        <w:rPr>
          <w:rFonts w:ascii="仿宋" w:hAnsi="仿宋" w:eastAsia="仿宋" w:cs="仿宋"/>
          <w:color w:val="auto"/>
          <w:sz w:val="24"/>
          <w:highlight w:val="none"/>
        </w:rPr>
      </w:pPr>
    </w:p>
    <w:p>
      <w:pPr>
        <w:rPr>
          <w:rFonts w:ascii="仿宋" w:hAnsi="仿宋" w:eastAsia="仿宋" w:cs="仿宋"/>
          <w:color w:val="auto"/>
          <w:sz w:val="24"/>
          <w:highlight w:val="none"/>
        </w:rPr>
      </w:pPr>
    </w:p>
    <w:p>
      <w:pPr>
        <w:rPr>
          <w:rFonts w:ascii="仿宋" w:hAnsi="仿宋" w:eastAsia="仿宋" w:cs="仿宋"/>
          <w:color w:val="auto"/>
          <w:sz w:val="24"/>
          <w:highlight w:val="none"/>
        </w:rPr>
      </w:pPr>
    </w:p>
    <w:p>
      <w:pPr>
        <w:rPr>
          <w:rFonts w:ascii="仿宋" w:hAnsi="仿宋" w:eastAsia="仿宋" w:cs="仿宋"/>
          <w:color w:val="auto"/>
          <w:sz w:val="24"/>
          <w:highlight w:val="none"/>
        </w:rPr>
      </w:pPr>
    </w:p>
    <w:p>
      <w:pPr>
        <w:rPr>
          <w:rFonts w:ascii="仿宋" w:hAnsi="仿宋" w:eastAsia="仿宋" w:cs="仿宋"/>
          <w:color w:val="auto"/>
          <w:sz w:val="24"/>
          <w:highlight w:val="none"/>
        </w:rPr>
      </w:pPr>
    </w:p>
    <w:p>
      <w:pPr>
        <w:rPr>
          <w:rFonts w:ascii="仿宋" w:hAnsi="仿宋" w:eastAsia="仿宋" w:cs="仿宋"/>
          <w:color w:val="auto"/>
          <w:sz w:val="24"/>
          <w:highlight w:val="none"/>
        </w:rPr>
      </w:pPr>
    </w:p>
    <w:p>
      <w:pPr>
        <w:rPr>
          <w:rFonts w:ascii="仿宋" w:hAnsi="仿宋" w:eastAsia="仿宋" w:cs="仿宋"/>
          <w:color w:val="auto"/>
          <w:sz w:val="24"/>
          <w:highlight w:val="none"/>
        </w:rPr>
      </w:pPr>
    </w:p>
    <w:p>
      <w:pPr>
        <w:rPr>
          <w:rFonts w:ascii="仿宋" w:hAnsi="仿宋" w:eastAsia="仿宋" w:cs="仿宋"/>
          <w:color w:val="auto"/>
          <w:sz w:val="24"/>
          <w:highlight w:val="none"/>
        </w:rPr>
      </w:pPr>
    </w:p>
    <w:p>
      <w:pPr>
        <w:rPr>
          <w:rFonts w:ascii="仿宋" w:hAnsi="仿宋" w:eastAsia="仿宋" w:cs="仿宋"/>
          <w:color w:val="auto"/>
          <w:sz w:val="24"/>
          <w:highlight w:val="none"/>
        </w:rPr>
      </w:pPr>
    </w:p>
    <w:p>
      <w:pPr>
        <w:rPr>
          <w:rFonts w:ascii="仿宋" w:hAnsi="仿宋" w:eastAsia="仿宋" w:cs="仿宋"/>
          <w:color w:val="auto"/>
          <w:sz w:val="24"/>
          <w:highlight w:val="none"/>
        </w:rPr>
      </w:pPr>
    </w:p>
    <w:p>
      <w:pPr>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表六：一般公共预算财政拨款基本支出决算表</w:t>
      </w: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广西河池市环江毛南族自治县爱山林业试验场</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105.71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3.50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34.60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0.56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26.02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16.37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0.15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11.66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0.27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0.35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4.63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0.66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0.48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8.75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17.45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16.05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1.50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1.40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0.18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123.16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3.50</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注：本表反映部门本年度一般公共预算财政拨款基本支出明细情况。</w:t>
            </w:r>
          </w:p>
        </w:tc>
      </w:tr>
    </w:tbl>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jc w:val="left"/>
        <w:rPr>
          <w:rFonts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七</w:t>
      </w:r>
      <w:r>
        <w:rPr>
          <w:rFonts w:hint="eastAsia" w:ascii="仿宋" w:hAnsi="仿宋" w:eastAsia="仿宋" w:cs="仿宋"/>
          <w:color w:val="auto"/>
          <w:sz w:val="24"/>
          <w:highlight w:val="none"/>
        </w:rPr>
        <w:t>：政府性基金预算财政拨款收入支出决算表</w:t>
      </w: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7</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广西河池市环江毛南族自治县爱山林业试验场</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r>
      <w:tr>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r>
      <w:tr>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bl>
    <w:p>
      <w:pPr>
        <w:rPr>
          <w:rFonts w:ascii="仿宋" w:hAnsi="仿宋" w:eastAsia="仿宋" w:cs="仿宋"/>
          <w:color w:val="auto"/>
          <w:sz w:val="24"/>
          <w:highlight w:val="none"/>
        </w:rPr>
      </w:pPr>
    </w:p>
    <w:p>
      <w:pPr>
        <w:jc w:val="left"/>
        <w:rPr>
          <w:rFonts w:ascii="仿宋" w:hAnsi="仿宋" w:eastAsia="仿宋" w:cs="仿宋"/>
          <w:color w:val="auto"/>
          <w:sz w:val="24"/>
          <w:highlight w:val="none"/>
        </w:rPr>
      </w:pPr>
    </w:p>
    <w:p>
      <w:pPr>
        <w:jc w:val="left"/>
        <w:rPr>
          <w:rFonts w:ascii="仿宋" w:hAnsi="仿宋" w:eastAsia="仿宋" w:cs="仿宋"/>
          <w:color w:val="auto"/>
          <w:sz w:val="24"/>
          <w:highlight w:val="none"/>
        </w:rPr>
      </w:pPr>
    </w:p>
    <w:p>
      <w:pPr>
        <w:jc w:val="left"/>
        <w:rPr>
          <w:rFonts w:ascii="仿宋" w:hAnsi="仿宋" w:eastAsia="仿宋" w:cs="仿宋"/>
          <w:color w:val="auto"/>
          <w:sz w:val="24"/>
          <w:highlight w:val="none"/>
        </w:rPr>
      </w:pPr>
    </w:p>
    <w:p>
      <w:pPr>
        <w:jc w:val="left"/>
        <w:rPr>
          <w:rFonts w:ascii="仿宋" w:hAnsi="仿宋" w:eastAsia="仿宋" w:cs="仿宋"/>
          <w:color w:val="auto"/>
          <w:sz w:val="24"/>
          <w:highlight w:val="none"/>
        </w:rPr>
      </w:pPr>
    </w:p>
    <w:p>
      <w:pPr>
        <w:jc w:val="left"/>
        <w:rPr>
          <w:rFonts w:ascii="仿宋" w:hAnsi="仿宋" w:eastAsia="仿宋" w:cs="仿宋"/>
          <w:color w:val="auto"/>
          <w:sz w:val="24"/>
          <w:highlight w:val="none"/>
        </w:rPr>
      </w:pPr>
    </w:p>
    <w:p>
      <w:pPr>
        <w:jc w:val="left"/>
        <w:rPr>
          <w:rFonts w:ascii="仿宋" w:hAnsi="仿宋" w:eastAsia="仿宋" w:cs="仿宋"/>
          <w:color w:val="auto"/>
          <w:sz w:val="24"/>
          <w:highlight w:val="none"/>
        </w:rPr>
      </w:pPr>
    </w:p>
    <w:p>
      <w:pPr>
        <w:jc w:val="left"/>
        <w:rPr>
          <w:rFonts w:ascii="仿宋" w:hAnsi="仿宋" w:eastAsia="仿宋" w:cs="仿宋"/>
          <w:color w:val="auto"/>
          <w:sz w:val="24"/>
          <w:highlight w:val="none"/>
        </w:rPr>
      </w:pPr>
    </w:p>
    <w:p>
      <w:pPr>
        <w:jc w:val="left"/>
        <w:rPr>
          <w:rFonts w:ascii="仿宋" w:hAnsi="仿宋" w:eastAsia="仿宋" w:cs="仿宋"/>
          <w:color w:val="auto"/>
          <w:sz w:val="24"/>
          <w:highlight w:val="none"/>
        </w:rPr>
      </w:pPr>
    </w:p>
    <w:p>
      <w:pPr>
        <w:jc w:val="left"/>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八</w:t>
      </w:r>
      <w:r>
        <w:rPr>
          <w:rFonts w:hint="eastAsia" w:ascii="仿宋" w:hAnsi="仿宋" w:eastAsia="仿宋" w:cs="仿宋"/>
          <w:color w:val="auto"/>
          <w:sz w:val="24"/>
          <w:highlight w:val="none"/>
        </w:rPr>
        <w:t>：国有资本经营预算财政拨款支出决算表</w:t>
      </w: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8</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广西河池市环江毛南族自治县爱山林业试验场</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16"/>
        <w:gridCol w:w="1056"/>
        <w:gridCol w:w="697"/>
        <w:gridCol w:w="697"/>
        <w:gridCol w:w="709"/>
        <w:gridCol w:w="720"/>
        <w:gridCol w:w="700"/>
        <w:gridCol w:w="1060"/>
        <w:gridCol w:w="700"/>
        <w:gridCol w:w="700"/>
        <w:gridCol w:w="703"/>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5000" w:type="pct"/>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r>
              <w:rPr>
                <w:rFonts w:hint="eastAsia" w:ascii="仿宋" w:hAnsi="仿宋" w:eastAsia="仿宋" w:cs="仿宋"/>
                <w:color w:val="auto"/>
                <w:sz w:val="24"/>
                <w:highlight w:val="none"/>
                <w:lang w:val="en-US" w:eastAsia="zh-CN"/>
              </w:rPr>
              <w:t>表九：</w:t>
            </w:r>
            <w:r>
              <w:rPr>
                <w:rFonts w:hint="eastAsia" w:ascii="仿宋" w:hAnsi="仿宋" w:eastAsia="仿宋" w:cs="仿宋"/>
                <w:color w:val="auto"/>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44"/>
                <w:szCs w:val="4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5000" w:type="pct"/>
            <w:gridSpan w:val="1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44"/>
                <w:szCs w:val="44"/>
                <w:u w:val="none"/>
              </w:rPr>
            </w:pPr>
            <w:r>
              <w:rPr>
                <w:rFonts w:hint="eastAsia" w:ascii="宋体" w:hAnsi="宋体" w:eastAsia="宋体" w:cs="宋体"/>
                <w:i w:val="0"/>
                <w:iCs w:val="0"/>
                <w:color w:val="auto"/>
                <w:kern w:val="0"/>
                <w:sz w:val="44"/>
                <w:szCs w:val="44"/>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69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auto"/>
                <w:sz w:val="20"/>
                <w:szCs w:val="20"/>
                <w:u w:val="none"/>
              </w:rPr>
            </w:pPr>
          </w:p>
        </w:tc>
        <w:tc>
          <w:tcPr>
            <w:tcW w:w="37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4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4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4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5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4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37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4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4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4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570"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698"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部门：广西河池市环江毛南族自治县爱山林业试验场</w:t>
            </w:r>
          </w:p>
        </w:tc>
        <w:tc>
          <w:tcPr>
            <w:tcW w:w="37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4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4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4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5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4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37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4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4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4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570"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65" w:type="pct"/>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预算数</w:t>
            </w:r>
          </w:p>
        </w:tc>
        <w:tc>
          <w:tcPr>
            <w:tcW w:w="1934" w:type="pct"/>
            <w:gridSpan w:val="6"/>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98" w:type="pct"/>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合计</w:t>
            </w:r>
          </w:p>
        </w:tc>
        <w:tc>
          <w:tcPr>
            <w:tcW w:w="373"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因公出国（境）费</w:t>
            </w:r>
          </w:p>
        </w:tc>
        <w:tc>
          <w:tcPr>
            <w:tcW w:w="742" w:type="pct"/>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公务用车购置及运行维护费</w:t>
            </w:r>
          </w:p>
        </w:tc>
        <w:tc>
          <w:tcPr>
            <w:tcW w:w="250"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公务接待费</w:t>
            </w:r>
          </w:p>
        </w:tc>
        <w:tc>
          <w:tcPr>
            <w:tcW w:w="247"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合计</w:t>
            </w:r>
          </w:p>
        </w:tc>
        <w:tc>
          <w:tcPr>
            <w:tcW w:w="374"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因公出国（境）费</w:t>
            </w:r>
          </w:p>
        </w:tc>
        <w:tc>
          <w:tcPr>
            <w:tcW w:w="742" w:type="pct"/>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公务用车购置及运行维护费</w:t>
            </w:r>
          </w:p>
        </w:tc>
        <w:tc>
          <w:tcPr>
            <w:tcW w:w="570"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698" w:type="pct"/>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shd w:val="clear" w:color="auto" w:fill="auto"/>
              </w:rPr>
            </w:pPr>
          </w:p>
        </w:tc>
        <w:tc>
          <w:tcPr>
            <w:tcW w:w="373"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shd w:val="clear" w:color="auto" w:fill="auto"/>
              </w:rPr>
            </w:pPr>
          </w:p>
        </w:tc>
        <w:tc>
          <w:tcPr>
            <w:tcW w:w="246"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小计</w:t>
            </w:r>
          </w:p>
        </w:tc>
        <w:tc>
          <w:tcPr>
            <w:tcW w:w="246"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公务用车购置费</w:t>
            </w:r>
          </w:p>
        </w:tc>
        <w:tc>
          <w:tcPr>
            <w:tcW w:w="24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公务用车运行维护费</w:t>
            </w:r>
          </w:p>
        </w:tc>
        <w:tc>
          <w:tcPr>
            <w:tcW w:w="250"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shd w:val="clear" w:color="auto" w:fill="auto"/>
              </w:rPr>
            </w:pPr>
          </w:p>
        </w:tc>
        <w:tc>
          <w:tcPr>
            <w:tcW w:w="247"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shd w:val="clear" w:color="auto" w:fill="auto"/>
              </w:rPr>
            </w:pPr>
          </w:p>
        </w:tc>
        <w:tc>
          <w:tcPr>
            <w:tcW w:w="374"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shd w:val="clear" w:color="auto" w:fill="auto"/>
              </w:rPr>
            </w:pPr>
          </w:p>
        </w:tc>
        <w:tc>
          <w:tcPr>
            <w:tcW w:w="247"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小计</w:t>
            </w:r>
          </w:p>
        </w:tc>
        <w:tc>
          <w:tcPr>
            <w:tcW w:w="247"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公务用车购置费</w:t>
            </w:r>
          </w:p>
        </w:tc>
        <w:tc>
          <w:tcPr>
            <w:tcW w:w="24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公务用车运行维护费</w:t>
            </w:r>
          </w:p>
        </w:tc>
        <w:tc>
          <w:tcPr>
            <w:tcW w:w="570"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98" w:type="pc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w:t>
            </w:r>
          </w:p>
        </w:tc>
        <w:tc>
          <w:tcPr>
            <w:tcW w:w="373"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w:t>
            </w:r>
          </w:p>
        </w:tc>
        <w:tc>
          <w:tcPr>
            <w:tcW w:w="246"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w:t>
            </w:r>
          </w:p>
        </w:tc>
        <w:tc>
          <w:tcPr>
            <w:tcW w:w="246"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4</w:t>
            </w:r>
          </w:p>
        </w:tc>
        <w:tc>
          <w:tcPr>
            <w:tcW w:w="24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5</w:t>
            </w:r>
          </w:p>
        </w:tc>
        <w:tc>
          <w:tcPr>
            <w:tcW w:w="250"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6</w:t>
            </w:r>
          </w:p>
        </w:tc>
        <w:tc>
          <w:tcPr>
            <w:tcW w:w="247"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7</w:t>
            </w:r>
          </w:p>
        </w:tc>
        <w:tc>
          <w:tcPr>
            <w:tcW w:w="374"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8</w:t>
            </w:r>
          </w:p>
        </w:tc>
        <w:tc>
          <w:tcPr>
            <w:tcW w:w="247"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9</w:t>
            </w:r>
          </w:p>
        </w:tc>
        <w:tc>
          <w:tcPr>
            <w:tcW w:w="247"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10</w:t>
            </w:r>
          </w:p>
        </w:tc>
        <w:tc>
          <w:tcPr>
            <w:tcW w:w="24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11</w:t>
            </w:r>
          </w:p>
        </w:tc>
        <w:tc>
          <w:tcPr>
            <w:tcW w:w="570"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9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0.00</w:t>
            </w:r>
          </w:p>
        </w:tc>
        <w:tc>
          <w:tcPr>
            <w:tcW w:w="24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0.00</w:t>
            </w:r>
          </w:p>
        </w:tc>
        <w:tc>
          <w:tcPr>
            <w:tcW w:w="24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0.00</w:t>
            </w:r>
          </w:p>
        </w:tc>
        <w:tc>
          <w:tcPr>
            <w:tcW w:w="248"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color w:val="auto"/>
                <w:kern w:val="2"/>
                <w:sz w:val="22"/>
                <w:szCs w:val="22"/>
                <w:highlight w:val="none"/>
                <w:lang w:val="en-US" w:eastAsia="zh-CN" w:bidi="ar-SA"/>
              </w:rPr>
            </w:pPr>
            <w:r>
              <w:rPr>
                <w:rFonts w:hint="default" w:ascii="宋体" w:hAnsi="宋体" w:eastAsia="宋体" w:cs="宋体"/>
                <w:color w:val="auto"/>
                <w:sz w:val="22"/>
                <w:szCs w:val="22"/>
                <w:highlight w:val="none"/>
              </w:rPr>
              <w:t>0.00</w:t>
            </w:r>
          </w:p>
        </w:tc>
        <w:tc>
          <w:tcPr>
            <w:tcW w:w="2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bidi="ar"/>
              </w:rPr>
              <w:t>0.00</w:t>
            </w:r>
          </w:p>
        </w:tc>
        <w:tc>
          <w:tcPr>
            <w:tcW w:w="2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bidi="ar"/>
              </w:rPr>
              <w:t>0.00</w:t>
            </w:r>
          </w:p>
        </w:tc>
        <w:tc>
          <w:tcPr>
            <w:tcW w:w="37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0.00</w:t>
            </w:r>
          </w:p>
        </w:tc>
        <w:tc>
          <w:tcPr>
            <w:tcW w:w="24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0.00</w:t>
            </w:r>
          </w:p>
        </w:tc>
        <w:tc>
          <w:tcPr>
            <w:tcW w:w="24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0.00</w:t>
            </w:r>
          </w:p>
        </w:tc>
        <w:tc>
          <w:tcPr>
            <w:tcW w:w="248" w:type="pct"/>
            <w:tcBorders>
              <w:top w:val="nil"/>
              <w:left w:val="nil"/>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leftChars="0" w:right="0" w:rightChars="0"/>
              <w:jc w:val="right"/>
              <w:rPr>
                <w:rFonts w:hint="eastAsia" w:asciiTheme="minorHAnsi" w:hAnsiTheme="minorHAnsi" w:eastAsiaTheme="minorEastAsia" w:cstheme="minorBidi"/>
                <w:color w:val="auto"/>
                <w:kern w:val="2"/>
                <w:sz w:val="21"/>
                <w:szCs w:val="24"/>
                <w:highlight w:val="none"/>
                <w:lang w:val="en-US" w:eastAsia="zh-CN" w:bidi="ar-SA"/>
              </w:rPr>
            </w:pPr>
            <w:r>
              <w:rPr>
                <w:rFonts w:hint="default"/>
                <w:color w:val="auto"/>
                <w:highlight w:val="none"/>
              </w:rPr>
              <w:t>0.00</w:t>
            </w:r>
          </w:p>
        </w:tc>
        <w:tc>
          <w:tcPr>
            <w:tcW w:w="570" w:type="pct"/>
            <w:tcBorders>
              <w:top w:val="nil"/>
              <w:left w:val="nil"/>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ind w:left="0" w:leftChars="0" w:right="0" w:rightChars="0"/>
              <w:jc w:val="right"/>
              <w:rPr>
                <w:rFonts w:hint="eastAsia" w:asciiTheme="minorHAnsi" w:hAnsiTheme="minorHAnsi" w:eastAsiaTheme="minorEastAsia" w:cstheme="minorBidi"/>
                <w:color w:val="auto"/>
                <w:kern w:val="2"/>
                <w:sz w:val="21"/>
                <w:szCs w:val="24"/>
                <w:highlight w:val="none"/>
                <w:lang w:val="en-US" w:eastAsia="zh-CN" w:bidi="ar-SA"/>
              </w:rPr>
            </w:pPr>
            <w:r>
              <w:rPr>
                <w:rFonts w:hint="eastAsia" w:ascii="宋体" w:hAnsi="宋体" w:eastAsia="宋体" w:cs="宋体"/>
                <w:color w:val="auto"/>
                <w:kern w:val="0"/>
                <w:sz w:val="22"/>
                <w:szCs w:val="22"/>
                <w:highlight w:val="none"/>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年度没有财政拨款“三公”经费收入，也没有财政拨款“三公”经费安排的支出，故本表无数据。</w:t>
            </w:r>
          </w:p>
        </w:tc>
      </w:tr>
    </w:tbl>
    <w:p>
      <w:pPr>
        <w:ind w:firstLine="420" w:firstLineChars="0"/>
        <w:jc w:val="left"/>
        <w:rPr>
          <w:rFonts w:ascii="仿宋" w:hAnsi="仿宋" w:eastAsia="仿宋" w:cs="仿宋"/>
          <w:color w:val="auto"/>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color w:val="auto"/>
          <w:sz w:val="24"/>
          <w:highlight w:val="none"/>
        </w:rPr>
      </w:pPr>
    </w:p>
    <w:p>
      <w:pPr>
        <w:jc w:val="center"/>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第三部分：</w:t>
      </w:r>
      <w:r>
        <w:rPr>
          <w:rFonts w:hint="eastAsia" w:ascii="黑体" w:hAnsi="黑体" w:eastAsia="黑体" w:cs="黑体"/>
          <w:color w:val="auto"/>
          <w:sz w:val="32"/>
          <w:u w:color="auto"/>
          <w:lang w:eastAsia="zh-CN"/>
        </w:rPr>
        <w:t>环江毛南族自治县爱山林业试验场</w:t>
      </w:r>
      <w:r>
        <w:rPr>
          <w:rFonts w:hint="eastAsia" w:ascii="黑体" w:hAnsi="黑体" w:eastAsia="黑体" w:cs="黑体"/>
          <w:color w:val="auto"/>
          <w:sz w:val="32"/>
          <w:szCs w:val="32"/>
          <w:highlight w:val="none"/>
        </w:rPr>
        <w:t>2022年度部门决算情况说明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一、2022年度收入支出决算总体情况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（一）本部门2022年度总收入</w:t>
      </w:r>
      <w:r>
        <w:rPr>
          <w:rFonts w:hint="eastAsia" w:ascii="仿宋" w:hAnsi="仿宋" w:eastAsia="仿宋" w:cs="仿宋"/>
          <w:color w:val="auto"/>
          <w:sz w:val="32"/>
          <w:u w:color="auto"/>
        </w:rPr>
        <w:t>182.66</w:t>
      </w:r>
      <w:r>
        <w:rPr>
          <w:rFonts w:hint="eastAsia" w:ascii="仿宋" w:hAnsi="仿宋" w:eastAsia="仿宋" w:cs="仿宋"/>
          <w:color w:val="auto"/>
          <w:sz w:val="32"/>
          <w:szCs w:val="32"/>
          <w:highlight w:val="none"/>
        </w:rPr>
        <w:t>万元，较2021年度决算数</w:t>
      </w:r>
      <w:r>
        <w:rPr>
          <w:rFonts w:hint="eastAsia" w:ascii="仿宋" w:hAnsi="仿宋" w:eastAsia="仿宋" w:cs="仿宋"/>
          <w:color w:val="auto"/>
          <w:sz w:val="32"/>
          <w:u w:color="auto"/>
          <w:lang w:val="en-US" w:eastAsia="zh-CN"/>
        </w:rPr>
        <w:t>增加11.93</w:t>
      </w:r>
      <w:r>
        <w:rPr>
          <w:rFonts w:hint="eastAsia" w:ascii="仿宋" w:hAnsi="仿宋" w:eastAsia="仿宋" w:cs="仿宋"/>
          <w:color w:val="auto"/>
          <w:sz w:val="32"/>
          <w:szCs w:val="32"/>
          <w:highlight w:val="none"/>
        </w:rPr>
        <w:t>万元，</w:t>
      </w:r>
      <w:r>
        <w:rPr>
          <w:rFonts w:hint="eastAsia" w:ascii="仿宋" w:hAnsi="仿宋" w:eastAsia="仿宋" w:cs="仿宋"/>
          <w:color w:val="auto"/>
          <w:sz w:val="32"/>
          <w:u w:color="auto"/>
          <w:lang w:val="en-US" w:eastAsia="zh-CN"/>
        </w:rPr>
        <w:t>增长6.99</w:t>
      </w:r>
      <w:r>
        <w:rPr>
          <w:rFonts w:ascii="仿宋" w:hAnsi="仿宋" w:eastAsia="仿宋" w:cs="仿宋"/>
          <w:color w:val="auto"/>
          <w:sz w:val="32"/>
          <w:u w:color="auto"/>
        </w:rPr>
        <w:t>%</w:t>
      </w:r>
      <w:r>
        <w:rPr>
          <w:rFonts w:hint="eastAsia" w:ascii="仿宋" w:hAnsi="仿宋" w:eastAsia="仿宋" w:cs="仿宋"/>
          <w:color w:val="auto"/>
          <w:sz w:val="32"/>
          <w:szCs w:val="32"/>
          <w:highlight w:val="none"/>
        </w:rPr>
        <w:t>，其中本年收入</w:t>
      </w:r>
      <w:r>
        <w:rPr>
          <w:rFonts w:hint="eastAsia" w:ascii="仿宋" w:hAnsi="仿宋" w:eastAsia="仿宋" w:cs="仿宋"/>
          <w:color w:val="auto"/>
          <w:sz w:val="32"/>
          <w:u w:color="auto"/>
          <w:lang w:val="en-US" w:eastAsia="zh-CN"/>
        </w:rPr>
        <w:t>182.66</w:t>
      </w:r>
      <w:r>
        <w:rPr>
          <w:rFonts w:hint="eastAsia" w:ascii="仿宋" w:hAnsi="仿宋" w:eastAsia="仿宋" w:cs="仿宋"/>
          <w:color w:val="auto"/>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1.一般公共预算财政拨款收入</w:t>
      </w:r>
      <w:r>
        <w:rPr>
          <w:rFonts w:hint="eastAsia" w:ascii="仿宋" w:hAnsi="仿宋" w:eastAsia="仿宋" w:cs="仿宋"/>
          <w:color w:val="auto"/>
          <w:sz w:val="32"/>
          <w:u w:color="auto"/>
          <w:lang w:eastAsia="zh-CN"/>
        </w:rPr>
        <w:t>182.66</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lang w:val="en-US" w:eastAsia="zh-CN"/>
        </w:rPr>
        <w:t>环江县</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hint="eastAsia" w:ascii="仿宋" w:hAnsi="仿宋" w:eastAsia="仿宋" w:cs="仿宋"/>
          <w:color w:val="auto"/>
          <w:sz w:val="32"/>
          <w:u w:color="auto"/>
          <w:lang w:val="en-US" w:eastAsia="zh-CN"/>
        </w:rPr>
        <w:t>增加11.93</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auto"/>
          <w:sz w:val="32"/>
          <w:u w:color="auto"/>
          <w:lang w:val="en-US" w:eastAsia="zh-CN"/>
        </w:rPr>
        <w:t>上涨6.99</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，主要原因：主要原因是项目经费及绩效考评奖增加。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2.政府性基金预算财政拨款收入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lang w:val="en-US" w:eastAsia="zh-CN"/>
        </w:rPr>
        <w:t>环江县</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，主要原因：本单位无政府性基金预算财政拨款收入。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3.国有资本经营预算财政拨款收入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lang w:val="en-US" w:eastAsia="zh-CN"/>
        </w:rPr>
        <w:t>环江县</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，主要原因是：本单位无政府性基金预算财政拨款收入。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4.上级补助收入</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万元，为上级部门当年拨付的资金。较2021年度决算数</w:t>
      </w:r>
      <w:r>
        <w:rPr>
          <w:rFonts w:ascii="仿宋" w:hAnsi="仿宋" w:eastAsia="仿宋" w:cs="仿宋"/>
          <w:color w:val="auto"/>
          <w:sz w:val="32"/>
          <w:u w:color="auto"/>
        </w:rPr>
        <w:t>增加</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w:t>
      </w:r>
      <w:r>
        <w:rPr>
          <w:rFonts w:hint="eastAsia" w:ascii="仿宋" w:hAnsi="仿宋" w:eastAsia="仿宋" w:cs="仿宋"/>
          <w:color w:val="auto"/>
          <w:sz w:val="32"/>
          <w:u w:color="auto"/>
          <w:lang w:val="en-US" w:eastAsia="zh-CN"/>
        </w:rPr>
        <w:t>0</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，主要原因是：本单位没有上级补助收入。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5.事业收入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万元，为事业单位开展业务活动取得的收入。较2021年度决算数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8.其他收入</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color w:val="auto"/>
          <w:sz w:val="32"/>
          <w:u w:color="auto"/>
        </w:rPr>
        <w:t>减少</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下降</w:t>
      </w:r>
      <w:r>
        <w:rPr>
          <w:rFonts w:hint="eastAsia" w:ascii="仿宋" w:hAnsi="仿宋" w:eastAsia="仿宋" w:cs="仿宋"/>
          <w:color w:val="auto"/>
          <w:sz w:val="32"/>
          <w:u w:color="auto"/>
          <w:lang w:val="en-US" w:eastAsia="zh-CN"/>
        </w:rPr>
        <w:t>0</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，主要原因是：本单位没有其他收入。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9.使用非财政拨款结余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10.上年结转和结余</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color w:val="auto"/>
          <w:sz w:val="32"/>
          <w:u w:color="auto"/>
        </w:rPr>
        <w:t>减少</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下降</w:t>
      </w:r>
      <w:r>
        <w:rPr>
          <w:rFonts w:hint="eastAsia" w:ascii="仿宋" w:hAnsi="仿宋" w:eastAsia="仿宋" w:cs="仿宋"/>
          <w:color w:val="auto"/>
          <w:sz w:val="32"/>
          <w:u w:color="auto"/>
          <w:lang w:val="en-US" w:eastAsia="zh-CN"/>
        </w:rPr>
        <w:t>0</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，主要原因：部分项目已在本年执行完毕，不需要结转至下年继续执行。</w:t>
      </w:r>
    </w:p>
    <w:p>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861560" cy="3658235"/>
            <wp:effectExtent l="4445" t="4445" r="10795" b="1397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（二）本部门2022年度总支出</w:t>
      </w:r>
      <w:r>
        <w:rPr>
          <w:rFonts w:hint="eastAsia" w:ascii="仿宋" w:hAnsi="仿宋" w:eastAsia="仿宋" w:cs="仿宋"/>
          <w:color w:val="auto"/>
          <w:sz w:val="32"/>
          <w:u w:color="auto"/>
        </w:rPr>
        <w:t>182.66</w:t>
      </w:r>
      <w:r>
        <w:rPr>
          <w:rFonts w:hint="eastAsia" w:ascii="仿宋" w:hAnsi="仿宋" w:eastAsia="仿宋" w:cs="仿宋"/>
          <w:color w:val="auto"/>
          <w:sz w:val="32"/>
          <w:szCs w:val="32"/>
          <w:highlight w:val="none"/>
        </w:rPr>
        <w:t>万元，其中本年支出</w:t>
      </w:r>
      <w:r>
        <w:rPr>
          <w:rFonts w:hint="eastAsia" w:ascii="仿宋" w:hAnsi="仿宋" w:eastAsia="仿宋" w:cs="仿宋"/>
          <w:color w:val="auto"/>
          <w:sz w:val="32"/>
          <w:u w:color="auto"/>
        </w:rPr>
        <w:t>182.66</w:t>
      </w:r>
      <w:r>
        <w:rPr>
          <w:rFonts w:hint="eastAsia" w:ascii="仿宋" w:hAnsi="仿宋" w:eastAsia="仿宋" w:cs="仿宋"/>
          <w:color w:val="auto"/>
          <w:sz w:val="32"/>
          <w:szCs w:val="32"/>
          <w:highlight w:val="none"/>
        </w:rPr>
        <w:t>万元，较2021年度决算数</w:t>
      </w:r>
      <w:r>
        <w:rPr>
          <w:rFonts w:hint="eastAsia" w:ascii="仿宋" w:hAnsi="仿宋" w:eastAsia="仿宋" w:cs="仿宋"/>
          <w:color w:val="auto"/>
          <w:sz w:val="32"/>
          <w:u w:color="auto"/>
        </w:rPr>
        <w:t>增加11.93</w:t>
      </w:r>
      <w:r>
        <w:rPr>
          <w:rFonts w:hint="eastAsia" w:ascii="仿宋" w:hAnsi="仿宋" w:eastAsia="仿宋" w:cs="仿宋"/>
          <w:color w:val="auto"/>
          <w:sz w:val="32"/>
          <w:szCs w:val="32"/>
          <w:highlight w:val="none"/>
        </w:rPr>
        <w:t>万元，</w:t>
      </w:r>
      <w:r>
        <w:rPr>
          <w:rFonts w:hint="eastAsia" w:ascii="仿宋" w:hAnsi="仿宋" w:eastAsia="仿宋" w:cs="仿宋"/>
          <w:color w:val="auto"/>
          <w:sz w:val="32"/>
          <w:u w:color="auto"/>
        </w:rPr>
        <w:t>上涨6.99%</w:t>
      </w:r>
      <w:r>
        <w:rPr>
          <w:rFonts w:hint="eastAsia" w:ascii="仿宋" w:hAnsi="仿宋" w:eastAsia="仿宋" w:cs="仿宋"/>
          <w:color w:val="auto"/>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1</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一般公共服务支出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1.50</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kern w:val="2"/>
          <w:sz w:val="32"/>
          <w:szCs w:val="32"/>
          <w:highlight w:val="none"/>
          <w:lang w:val="en-US" w:eastAsia="zh-CN" w:bidi="ar"/>
        </w:rPr>
        <w:t>主要用于2022年职工工会费</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减少0.17</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下降10.18%</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主要原因是：用于2022年职工工会费。</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rPr>
        <w:t>2</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社会保障和就业支出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208</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11.66</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按照实际用途写明</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w:t>
      </w:r>
      <w:r>
        <w:rPr>
          <w:rFonts w:hint="eastAsia" w:ascii="仿宋" w:hAnsi="仿宋" w:eastAsia="仿宋" w:cs="仿宋"/>
          <w:color w:val="auto"/>
          <w:sz w:val="32"/>
          <w:szCs w:val="32"/>
          <w:highlight w:val="none"/>
          <w:lang w:val="en-US" w:eastAsia="zh-CN" w:bidi="ar"/>
        </w:rPr>
        <w:t>0.75</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w:t>
      </w:r>
      <w:r>
        <w:rPr>
          <w:rFonts w:hint="eastAsia" w:ascii="仿宋" w:hAnsi="仿宋" w:eastAsia="仿宋" w:cs="仿宋"/>
          <w:color w:val="auto"/>
          <w:sz w:val="32"/>
          <w:szCs w:val="32"/>
          <w:highlight w:val="none"/>
          <w:lang w:val="en-US" w:eastAsia="zh-CN" w:bidi="ar"/>
        </w:rPr>
        <w:t>6.04</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主要原因是：主要用于部门机关事业单位基本养老保险缴费支出。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u w:color="auto"/>
          <w:lang w:val="en-US" w:eastAsia="zh-CN"/>
        </w:rPr>
        <w:t>3</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农林水支出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213</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117.32</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主要用于事业机构运行、森林资源培育的支出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w:t>
      </w:r>
      <w:r>
        <w:rPr>
          <w:rFonts w:hint="eastAsia" w:ascii="仿宋" w:hAnsi="仿宋" w:eastAsia="仿宋" w:cs="仿宋"/>
          <w:color w:val="auto"/>
          <w:sz w:val="32"/>
          <w:szCs w:val="32"/>
          <w:highlight w:val="none"/>
          <w:lang w:val="en-US" w:eastAsia="zh-CN" w:bidi="ar"/>
        </w:rPr>
        <w:t>4.26</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w:t>
      </w:r>
      <w:r>
        <w:rPr>
          <w:rFonts w:hint="eastAsia" w:ascii="仿宋" w:hAnsi="仿宋" w:eastAsia="仿宋" w:cs="仿宋"/>
          <w:color w:val="auto"/>
          <w:sz w:val="32"/>
          <w:szCs w:val="32"/>
          <w:highlight w:val="none"/>
          <w:lang w:val="en-US" w:eastAsia="zh-CN" w:bidi="ar"/>
        </w:rPr>
        <w:t>3.5</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主要原因是：财政缩减开支。</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u w:color="auto"/>
          <w:lang w:val="en-US" w:eastAsia="zh-CN"/>
        </w:rPr>
        <w:t>4</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住房保障支出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8.75</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：按照国家政策规定向职工发放的住房公积金、提租补贴、购房补贴等住房改革方面的支出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w:t>
      </w:r>
      <w:r>
        <w:rPr>
          <w:rFonts w:hint="eastAsia" w:ascii="仿宋" w:hAnsi="仿宋" w:eastAsia="仿宋" w:cs="仿宋"/>
          <w:color w:val="auto"/>
          <w:sz w:val="32"/>
          <w:szCs w:val="32"/>
          <w:highlight w:val="none"/>
          <w:lang w:val="en-US" w:eastAsia="zh-CN" w:bidi="ar"/>
        </w:rPr>
        <w:t>0.62</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w:t>
      </w:r>
      <w:r>
        <w:rPr>
          <w:rFonts w:hint="eastAsia" w:ascii="仿宋" w:hAnsi="仿宋" w:eastAsia="仿宋" w:cs="仿宋"/>
          <w:color w:val="auto"/>
          <w:sz w:val="32"/>
          <w:szCs w:val="32"/>
          <w:highlight w:val="none"/>
          <w:lang w:val="en-US" w:eastAsia="zh-CN" w:bidi="ar"/>
        </w:rPr>
        <w:t>6.6</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主要原因是：人员变动。</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5.灾害防治及应急管理支出（224 类）24.00万元：主要用于：用于2022年生态保护和修复支撑体系专项中央基建投资项目。较2021年度决算数增加24.00万元，增长100%，主要原因是：2022年生态保护和修复支撑体系专项中央基建投资项目所需。</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6.其他支出（229 类）19.44万元：主要用于：按照实际用途写明。较2021年度决算数减少6.25万元，下降24.33%，主要原因是：退休人员生活补助及伙食补助费调整。</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color w:val="auto"/>
          <w:sz w:val="32"/>
          <w:szCs w:val="32"/>
          <w:highlight w:val="none"/>
          <w:lang w:eastAsia="zh-CN" w:bidi="ar"/>
        </w:rPr>
      </w:pPr>
      <w:r>
        <w:rPr>
          <w:rFonts w:hint="default" w:ascii="仿宋_GB2312" w:hAnsi="微软雅黑" w:eastAsia="仿宋_GB2312" w:cs="仿宋_GB2312"/>
          <w:i w:val="0"/>
          <w:iCs w:val="0"/>
          <w:caps w:val="0"/>
          <w:color w:val="auto"/>
          <w:spacing w:val="0"/>
          <w:sz w:val="31"/>
          <w:szCs w:val="31"/>
          <w:highlight w:val="none"/>
          <w:shd w:val="clear" w:color="auto" w:fill="FFFFFF"/>
        </w:rPr>
        <w:t>结余分配</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auto"/>
          <w:spacing w:val="0"/>
          <w:sz w:val="31"/>
          <w:szCs w:val="31"/>
          <w:highlight w:val="none"/>
          <w:shd w:val="clear" w:color="auto" w:fill="FFFFFF"/>
        </w:rPr>
        <w:t>年决算</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w:t>
      </w:r>
      <w:r>
        <w:rPr>
          <w:rFonts w:hint="eastAsia" w:ascii="仿宋_GB2312" w:hAnsi="微软雅黑" w:eastAsia="仿宋_GB2312" w:cs="仿宋_GB2312"/>
          <w:color w:val="auto"/>
          <w:sz w:val="31"/>
          <w:szCs w:val="31"/>
          <w:highlight w:val="none"/>
          <w:shd w:val="clear" w:color="auto" w:fill="FFFFFF"/>
        </w:rPr>
        <w:t>增加0.00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color w:val="auto"/>
          <w:sz w:val="31"/>
          <w:szCs w:val="31"/>
          <w:highlight w:val="none"/>
          <w:shd w:val="clear" w:color="auto" w:fill="FFFFFF"/>
        </w:rPr>
        <w:t>增长0%</w:t>
      </w:r>
      <w:r>
        <w:rPr>
          <w:rFonts w:hint="default" w:ascii="仿宋_GB2312" w:hAnsi="微软雅黑" w:eastAsia="仿宋_GB2312" w:cs="仿宋_GB2312"/>
          <w:i w:val="0"/>
          <w:iCs w:val="0"/>
          <w:caps w:val="0"/>
          <w:color w:val="auto"/>
          <w:spacing w:val="0"/>
          <w:sz w:val="31"/>
          <w:szCs w:val="31"/>
          <w:highlight w:val="none"/>
          <w:shd w:val="clear" w:color="auto" w:fill="FFFFFF"/>
        </w:rPr>
        <w:t>，主要原因是</w:t>
      </w:r>
      <w:r>
        <w:rPr>
          <w:rFonts w:hint="eastAsia" w:ascii="仿宋" w:hAnsi="仿宋" w:eastAsia="仿宋" w:cs="仿宋"/>
          <w:color w:val="auto"/>
          <w:kern w:val="2"/>
          <w:sz w:val="32"/>
          <w:szCs w:val="32"/>
          <w:highlight w:val="none"/>
          <w:lang w:val="en-US" w:eastAsia="zh-CN" w:bidi="ar"/>
        </w:rPr>
        <w:t>：本单位无</w:t>
      </w:r>
      <w:r>
        <w:rPr>
          <w:rFonts w:hint="default" w:ascii="仿宋_GB2312" w:hAnsi="微软雅黑" w:eastAsia="仿宋_GB2312" w:cs="仿宋_GB2312"/>
          <w:i w:val="0"/>
          <w:iCs w:val="0"/>
          <w:caps w:val="0"/>
          <w:color w:val="auto"/>
          <w:spacing w:val="0"/>
          <w:sz w:val="31"/>
          <w:szCs w:val="31"/>
          <w:highlight w:val="none"/>
          <w:shd w:val="clear" w:color="auto" w:fill="FFFFFF"/>
        </w:rPr>
        <w:t>事业单位按规定提取的专用结余、缴纳所得税和转入非财政拨款结余等</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年末结转和结余</w:t>
      </w:r>
      <w:r>
        <w:rPr>
          <w:rFonts w:hint="eastAsia" w:ascii="仿宋" w:hAnsi="仿宋" w:eastAsia="仿宋" w:cs="仿宋"/>
          <w:color w:val="auto"/>
          <w:sz w:val="32"/>
          <w:u w:color="auto"/>
          <w:lang w:val="en-US" w:eastAsia="zh-CN"/>
        </w:rPr>
        <w:t>0</w:t>
      </w:r>
      <w:r>
        <w:rPr>
          <w:rFonts w:hint="eastAsia" w:ascii="仿宋" w:hAnsi="仿宋" w:eastAsia="仿宋" w:cs="仿宋"/>
          <w:color w:val="auto"/>
          <w:sz w:val="32"/>
          <w:szCs w:val="32"/>
          <w:highlight w:val="none"/>
        </w:rPr>
        <w:t>万元，为本年度或以前年度预算安排、因客观条件发生变化无法按原计划实施，需要延迟到以后年度按有关规定继续使用的资金。较2021年度决算数</w:t>
      </w:r>
      <w:r>
        <w:rPr>
          <w:rFonts w:ascii="仿宋" w:hAnsi="仿宋" w:eastAsia="仿宋" w:cs="仿宋"/>
          <w:color w:val="auto"/>
          <w:sz w:val="32"/>
          <w:u w:color="auto"/>
        </w:rPr>
        <w:t>增加</w:t>
      </w:r>
      <w:r>
        <w:rPr>
          <w:rFonts w:hint="eastAsia" w:ascii="仿宋" w:hAnsi="仿宋" w:eastAsia="仿宋" w:cs="仿宋"/>
          <w:color w:val="auto"/>
          <w:sz w:val="32"/>
          <w:u w:color="auto"/>
          <w:lang w:val="en-US" w:eastAsia="zh-CN"/>
        </w:rPr>
        <w:t>0</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增长</w:t>
      </w:r>
      <w:r>
        <w:rPr>
          <w:rFonts w:hint="eastAsia" w:ascii="仿宋" w:hAnsi="仿宋" w:eastAsia="仿宋" w:cs="仿宋"/>
          <w:color w:val="auto"/>
          <w:sz w:val="32"/>
          <w:u w:color="auto"/>
          <w:lang w:val="en-US" w:eastAsia="zh-CN"/>
        </w:rPr>
        <w:t>0</w:t>
      </w:r>
      <w:r>
        <w:rPr>
          <w:rFonts w:ascii="仿宋" w:hAnsi="仿宋" w:eastAsia="仿宋" w:cs="仿宋"/>
          <w:color w:val="auto"/>
          <w:sz w:val="32"/>
          <w:u w:color="auto"/>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主要原因是本单位无</w:t>
      </w:r>
      <w:r>
        <w:rPr>
          <w:rFonts w:hint="eastAsia" w:ascii="仿宋" w:hAnsi="仿宋" w:eastAsia="仿宋" w:cs="仿宋"/>
          <w:color w:val="auto"/>
          <w:sz w:val="32"/>
          <w:szCs w:val="32"/>
          <w:highlight w:val="none"/>
        </w:rPr>
        <w:t>年末结转和结余</w:t>
      </w:r>
      <w:r>
        <w:rPr>
          <w:rFonts w:hint="eastAsia" w:ascii="仿宋" w:hAnsi="仿宋" w:eastAsia="仿宋" w:cs="仿宋"/>
          <w:color w:val="auto"/>
          <w:sz w:val="32"/>
          <w:szCs w:val="32"/>
          <w:highlight w:val="none"/>
          <w:lang w:eastAsia="zh-CN"/>
        </w:rPr>
        <w:t>。</w:t>
      </w:r>
    </w:p>
    <w:p>
      <w:pPr>
        <w:ind w:firstLine="640" w:firstLineChars="200"/>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765675" cy="2822575"/>
            <wp:effectExtent l="4445" t="4445" r="11430" b="11430"/>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二、2022 年度</w:t>
      </w:r>
      <w:bookmarkStart w:id="2" w:name="OLE_LINK1"/>
      <w:r>
        <w:rPr>
          <w:rFonts w:hint="eastAsia" w:ascii="黑体" w:hAnsi="黑体" w:eastAsia="黑体" w:cs="黑体"/>
          <w:color w:val="auto"/>
          <w:sz w:val="32"/>
          <w:szCs w:val="32"/>
          <w:highlight w:val="none"/>
        </w:rPr>
        <w:t>一般公共预算财政拨款支出决算情况</w:t>
      </w:r>
      <w:bookmarkEnd w:id="2"/>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环江县爱山林业试验场</w:t>
      </w:r>
      <w:r>
        <w:rPr>
          <w:rFonts w:hint="eastAsia" w:ascii="仿宋" w:hAnsi="仿宋" w:eastAsia="仿宋" w:cs="仿宋"/>
          <w:color w:val="auto"/>
          <w:sz w:val="32"/>
          <w:szCs w:val="32"/>
          <w:highlight w:val="none"/>
        </w:rPr>
        <w:t>2022年度一般公共预算财政拨款支出</w:t>
      </w:r>
      <w:r>
        <w:rPr>
          <w:rFonts w:hint="eastAsia" w:ascii="仿宋" w:hAnsi="仿宋" w:eastAsia="仿宋" w:cs="仿宋"/>
          <w:color w:val="auto"/>
          <w:sz w:val="32"/>
          <w:u w:color="auto"/>
          <w:lang w:eastAsia="zh-CN"/>
        </w:rPr>
        <w:t>182.66</w:t>
      </w:r>
      <w:r>
        <w:rPr>
          <w:rFonts w:hint="eastAsia" w:ascii="仿宋" w:hAnsi="仿宋" w:eastAsia="仿宋" w:cs="仿宋"/>
          <w:color w:val="auto"/>
          <w:sz w:val="32"/>
          <w:szCs w:val="32"/>
          <w:highlight w:val="none"/>
        </w:rPr>
        <w:t>万元，较2021年度决算数</w:t>
      </w:r>
      <w:r>
        <w:rPr>
          <w:rFonts w:hint="eastAsia" w:ascii="仿宋" w:hAnsi="仿宋" w:eastAsia="仿宋" w:cs="仿宋"/>
          <w:color w:val="auto"/>
          <w:sz w:val="32"/>
          <w:u w:color="auto"/>
        </w:rPr>
        <w:t>增加11.93</w:t>
      </w:r>
      <w:r>
        <w:rPr>
          <w:rFonts w:hint="eastAsia" w:ascii="仿宋" w:hAnsi="仿宋" w:eastAsia="仿宋" w:cs="仿宋"/>
          <w:color w:val="auto"/>
          <w:sz w:val="32"/>
          <w:szCs w:val="32"/>
          <w:highlight w:val="none"/>
        </w:rPr>
        <w:t>万元，</w:t>
      </w:r>
      <w:r>
        <w:rPr>
          <w:rFonts w:hint="eastAsia" w:ascii="仿宋" w:hAnsi="仿宋" w:eastAsia="仿宋" w:cs="仿宋"/>
          <w:color w:val="auto"/>
          <w:sz w:val="32"/>
          <w:u w:color="auto"/>
          <w:lang w:val="en-US" w:eastAsia="zh-CN"/>
        </w:rPr>
        <w:t>增长</w:t>
      </w:r>
      <w:r>
        <w:rPr>
          <w:rFonts w:hint="eastAsia" w:ascii="仿宋" w:hAnsi="仿宋" w:eastAsia="仿宋" w:cs="仿宋"/>
          <w:color w:val="auto"/>
          <w:sz w:val="32"/>
          <w:u w:color="auto"/>
        </w:rPr>
        <w:t>6.99%</w:t>
      </w:r>
      <w:r>
        <w:rPr>
          <w:rFonts w:hint="eastAsia" w:ascii="仿宋" w:hAnsi="仿宋" w:eastAsia="仿宋" w:cs="仿宋"/>
          <w:color w:val="auto"/>
          <w:sz w:val="32"/>
          <w:szCs w:val="32"/>
          <w:highlight w:val="none"/>
        </w:rPr>
        <w:t>。其中：基本支出</w:t>
      </w:r>
      <w:r>
        <w:rPr>
          <w:rFonts w:hint="eastAsia" w:ascii="仿宋" w:hAnsi="仿宋" w:eastAsia="仿宋" w:cs="仿宋"/>
          <w:color w:val="auto"/>
          <w:sz w:val="32"/>
          <w:u w:color="auto"/>
          <w:lang w:val="en-US" w:eastAsia="zh-CN"/>
        </w:rPr>
        <w:t>126.66</w:t>
      </w:r>
      <w:r>
        <w:rPr>
          <w:rFonts w:hint="eastAsia" w:ascii="仿宋" w:hAnsi="仿宋" w:eastAsia="仿宋" w:cs="仿宋"/>
          <w:color w:val="auto"/>
          <w:sz w:val="32"/>
          <w:szCs w:val="32"/>
          <w:highlight w:val="none"/>
        </w:rPr>
        <w:t>万元，项目支出</w:t>
      </w:r>
      <w:r>
        <w:rPr>
          <w:rFonts w:hint="eastAsia" w:ascii="仿宋" w:hAnsi="仿宋" w:eastAsia="仿宋" w:cs="仿宋"/>
          <w:color w:val="auto"/>
          <w:sz w:val="32"/>
          <w:u w:color="auto"/>
          <w:lang w:val="en-US" w:eastAsia="zh-CN"/>
        </w:rPr>
        <w:t>56</w:t>
      </w:r>
      <w:r>
        <w:rPr>
          <w:rFonts w:hint="eastAsia" w:ascii="仿宋" w:hAnsi="仿宋" w:eastAsia="仿宋" w:cs="仿宋"/>
          <w:color w:val="auto"/>
          <w:sz w:val="32"/>
          <w:szCs w:val="32"/>
          <w:highlight w:val="none"/>
        </w:rPr>
        <w:t>万元。</w:t>
      </w:r>
    </w:p>
    <w:p>
      <w:pPr>
        <w:ind w:firstLine="640" w:firstLineChars="200"/>
        <w:jc w:val="left"/>
        <w:rPr>
          <w:rFonts w:ascii="仿宋" w:hAnsi="仿宋" w:eastAsia="仿宋"/>
          <w:color w:val="auto"/>
          <w:sz w:val="32"/>
          <w:szCs w:val="32"/>
          <w:highlight w:val="none"/>
        </w:rPr>
      </w:pPr>
      <w:r>
        <w:rPr>
          <w:rFonts w:hint="eastAsia" w:ascii="仿宋" w:hAnsi="仿宋" w:eastAsia="仿宋" w:cs="仿宋"/>
          <w:color w:val="auto"/>
          <w:sz w:val="32"/>
          <w:szCs w:val="32"/>
          <w:highlight w:val="none"/>
          <w:lang w:eastAsia="zh-CN"/>
        </w:rPr>
        <w:t>本单位</w:t>
      </w:r>
      <w:r>
        <w:rPr>
          <w:rFonts w:hint="eastAsia" w:ascii="仿宋" w:hAnsi="仿宋" w:eastAsia="仿宋" w:cs="仿宋"/>
          <w:color w:val="auto"/>
          <w:sz w:val="32"/>
          <w:szCs w:val="32"/>
          <w:highlight w:val="none"/>
        </w:rPr>
        <w:t>2022 年度一般公共预算财政拨款支出年初预算为</w:t>
      </w:r>
      <w:r>
        <w:rPr>
          <w:rFonts w:hint="eastAsia" w:ascii="仿宋" w:hAnsi="仿宋" w:eastAsia="仿宋"/>
          <w:color w:val="auto"/>
          <w:sz w:val="32"/>
          <w:szCs w:val="32"/>
          <w:highlight w:val="none"/>
          <w:lang w:val="en-US" w:eastAsia="zh-CN"/>
        </w:rPr>
        <w:t>137.33</w:t>
      </w:r>
      <w:r>
        <w:rPr>
          <w:rFonts w:hint="eastAsia" w:ascii="仿宋" w:hAnsi="仿宋" w:eastAsia="仿宋" w:cs="仿宋"/>
          <w:color w:val="auto"/>
          <w:sz w:val="32"/>
          <w:szCs w:val="32"/>
          <w:highlight w:val="none"/>
        </w:rPr>
        <w:t>万元，支出决算为</w:t>
      </w:r>
      <w:r>
        <w:rPr>
          <w:rFonts w:hint="eastAsia" w:ascii="仿宋" w:hAnsi="仿宋" w:eastAsia="仿宋" w:cs="仿宋"/>
          <w:color w:val="auto"/>
          <w:sz w:val="32"/>
          <w:u w:color="auto"/>
          <w:lang w:eastAsia="zh-CN"/>
        </w:rPr>
        <w:t>182.66</w:t>
      </w:r>
      <w:r>
        <w:rPr>
          <w:rFonts w:hint="eastAsia" w:ascii="仿宋" w:hAnsi="仿宋" w:eastAsia="仿宋" w:cs="仿宋"/>
          <w:color w:val="auto"/>
          <w:sz w:val="32"/>
          <w:szCs w:val="32"/>
          <w:highlight w:val="none"/>
        </w:rPr>
        <w:t>万元，完成年初预算的</w:t>
      </w:r>
      <w:r>
        <w:rPr>
          <w:rFonts w:ascii="仿宋" w:hAnsi="仿宋" w:eastAsia="仿宋"/>
          <w:color w:val="auto"/>
          <w:sz w:val="32"/>
          <w:szCs w:val="32"/>
          <w:highlight w:val="none"/>
        </w:rPr>
        <w:t>1</w:t>
      </w:r>
      <w:r>
        <w:rPr>
          <w:rFonts w:hint="eastAsia" w:ascii="仿宋" w:hAnsi="仿宋" w:eastAsia="仿宋"/>
          <w:color w:val="auto"/>
          <w:sz w:val="32"/>
          <w:szCs w:val="32"/>
          <w:highlight w:val="none"/>
          <w:lang w:val="en-US" w:eastAsia="zh-CN"/>
        </w:rPr>
        <w:t>33</w:t>
      </w:r>
      <w:r>
        <w:rPr>
          <w:rFonts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01</w:t>
      </w:r>
      <w:r>
        <w:rPr>
          <w:rFonts w:ascii="仿宋" w:hAnsi="仿宋" w:eastAsia="仿宋" w:cs="仿宋"/>
          <w:color w:val="auto"/>
          <w:sz w:val="32"/>
          <w:u w:color="auto"/>
        </w:rPr>
        <w:t>%</w:t>
      </w:r>
      <w:r>
        <w:rPr>
          <w:rFonts w:hint="eastAsia" w:ascii="仿宋" w:hAnsi="仿宋" w:eastAsia="仿宋" w:cs="仿宋"/>
          <w:color w:val="auto"/>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一般公共服务支出</w:t>
      </w:r>
      <w:r>
        <w:rPr>
          <w:rFonts w:ascii="仿宋" w:hAnsi="仿宋" w:eastAsia="仿宋"/>
          <w:color w:val="auto"/>
          <w:sz w:val="32"/>
          <w:u w:color="auto"/>
        </w:rPr>
        <w:t>（20</w:t>
      </w:r>
      <w:r>
        <w:rPr>
          <w:rFonts w:hint="eastAsia" w:ascii="仿宋" w:hAnsi="仿宋" w:eastAsia="仿宋"/>
          <w:color w:val="auto"/>
          <w:sz w:val="32"/>
          <w:u w:color="auto"/>
          <w:lang w:val="en-US" w:eastAsia="zh-CN"/>
        </w:rPr>
        <w:t>1</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1.5</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1.5</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原因是：本单位此项</w:t>
      </w:r>
      <w:r>
        <w:rPr>
          <w:rFonts w:hint="eastAsia" w:ascii="仿宋" w:hAnsi="仿宋" w:eastAsia="仿宋" w:cs="仿宋"/>
          <w:color w:val="auto"/>
          <w:kern w:val="2"/>
          <w:sz w:val="32"/>
          <w:szCs w:val="32"/>
          <w:highlight w:val="none"/>
          <w:lang w:val="en-US" w:eastAsia="zh-CN" w:bidi="ar"/>
        </w:rPr>
        <w:t>预决算无差异。</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用于2022年职工工会费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用于2022年职工工会费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用于2022年职工工会费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用于2022年职工工会费</w:t>
            </w: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079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社会保障和就业支出</w:t>
      </w:r>
      <w:r>
        <w:rPr>
          <w:rFonts w:ascii="仿宋" w:hAnsi="仿宋" w:eastAsia="仿宋"/>
          <w:color w:val="auto"/>
          <w:sz w:val="32"/>
          <w:u w:color="auto"/>
        </w:rPr>
        <w:t>（208</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12.01</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11.66</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97.0</w:t>
      </w:r>
      <w:r>
        <w:rPr>
          <w:rFonts w:hint="eastAsia" w:ascii="仿宋" w:hAnsi="仿宋" w:eastAsia="仿宋"/>
          <w:color w:val="auto"/>
          <w:sz w:val="32"/>
          <w:szCs w:val="32"/>
          <w:highlight w:val="none"/>
          <w:lang w:val="en-US" w:eastAsia="zh-CN"/>
        </w:rPr>
        <w:t>9</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原因是：因人员变动，</w:t>
      </w:r>
      <w:r>
        <w:rPr>
          <w:rFonts w:hint="eastAsia" w:ascii="仿宋" w:hAnsi="仿宋" w:eastAsia="仿宋"/>
          <w:color w:val="auto"/>
          <w:sz w:val="32"/>
          <w:szCs w:val="32"/>
          <w:highlight w:val="none"/>
        </w:rPr>
        <w:t>社会保障和就业支出</w:t>
      </w:r>
      <w:r>
        <w:rPr>
          <w:rFonts w:hint="eastAsia" w:ascii="仿宋" w:hAnsi="仿宋" w:eastAsia="仿宋"/>
          <w:color w:val="auto"/>
          <w:sz w:val="32"/>
          <w:szCs w:val="32"/>
          <w:highlight w:val="none"/>
          <w:lang w:val="en-US" w:eastAsia="zh-CN"/>
        </w:rPr>
        <w:t>有所减少。</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12.01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11.66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97.08%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为事业单位按规定提取的职工福利基金、事业基金和缴纳的所得税等。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因人员变动，社会保障和就业支出有所减少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12.01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11.66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按实际用途填写</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079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农林水支出</w:t>
      </w:r>
      <w:r>
        <w:rPr>
          <w:rFonts w:ascii="仿宋" w:hAnsi="仿宋" w:eastAsia="仿宋"/>
          <w:sz w:val="32"/>
          <w:u w:color="auto"/>
        </w:rPr>
        <w:t>（213</w:t>
      </w:r>
      <w:r>
        <w:rPr>
          <w:rFonts w:hint="eastAsia" w:ascii="仿宋" w:hAnsi="仿宋" w:eastAsia="仿宋"/>
          <w:sz w:val="32"/>
          <w:szCs w:val="32"/>
          <w:highlight w:val="none"/>
        </w:rPr>
        <w:t>类）年初预算为</w:t>
      </w:r>
      <w:r>
        <w:rPr>
          <w:rFonts w:ascii="仿宋" w:hAnsi="仿宋" w:eastAsia="仿宋"/>
          <w:sz w:val="32"/>
          <w:szCs w:val="32"/>
          <w:highlight w:val="none"/>
        </w:rPr>
        <w:t>114.82</w:t>
      </w:r>
      <w:r>
        <w:rPr>
          <w:rFonts w:hint="eastAsia" w:ascii="仿宋" w:hAnsi="仿宋" w:eastAsia="仿宋"/>
          <w:sz w:val="32"/>
          <w:szCs w:val="32"/>
          <w:highlight w:val="none"/>
        </w:rPr>
        <w:t>万元，支出决算为</w:t>
      </w:r>
      <w:r>
        <w:rPr>
          <w:rFonts w:ascii="仿宋" w:hAnsi="仿宋" w:eastAsia="仿宋"/>
          <w:sz w:val="32"/>
          <w:szCs w:val="32"/>
          <w:highlight w:val="none"/>
        </w:rPr>
        <w:t>117.32</w:t>
      </w:r>
      <w:r>
        <w:rPr>
          <w:rFonts w:hint="eastAsia" w:ascii="仿宋" w:hAnsi="仿宋" w:eastAsia="仿宋"/>
          <w:sz w:val="32"/>
          <w:szCs w:val="32"/>
          <w:highlight w:val="none"/>
        </w:rPr>
        <w:t>万元，完成年初预算的</w:t>
      </w:r>
      <w:r>
        <w:rPr>
          <w:rFonts w:ascii="仿宋" w:hAnsi="仿宋" w:eastAsia="仿宋"/>
          <w:sz w:val="32"/>
          <w:szCs w:val="32"/>
          <w:highlight w:val="none"/>
        </w:rPr>
        <w:t>102.18%</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w:t>
      </w:r>
      <w:r>
        <w:rPr>
          <w:rFonts w:hint="eastAsia" w:ascii="仿宋" w:hAnsi="仿宋" w:eastAsia="仿宋"/>
          <w:color w:val="auto"/>
          <w:sz w:val="32"/>
          <w:szCs w:val="32"/>
          <w:highlight w:val="none"/>
          <w:lang w:val="en-US" w:eastAsia="zh-CN"/>
        </w:rPr>
        <w:t>因是：</w:t>
      </w:r>
      <w:r>
        <w:rPr>
          <w:rFonts w:hint="eastAsia" w:ascii="仿宋" w:hAnsi="仿宋" w:eastAsia="仿宋"/>
          <w:sz w:val="32"/>
          <w:szCs w:val="32"/>
          <w:highlight w:val="none"/>
        </w:rPr>
        <w:t>日常运转发生的基本支出和按规定预留的绩效工资浮动</w:t>
      </w:r>
      <w:r>
        <w:rPr>
          <w:rFonts w:hint="eastAsia" w:ascii="仿宋" w:hAnsi="仿宋" w:eastAsia="仿宋"/>
          <w:sz w:val="32"/>
          <w:szCs w:val="32"/>
          <w:highlight w:val="none"/>
          <w:lang w:val="en-US" w:eastAsia="zh-CN"/>
        </w:rPr>
        <w:t>。</w:t>
      </w:r>
    </w:p>
    <w:p>
      <w:pPr>
        <w:jc w:val="left"/>
        <w:rPr>
          <w:rFonts w:hint="eastAsia" w:ascii="仿宋" w:hAnsi="仿宋" w:eastAsia="仿宋"/>
          <w:color w:val="auto"/>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2130104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事业运行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1.16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主要用于事业机构运行、森林资源培育的支出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仿宋"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日常运转发生的基本支出增加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2130204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事业机构</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82.82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84.15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101.61%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2130205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森林资源培育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32.00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32.00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bookmarkStart w:id="6" w:name="_GoBack"/>
            <w:r>
              <w:rPr>
                <w:rFonts w:hint="eastAsia" w:ascii="仿宋" w:hAnsi="仿宋" w:eastAsia="仿宋" w:cs="仿宋"/>
                <w:color w:val="auto"/>
                <w:sz w:val="18"/>
                <w:szCs w:val="18"/>
                <w:highlight w:val="none"/>
                <w:lang w:val="en-US" w:eastAsia="zh-CN"/>
              </w:rPr>
              <w:t>无差异</w:t>
            </w:r>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114.82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117.32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住房保障支出</w:t>
      </w:r>
      <w:r>
        <w:rPr>
          <w:rFonts w:ascii="仿宋" w:hAnsi="仿宋" w:eastAsia="仿宋"/>
          <w:color w:val="auto"/>
          <w:sz w:val="32"/>
          <w:u w:color="auto"/>
        </w:rPr>
        <w:t>（221</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9</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8.75</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97.</w:t>
      </w:r>
      <w:r>
        <w:rPr>
          <w:rFonts w:hint="eastAsia" w:ascii="仿宋" w:hAnsi="仿宋" w:eastAsia="仿宋"/>
          <w:color w:val="auto"/>
          <w:sz w:val="32"/>
          <w:szCs w:val="32"/>
          <w:highlight w:val="none"/>
          <w:lang w:val="en-US" w:eastAsia="zh-CN"/>
        </w:rPr>
        <w:t>22</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人员变动。</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8.75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97.22%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事业单位人员住房公积金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8.75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97.22%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 xml:space="preserve"> </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 xml:space="preserve"> </w:t>
            </w:r>
          </w:p>
        </w:tc>
      </w:tr>
    </w:tbl>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079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灾害防治及应急管理支出</w:t>
      </w:r>
      <w:r>
        <w:rPr>
          <w:rFonts w:ascii="仿宋" w:hAnsi="仿宋" w:eastAsia="仿宋"/>
          <w:sz w:val="32"/>
          <w:u w:color="auto"/>
        </w:rPr>
        <w:t>（224</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24.00</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2022年生态保护和修复支撑体系专项中央基建投资项目所需。</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其他灾害防治及应急管理支出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2022年生态保护和修复支撑体系专项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中央基建投资项目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160645" cy="2658110"/>
            <wp:effectExtent l="4445" t="4445" r="16510" b="1968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19.44</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预发2022年度奖励性补贴。</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77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947"/>
        <w:gridCol w:w="1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94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9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19.44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94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预发2022年度奖励性补贴。</w:t>
            </w:r>
          </w:p>
        </w:tc>
        <w:tc>
          <w:tcPr>
            <w:tcW w:w="19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预发2022年度奖励性补贴。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19.44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94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9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01895" cy="3129915"/>
            <wp:effectExtent l="4445" t="4445" r="22860" b="8890"/>
            <wp:docPr id="1"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三、2022年度一般公共预算财政拨款基本支出决算情况说明</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640" w:firstLineChars="200"/>
        <w:jc w:val="left"/>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环江毛南族自治县爱山林业试验场2022年度一般公共预算财政拨款基本支出126.66万元，其中：人员经费支出123.16万元，公用经费支出3.50万元，支出具体情况如下：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ascii="仿宋" w:hAnsi="仿宋" w:eastAsia="仿宋" w:cs="仿宋"/>
          <w:sz w:val="32"/>
          <w:u w:color="auto"/>
        </w:rPr>
        <w:t>105.71万元，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123.22%</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发放的绩效考评奖在工资福利支出中核算。</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34.60万元，30102津贴补贴3.03万元，30103奖金26.02万元，30107绩效工资16.37万元，30108机关事业单位基本养老保险缴费11.66万元，30110职工基本医疗保险缴费4.63万元，30112其他社会保障缴费0.66万元，30113住房公积金8.75万元。</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ascii="仿宋" w:hAnsi="仿宋" w:eastAsia="仿宋" w:cs="仿宋"/>
          <w:sz w:val="32"/>
          <w:u w:color="auto"/>
        </w:rPr>
        <w:t>3.50万元，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与年初预算一致。</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30201办公费0.56万元，30205水费0.15万元，30206电费0.27万元，30207邮电费0.35万元，30211差旅费0.48万元，30228工会经费1.50万元，30299其他商品和服务支出0.18万元。</w:t>
      </w:r>
    </w:p>
    <w:p>
      <w:pPr>
        <w:jc w:val="center"/>
        <w:rPr>
          <w:rFonts w:hint="eastAsia" w:ascii="仿宋" w:hAnsi="仿宋" w:eastAsia="仿宋" w:cs="仿宋"/>
          <w:color w:val="auto"/>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079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ascii="仿宋" w:hAnsi="仿宋" w:eastAsia="仿宋" w:cs="仿宋"/>
          <w:sz w:val="32"/>
          <w:u w:color="auto"/>
        </w:rPr>
        <w:t>17.45万元，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108.79%</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退休人员生活补助及伙食补助费调整。</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30305生活补助16.05万元，30399其他对个人和家庭的补助1.40万元。</w:t>
      </w:r>
    </w:p>
    <w:p>
      <w:pPr>
        <w:jc w:val="center"/>
        <w:rPr>
          <w:rFonts w:hint="eastAsia" w:ascii="仿宋" w:hAnsi="仿宋" w:eastAsia="仿宋" w:cs="仿宋"/>
          <w:color w:val="auto"/>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0795"/>
            <wp:docPr id="5"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债务利息及费用支出</w:t>
      </w:r>
      <w:r>
        <w:rPr>
          <w:rFonts w:ascii="仿宋" w:hAnsi="仿宋" w:eastAsia="仿宋" w:cs="仿宋"/>
          <w:color w:val="auto"/>
          <w:sz w:val="32"/>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主要原因是：本单位无债务利息及费用支出。</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资本性支出</w:t>
      </w:r>
      <w:r>
        <w:rPr>
          <w:rFonts w:ascii="仿宋" w:hAnsi="仿宋" w:eastAsia="仿宋" w:cs="仿宋"/>
          <w:color w:val="auto"/>
          <w:sz w:val="32"/>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主要原因是：本单位无资本性支出。</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683760" cy="1739900"/>
            <wp:effectExtent l="4445" t="4445" r="5715" b="825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其他支出</w:t>
      </w:r>
      <w:r>
        <w:rPr>
          <w:rFonts w:hint="eastAsia" w:ascii="仿宋" w:hAnsi="仿宋" w:eastAsia="仿宋" w:cs="仿宋"/>
          <w:color w:val="auto"/>
          <w:sz w:val="32"/>
          <w:u w:color="auto"/>
          <w:lang w:val="en-US" w:eastAsia="zh-CN"/>
        </w:rPr>
        <w:t>0</w:t>
      </w:r>
      <w:r>
        <w:rPr>
          <w:rFonts w:ascii="仿宋" w:hAnsi="仿宋" w:eastAsia="仿宋" w:cs="仿宋"/>
          <w:color w:val="auto"/>
          <w:sz w:val="32"/>
          <w:u w:color="auto"/>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主要原因是：主要用于本部门年度绩效考评奖励的发放。</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p>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3856355" cy="2816225"/>
            <wp:effectExtent l="4445" t="4445" r="6350" b="17780"/>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四、2022年度政府性基金支出决算情况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本单位</w:t>
      </w:r>
      <w:r>
        <w:rPr>
          <w:rFonts w:hint="eastAsia" w:ascii="仿宋" w:hAnsi="仿宋" w:eastAsia="仿宋" w:cs="仿宋"/>
          <w:color w:val="auto"/>
          <w:sz w:val="32"/>
          <w:szCs w:val="32"/>
          <w:highlight w:val="none"/>
        </w:rPr>
        <w:t>2022年度政府性基金支出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万元，较2021年度决算数</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增长0%</w:t>
      </w:r>
      <w:r>
        <w:rPr>
          <w:rFonts w:hint="eastAsia" w:ascii="仿宋" w:hAnsi="仿宋" w:eastAsia="仿宋" w:cs="仿宋"/>
          <w:color w:val="auto"/>
          <w:sz w:val="32"/>
          <w:szCs w:val="32"/>
          <w:highlight w:val="none"/>
        </w:rPr>
        <w:t>其中：基本支出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万元，项目支出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本单位</w:t>
      </w:r>
      <w:r>
        <w:rPr>
          <w:rFonts w:hint="eastAsia" w:ascii="仿宋" w:hAnsi="仿宋" w:eastAsia="仿宋" w:cs="仿宋"/>
          <w:color w:val="auto"/>
          <w:sz w:val="32"/>
          <w:szCs w:val="32"/>
          <w:highlight w:val="none"/>
        </w:rPr>
        <w:t>2022年度政府性基金支出年初预算为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万元，支出决算为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lang w:val="en-US" w:eastAsia="zh-CN"/>
        </w:rPr>
        <w:t>本</w:t>
      </w:r>
      <w:r>
        <w:rPr>
          <w:rFonts w:hint="eastAsia" w:ascii="仿宋_GB2312" w:hAnsi="Times New Roman" w:eastAsia="仿宋_GB2312" w:cs="Times New Roman"/>
          <w:color w:val="auto"/>
          <w:sz w:val="32"/>
          <w:szCs w:val="32"/>
          <w:lang w:eastAsia="zh-CN"/>
        </w:rPr>
        <w:t>单位</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五、2022年度国有资本经营预算支出决算情况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本单位</w:t>
      </w:r>
      <w:r>
        <w:rPr>
          <w:rFonts w:hint="eastAsia" w:ascii="仿宋" w:hAnsi="仿宋" w:eastAsia="仿宋" w:cs="仿宋"/>
          <w:color w:val="auto"/>
          <w:sz w:val="32"/>
          <w:szCs w:val="32"/>
          <w:highlight w:val="none"/>
        </w:rPr>
        <w:t>2022年度国有资本经营预算支出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万元。其中：基本支出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万元，项目支出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本单位</w:t>
      </w:r>
      <w:r>
        <w:rPr>
          <w:rFonts w:hint="eastAsia" w:ascii="仿宋" w:hAnsi="仿宋" w:eastAsia="仿宋" w:cs="仿宋"/>
          <w:color w:val="auto"/>
          <w:sz w:val="32"/>
          <w:szCs w:val="32"/>
          <w:highlight w:val="none"/>
        </w:rPr>
        <w:t>2022 年度国有资本经营预算支出年初预算为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万元，支出决算为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4" w:name="PO_part3A5B1C1DiffReason1"/>
      <w:r>
        <w:rPr>
          <w:rFonts w:hint="eastAsia" w:ascii="仿宋_GB2312" w:hAnsi="Times New Roman" w:eastAsia="仿宋_GB2312" w:cs="Times New Roman"/>
          <w:color w:val="auto"/>
          <w:sz w:val="32"/>
          <w:szCs w:val="32"/>
          <w:lang w:val="en-US" w:eastAsia="zh-CN"/>
        </w:rPr>
        <w:t>本</w:t>
      </w:r>
      <w:r>
        <w:rPr>
          <w:rFonts w:hint="eastAsia" w:ascii="仿宋_GB2312" w:hAnsi="Times New Roman" w:eastAsia="仿宋_GB2312" w:cs="Times New Roman"/>
          <w:color w:val="auto"/>
          <w:sz w:val="32"/>
          <w:szCs w:val="32"/>
          <w:lang w:eastAsia="zh-CN"/>
        </w:rPr>
        <w:t>单位</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仿宋_GB2312" w:eastAsia="仿宋_GB2312" w:cs="仿宋_GB2312"/>
          <w:color w:val="auto"/>
          <w:sz w:val="32"/>
          <w:u w:color="auto"/>
          <w:lang w:val="en-US" w:eastAsia="zh-CN"/>
        </w:rPr>
        <w:t>安排的支出</w:t>
      </w:r>
      <w:r>
        <w:rPr>
          <w:rFonts w:hint="eastAsia" w:ascii="仿宋_GB2312" w:hAnsi="Times New Roman" w:eastAsia="仿宋_GB2312" w:cs="Times New Roman"/>
          <w:color w:val="auto"/>
          <w:sz w:val="32"/>
          <w:szCs w:val="32"/>
          <w:lang w:eastAsia="zh-CN"/>
        </w:rPr>
        <w:t>。</w:t>
      </w:r>
      <w:bookmarkEnd w:id="4"/>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2022年度一般公共预算财政拨款安排的“三公”经费支出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szCs w:val="32"/>
          <w:highlight w:val="none"/>
          <w:lang w:val="en-US" w:eastAsia="zh-CN"/>
        </w:rPr>
        <w:t>0</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主要原因是：本单位没有“三公”经费支出。</w:t>
      </w:r>
      <w:r>
        <w:rPr>
          <w:rFonts w:hint="eastAsia" w:ascii="仿宋" w:hAnsi="仿宋" w:eastAsia="仿宋" w:cs="仿宋"/>
          <w:color w:val="auto"/>
          <w:sz w:val="32"/>
          <w:szCs w:val="32"/>
          <w:highlight w:val="none"/>
        </w:rPr>
        <w:t>其中：因公出国（境）费支出决算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万元，公务用车购置及运行费支出决算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万元，公务接待费支出决算</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具体情况如下：</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（一）因公出国（境）费支出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highlight w:val="none"/>
          <w:lang w:val="en-US" w:eastAsia="zh-CN"/>
        </w:rPr>
        <w:t>原因是：</w:t>
      </w:r>
      <w:r>
        <w:rPr>
          <w:rFonts w:hint="eastAsia" w:ascii="仿宋_GB2312" w:hAnsi="Times New Roman" w:eastAsia="仿宋_GB2312" w:cs="Times New Roman"/>
          <w:color w:val="auto"/>
          <w:sz w:val="32"/>
          <w:szCs w:val="32"/>
          <w:lang w:val="en-US" w:eastAsia="zh-CN"/>
        </w:rPr>
        <w:t>（请根实际情况自行补充原因）。</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场</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，全年因公出国（境）团组共计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个，累计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人次。</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（二）公务用车购置及运行维护费</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万元。其中：公务用车购置支出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rPr>
        <w:t>主要原因是</w:t>
      </w:r>
      <w:bookmarkStart w:id="5" w:name="PO_part3A6B2IncReason1"/>
      <w:r>
        <w:rPr>
          <w:rFonts w:hint="eastAsia" w:ascii="仿宋" w:hAnsi="仿宋" w:eastAsia="仿宋" w:cs="仿宋"/>
          <w:color w:val="auto"/>
          <w:sz w:val="32"/>
          <w:szCs w:val="32"/>
        </w:rPr>
        <w:t>本部门无公务用车购置</w:t>
      </w:r>
      <w:bookmarkEnd w:id="5"/>
      <w:r>
        <w:rPr>
          <w:rFonts w:hint="eastAsia" w:ascii="仿宋" w:hAnsi="仿宋" w:eastAsia="仿宋" w:cs="仿宋"/>
          <w:color w:val="auto"/>
          <w:sz w:val="32"/>
          <w:szCs w:val="32"/>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公务用车运行维护支出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万元。主要原因是：本部门无公务用车。2022年，</w:t>
      </w:r>
      <w:r>
        <w:rPr>
          <w:rFonts w:hint="eastAsia" w:ascii="仿宋" w:hAnsi="仿宋" w:eastAsia="仿宋" w:cs="仿宋"/>
          <w:color w:val="auto"/>
          <w:sz w:val="32"/>
          <w:u w:color="auto"/>
          <w:lang w:eastAsia="zh-CN"/>
        </w:rPr>
        <w:t>本单位</w:t>
      </w:r>
      <w:r>
        <w:rPr>
          <w:rFonts w:hint="eastAsia" w:ascii="仿宋" w:hAnsi="仿宋" w:eastAsia="仿宋" w:cs="仿宋"/>
          <w:color w:val="auto"/>
          <w:sz w:val="32"/>
          <w:szCs w:val="32"/>
          <w:highlight w:val="none"/>
        </w:rPr>
        <w:t>及</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u w:val="single"/>
          <w:lang w:val="en-US" w:eastAsia="zh-CN"/>
        </w:rPr>
        <w:t>个</w:t>
      </w:r>
      <w:r>
        <w:rPr>
          <w:rFonts w:hint="eastAsia" w:ascii="仿宋" w:hAnsi="仿宋" w:eastAsia="仿宋" w:cs="仿宋"/>
          <w:color w:val="auto"/>
          <w:sz w:val="32"/>
          <w:szCs w:val="32"/>
          <w:highlight w:val="none"/>
        </w:rPr>
        <w:t>所属单位开支财政拨款的公务用车保有量为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 xml:space="preserve">平均每辆 </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（三）公务接待费支出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szCs w:val="32"/>
          <w:highlight w:val="none"/>
          <w:lang w:val="en-US" w:eastAsia="zh-CN"/>
        </w:rPr>
        <w:t>0</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 比上年</w:t>
      </w:r>
      <w:r>
        <w:rPr>
          <w:rFonts w:ascii="仿宋" w:hAnsi="仿宋" w:eastAsia="仿宋" w:cs="仿宋"/>
          <w:color w:val="auto"/>
          <w:sz w:val="32"/>
          <w:szCs w:val="32"/>
          <w:highlight w:val="none"/>
        </w:rPr>
        <w:t>增加</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主要原因是：本单位无公务接待费。</w:t>
      </w:r>
      <w:r>
        <w:rPr>
          <w:rFonts w:hint="eastAsia" w:ascii="仿宋" w:hAnsi="仿宋" w:eastAsia="仿宋" w:cs="仿宋"/>
          <w:color w:val="auto"/>
          <w:sz w:val="32"/>
          <w:szCs w:val="32"/>
          <w:highlight w:val="none"/>
        </w:rPr>
        <w:t>国内公务接待批次</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次，人次</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次，国（境）外公务接待批次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七、其他重要事项情况说明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 机关运行经费支出情况说明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减少3.5</w:t>
      </w:r>
      <w:r>
        <w:rPr>
          <w:rFonts w:hint="eastAsia" w:ascii="仿宋" w:hAnsi="仿宋" w:eastAsia="仿宋" w:cs="仿宋"/>
          <w:sz w:val="32"/>
          <w:szCs w:val="32"/>
          <w:highlight w:val="none"/>
        </w:rPr>
        <w:t>万元，</w:t>
      </w:r>
      <w:r>
        <w:rPr>
          <w:rFonts w:ascii="仿宋" w:hAnsi="仿宋" w:eastAsia="仿宋" w:cs="仿宋"/>
          <w:sz w:val="32"/>
          <w:szCs w:val="32"/>
          <w:highlight w:val="none"/>
        </w:rPr>
        <w:t>下降100%</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原因是：本部门无机关运行经费支出。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（二）政府采购支出情况说明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本部门2022年度政府采购支出总额</w:t>
      </w:r>
      <w:r>
        <w:rPr>
          <w:rFonts w:hint="eastAsia" w:ascii="仿宋" w:hAnsi="仿宋" w:eastAsia="仿宋" w:cs="仿宋"/>
          <w:color w:val="auto"/>
          <w:sz w:val="32"/>
          <w:szCs w:val="32"/>
          <w:highlight w:val="none"/>
          <w:lang w:val="en-US" w:eastAsia="zh-CN"/>
        </w:rPr>
        <w:t>2.33</w:t>
      </w:r>
      <w:r>
        <w:rPr>
          <w:rFonts w:hint="eastAsia" w:ascii="仿宋" w:hAnsi="仿宋" w:eastAsia="仿宋" w:cs="仿宋"/>
          <w:color w:val="auto"/>
          <w:sz w:val="32"/>
          <w:szCs w:val="32"/>
          <w:highlight w:val="none"/>
        </w:rPr>
        <w:t>万元，其中：政府采购货物支出</w:t>
      </w:r>
      <w:r>
        <w:rPr>
          <w:rFonts w:hint="eastAsia" w:ascii="仿宋" w:hAnsi="仿宋" w:eastAsia="仿宋" w:cs="仿宋"/>
          <w:color w:val="auto"/>
          <w:sz w:val="32"/>
          <w:szCs w:val="32"/>
          <w:highlight w:val="none"/>
          <w:lang w:val="en-US" w:eastAsia="zh-CN"/>
        </w:rPr>
        <w:t>2.33</w:t>
      </w:r>
      <w:r>
        <w:rPr>
          <w:rFonts w:hint="eastAsia" w:ascii="仿宋" w:hAnsi="仿宋" w:eastAsia="仿宋" w:cs="仿宋"/>
          <w:color w:val="auto"/>
          <w:sz w:val="32"/>
          <w:szCs w:val="32"/>
          <w:highlight w:val="none"/>
        </w:rPr>
        <w:t>万元、政府采购工程支出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万元、政府采购服务支出</w:t>
      </w:r>
      <w:r>
        <w:rPr>
          <w:rFonts w:hint="eastAsia" w:ascii="仿宋" w:hAnsi="仿宋" w:eastAsia="仿宋" w:cs="仿宋"/>
          <w:color w:val="auto"/>
          <w:sz w:val="32"/>
          <w:szCs w:val="32"/>
          <w:highlight w:val="none"/>
          <w:lang w:val="en-US" w:eastAsia="zh-CN"/>
        </w:rPr>
        <w:t>2.33</w:t>
      </w:r>
      <w:r>
        <w:rPr>
          <w:rFonts w:hint="eastAsia" w:ascii="仿宋" w:hAnsi="仿宋" w:eastAsia="仿宋" w:cs="仿宋"/>
          <w:color w:val="auto"/>
          <w:sz w:val="32"/>
          <w:szCs w:val="32"/>
          <w:highlight w:val="none"/>
        </w:rPr>
        <w:t>万元。授予中小企业合同金额</w:t>
      </w:r>
      <w:r>
        <w:rPr>
          <w:rFonts w:hint="eastAsia" w:ascii="仿宋" w:hAnsi="仿宋" w:eastAsia="仿宋" w:cs="仿宋"/>
          <w:color w:val="auto"/>
          <w:sz w:val="32"/>
          <w:szCs w:val="32"/>
          <w:highlight w:val="none"/>
          <w:lang w:val="en-US" w:eastAsia="zh-CN"/>
        </w:rPr>
        <w:t>2.33</w:t>
      </w:r>
      <w:r>
        <w:rPr>
          <w:rFonts w:hint="eastAsia" w:ascii="仿宋" w:hAnsi="仿宋" w:eastAsia="仿宋" w:cs="仿宋"/>
          <w:color w:val="auto"/>
          <w:sz w:val="32"/>
          <w:szCs w:val="32"/>
          <w:highlight w:val="none"/>
        </w:rPr>
        <w:t>万元，占政府采购支出总额的</w:t>
      </w:r>
      <w:r>
        <w:rPr>
          <w:rFonts w:hint="eastAsia" w:ascii="仿宋" w:hAnsi="仿宋" w:eastAsia="仿宋" w:cs="仿宋"/>
          <w:color w:val="auto"/>
          <w:sz w:val="32"/>
          <w:szCs w:val="32"/>
          <w:highlight w:val="none"/>
          <w:lang w:val="en-US" w:eastAsia="zh-CN"/>
        </w:rPr>
        <w:t>100</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，其中：授予小微企业合同金额</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万元，占授予中小企业合同金额的</w:t>
      </w:r>
      <w:r>
        <w:rPr>
          <w:rFonts w:hint="eastAsia" w:ascii="仿宋" w:hAnsi="仿宋" w:eastAsia="仿宋" w:cs="仿宋"/>
          <w:color w:val="auto"/>
          <w:sz w:val="32"/>
          <w:szCs w:val="32"/>
          <w:highlight w:val="none"/>
          <w:lang w:val="en-US" w:eastAsia="zh-CN"/>
        </w:rPr>
        <w:t>100</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（三）国有资产占用情况说明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截至2022年12月31日，本部门共有车辆</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辆，其中：副部（省）级领导干部用车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辆、机要通信用车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辆、应急保障用车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辆、执法执勤用车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辆、特种专业技术用车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辆、其他用车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辆；单位价值50万元以上通用设备</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台（套）；单位价值</w:t>
      </w:r>
      <w:r>
        <w:rPr>
          <w:rFonts w:hint="eastAsia" w:ascii="仿宋" w:hAnsi="仿宋" w:eastAsia="仿宋" w:cs="仿宋"/>
          <w:color w:val="auto"/>
          <w:sz w:val="32"/>
          <w:szCs w:val="32"/>
          <w:highlight w:val="none"/>
          <w:lang w:val="en-US" w:eastAsia="zh-CN"/>
        </w:rPr>
        <w:t>100万</w:t>
      </w:r>
      <w:r>
        <w:rPr>
          <w:rFonts w:hint="eastAsia" w:ascii="仿宋" w:hAnsi="仿宋" w:eastAsia="仿宋" w:cs="仿宋"/>
          <w:color w:val="auto"/>
          <w:sz w:val="32"/>
          <w:szCs w:val="32"/>
          <w:highlight w:val="none"/>
        </w:rPr>
        <w:t>元以上专用设备</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台（套）。</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（四）预算绩效管理工作开展情况</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1.绩效管理工作开展情况。根据财政预算管理要求，本部门组织对2022年度一般公共预算项目支出全面开展绩效自评。其中，一等项目</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个，二等项目</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个，共涉及资金</w:t>
      </w:r>
      <w:r>
        <w:rPr>
          <w:rFonts w:hint="eastAsia" w:ascii="仿宋" w:hAnsi="仿宋" w:eastAsia="仿宋" w:cs="仿宋"/>
          <w:color w:val="auto"/>
          <w:sz w:val="32"/>
          <w:szCs w:val="32"/>
          <w:lang w:val="en-US" w:eastAsia="zh-CN"/>
        </w:rPr>
        <w:t>182.66</w:t>
      </w:r>
      <w:r>
        <w:rPr>
          <w:rFonts w:hint="eastAsia" w:ascii="仿宋" w:hAnsi="仿宋" w:eastAsia="仿宋" w:cs="仿宋"/>
          <w:color w:val="auto"/>
          <w:sz w:val="32"/>
          <w:szCs w:val="32"/>
        </w:rPr>
        <w:t>万元，占一般公共预算项目支出总额的</w:t>
      </w:r>
      <w:r>
        <w:rPr>
          <w:rFonts w:hint="eastAsia" w:ascii="仿宋" w:hAnsi="仿宋" w:eastAsia="仿宋" w:cs="仿宋"/>
          <w:color w:val="auto"/>
          <w:sz w:val="32"/>
          <w:szCs w:val="32"/>
          <w:lang w:val="en-US" w:eastAsia="zh-CN"/>
        </w:rPr>
        <w:t>95.3</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部门整体绩效自评得分99.83，等级一等，预算执行率95.83%。</w:t>
      </w:r>
      <w:r>
        <w:rPr>
          <w:rFonts w:hint="eastAsia" w:ascii="仿宋" w:hAnsi="仿宋" w:eastAsia="仿宋" w:cs="仿宋"/>
          <w:color w:val="auto"/>
          <w:sz w:val="32"/>
          <w:szCs w:val="32"/>
        </w:rPr>
        <w:t>组织对2022年度本单位等0个政府性基金预算项目支出开展绩效自评，共涉及资金0万元，占政府性基金预算项目支出总额的0%。组织对2022年度本单位等0个国有资本经营预算项目支出开展绩效自评，共涉及资金0万元，占国有资本经营预算项目支出总额的0%</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组织对“爱山森林公园项目”等4个项目进行了部门评价，涉及一般公共预算支出</w:t>
      </w:r>
      <w:r>
        <w:rPr>
          <w:rFonts w:hint="eastAsia" w:ascii="仿宋" w:hAnsi="仿宋" w:eastAsia="仿宋" w:cs="仿宋"/>
          <w:color w:val="auto"/>
          <w:sz w:val="32"/>
          <w:szCs w:val="32"/>
          <w:lang w:val="en-US" w:eastAsia="zh-CN"/>
        </w:rPr>
        <w:t>182.66</w:t>
      </w:r>
      <w:r>
        <w:rPr>
          <w:rFonts w:hint="eastAsia" w:ascii="仿宋" w:hAnsi="仿宋" w:eastAsia="仿宋" w:cs="仿宋"/>
          <w:color w:val="auto"/>
          <w:sz w:val="32"/>
          <w:szCs w:val="32"/>
        </w:rPr>
        <w:t>万元，政府性基金预算支出0万元，国有资本经营预算支出0万元。从评价情况来看，总体效果良好，项目达到预期执行效果。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组织对1个部门（单位）开展整体支出绩效评价试点，涉及一般公共预算支出</w:t>
      </w:r>
      <w:r>
        <w:rPr>
          <w:rFonts w:hint="eastAsia" w:ascii="仿宋" w:hAnsi="仿宋" w:eastAsia="仿宋" w:cs="仿宋"/>
          <w:color w:val="auto"/>
          <w:sz w:val="32"/>
          <w:szCs w:val="32"/>
          <w:lang w:val="en-US" w:eastAsia="zh-CN"/>
        </w:rPr>
        <w:t>182.66</w:t>
      </w:r>
      <w:r>
        <w:rPr>
          <w:rFonts w:hint="eastAsia" w:ascii="仿宋" w:hAnsi="仿宋" w:eastAsia="仿宋" w:cs="仿宋"/>
          <w:color w:val="auto"/>
          <w:sz w:val="32"/>
          <w:szCs w:val="32"/>
        </w:rPr>
        <w:t>万元，政府性基金预算支出0万元。从评价情况来看，总体效果良好，项目达到预期执行效果。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部门决算中项目绩效自评结果自评得分100分。2022年项目绩效目标完成情况：2022年我单位已按要求完成年度森林抚育管理工作（除草、施肥、病虫害防治）900亩，抚育质量合格率达90%以上；按要求完成护林防火、森林资源管护和档案建设等工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部门根据年初设定的绩效目标，爱山森林公园项目自评得分为100分。发现的主要问题及原因：一是抚育质量合格率还能进一步提升；二是森林抚育管理工作（除草、施肥、病虫害防治）病虫害防治还需要进一步开展。下一步改进措施：一是进一步提高森林抚育合格率；二是加强病虫害防治，尤其是松材线虫病防治。</w:t>
      </w:r>
    </w:p>
    <w:p>
      <w:pPr>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一、财政拨款收入：指</w:t>
      </w:r>
      <w:r>
        <w:rPr>
          <w:rFonts w:hint="eastAsia" w:ascii="仿宋" w:hAnsi="仿宋" w:eastAsia="仿宋" w:cs="仿宋"/>
          <w:color w:val="auto"/>
          <w:sz w:val="32"/>
          <w:u w:color="auto"/>
          <w:lang w:val="en-US" w:eastAsia="zh-CN"/>
        </w:rPr>
        <w:t>环江县</w:t>
      </w:r>
      <w:r>
        <w:rPr>
          <w:rFonts w:ascii="仿宋" w:hAnsi="仿宋" w:eastAsia="仿宋" w:cs="仿宋"/>
          <w:color w:val="auto"/>
          <w:sz w:val="32"/>
          <w:u w:color="auto"/>
        </w:rPr>
        <w:t>财政部门当年拨付的资金。</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二、事业收入：指事业单位开展专业业务活动及辅助活动所取得的收入。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四、其他收入：指除上述“财政拨款收入”“事业收入”“经营收入”等以外的收入。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六、年初结转和结余：指以前年度尚未完成、结转到本年 按有关规定继续使用的资金</w:t>
      </w:r>
      <w:r>
        <w:rPr>
          <w:rFonts w:hint="eastAsia" w:ascii="仿宋" w:hAnsi="仿宋" w:eastAsia="仿宋" w:cs="仿宋"/>
          <w:color w:val="auto"/>
          <w:sz w:val="32"/>
          <w:szCs w:val="32"/>
          <w:highlight w:val="none"/>
          <w:lang w:eastAsia="zh-CN"/>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十二、“三公”经费：纳入</w:t>
      </w:r>
      <w:r>
        <w:rPr>
          <w:rFonts w:hint="eastAsia" w:ascii="仿宋" w:hAnsi="仿宋" w:eastAsia="仿宋" w:cs="仿宋"/>
          <w:color w:val="auto"/>
          <w:sz w:val="32"/>
          <w:u w:color="auto"/>
          <w:lang w:val="en-US" w:eastAsia="zh-CN"/>
        </w:rPr>
        <w:t>环江县</w:t>
      </w:r>
      <w:r>
        <w:rPr>
          <w:rFonts w:ascii="仿宋" w:hAnsi="仿宋" w:eastAsia="仿宋" w:cs="仿宋"/>
          <w:color w:val="auto"/>
          <w:sz w:val="32"/>
          <w:u w:color="auto"/>
        </w:rPr>
        <w:t>财政预决算管理的“三公”经费，是指</w:t>
      </w:r>
      <w:r>
        <w:rPr>
          <w:rFonts w:hint="eastAsia" w:ascii="仿宋" w:hAnsi="仿宋" w:eastAsia="仿宋" w:cs="仿宋"/>
          <w:color w:val="auto"/>
          <w:sz w:val="32"/>
          <w:u w:color="auto"/>
          <w:lang w:val="en-US" w:eastAsia="zh-CN"/>
        </w:rPr>
        <w:t>环江县</w:t>
      </w:r>
      <w:r>
        <w:rPr>
          <w:rFonts w:ascii="仿宋" w:hAnsi="仿宋" w:eastAsia="仿宋" w:cs="仿宋"/>
          <w:color w:val="auto"/>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57C0E"/>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16E65C2"/>
    <w:rsid w:val="020C171D"/>
    <w:rsid w:val="0216715F"/>
    <w:rsid w:val="02E0291A"/>
    <w:rsid w:val="03F54751"/>
    <w:rsid w:val="047E6AFF"/>
    <w:rsid w:val="04E54546"/>
    <w:rsid w:val="050D64D6"/>
    <w:rsid w:val="05992762"/>
    <w:rsid w:val="06A42993"/>
    <w:rsid w:val="07B0770E"/>
    <w:rsid w:val="0935495F"/>
    <w:rsid w:val="0942143F"/>
    <w:rsid w:val="0AED7908"/>
    <w:rsid w:val="0CAE02B5"/>
    <w:rsid w:val="0CD411DB"/>
    <w:rsid w:val="0CF66CD7"/>
    <w:rsid w:val="0D100297"/>
    <w:rsid w:val="0D202B45"/>
    <w:rsid w:val="0F273892"/>
    <w:rsid w:val="0F8D4C87"/>
    <w:rsid w:val="104E60CE"/>
    <w:rsid w:val="10505FAA"/>
    <w:rsid w:val="105F7E7E"/>
    <w:rsid w:val="106842E4"/>
    <w:rsid w:val="10FB2F88"/>
    <w:rsid w:val="11E56B5B"/>
    <w:rsid w:val="12584DC2"/>
    <w:rsid w:val="125C77AB"/>
    <w:rsid w:val="12D13E0C"/>
    <w:rsid w:val="13641967"/>
    <w:rsid w:val="14CB726E"/>
    <w:rsid w:val="14EB4B3A"/>
    <w:rsid w:val="15087810"/>
    <w:rsid w:val="15B60291"/>
    <w:rsid w:val="17493B36"/>
    <w:rsid w:val="179C7BF7"/>
    <w:rsid w:val="17E92249"/>
    <w:rsid w:val="18D304F1"/>
    <w:rsid w:val="19F32577"/>
    <w:rsid w:val="19F45B80"/>
    <w:rsid w:val="1B0C078D"/>
    <w:rsid w:val="1B2A50D6"/>
    <w:rsid w:val="1B2B31E2"/>
    <w:rsid w:val="1B4C295A"/>
    <w:rsid w:val="1B973C63"/>
    <w:rsid w:val="1BA1001E"/>
    <w:rsid w:val="1C7F5C6D"/>
    <w:rsid w:val="1D317259"/>
    <w:rsid w:val="1DE97C59"/>
    <w:rsid w:val="1E664F5B"/>
    <w:rsid w:val="1EB34BE1"/>
    <w:rsid w:val="213012E6"/>
    <w:rsid w:val="215E639F"/>
    <w:rsid w:val="21EC3183"/>
    <w:rsid w:val="225E72CD"/>
    <w:rsid w:val="22854BAF"/>
    <w:rsid w:val="23F0560A"/>
    <w:rsid w:val="24242C90"/>
    <w:rsid w:val="246E2F77"/>
    <w:rsid w:val="254B4E2B"/>
    <w:rsid w:val="25555A01"/>
    <w:rsid w:val="272B2AEE"/>
    <w:rsid w:val="27906961"/>
    <w:rsid w:val="283D7C94"/>
    <w:rsid w:val="29480E03"/>
    <w:rsid w:val="2983634D"/>
    <w:rsid w:val="2B383837"/>
    <w:rsid w:val="2B6F1B7B"/>
    <w:rsid w:val="2BB02055"/>
    <w:rsid w:val="2C215167"/>
    <w:rsid w:val="2C575A56"/>
    <w:rsid w:val="2DC43516"/>
    <w:rsid w:val="2F257714"/>
    <w:rsid w:val="2F3275E5"/>
    <w:rsid w:val="30AA08EF"/>
    <w:rsid w:val="30D23D1C"/>
    <w:rsid w:val="30F45421"/>
    <w:rsid w:val="31221CF5"/>
    <w:rsid w:val="31400178"/>
    <w:rsid w:val="31742DBE"/>
    <w:rsid w:val="31CA58BC"/>
    <w:rsid w:val="321E3342"/>
    <w:rsid w:val="3266224D"/>
    <w:rsid w:val="327759C8"/>
    <w:rsid w:val="32A2306C"/>
    <w:rsid w:val="33185FE3"/>
    <w:rsid w:val="342F05A9"/>
    <w:rsid w:val="34EE2E36"/>
    <w:rsid w:val="35442881"/>
    <w:rsid w:val="35792068"/>
    <w:rsid w:val="36777241"/>
    <w:rsid w:val="373747BD"/>
    <w:rsid w:val="37386C69"/>
    <w:rsid w:val="37FB514D"/>
    <w:rsid w:val="38A951DB"/>
    <w:rsid w:val="38B31605"/>
    <w:rsid w:val="39003F4F"/>
    <w:rsid w:val="3A24049A"/>
    <w:rsid w:val="3B8837F2"/>
    <w:rsid w:val="3C07002B"/>
    <w:rsid w:val="3D0D152A"/>
    <w:rsid w:val="3D51281E"/>
    <w:rsid w:val="3DF62756"/>
    <w:rsid w:val="3F1B7587"/>
    <w:rsid w:val="3F422B55"/>
    <w:rsid w:val="3F8F5CFD"/>
    <w:rsid w:val="412970AF"/>
    <w:rsid w:val="41714D36"/>
    <w:rsid w:val="41E57B4F"/>
    <w:rsid w:val="4202745B"/>
    <w:rsid w:val="432F26F6"/>
    <w:rsid w:val="43880F63"/>
    <w:rsid w:val="43BA5936"/>
    <w:rsid w:val="441C5A6F"/>
    <w:rsid w:val="44C35AE0"/>
    <w:rsid w:val="44C44FCC"/>
    <w:rsid w:val="44CC7369"/>
    <w:rsid w:val="457F5108"/>
    <w:rsid w:val="46951B6B"/>
    <w:rsid w:val="47CA6326"/>
    <w:rsid w:val="484A31A7"/>
    <w:rsid w:val="485E4EAB"/>
    <w:rsid w:val="49A34401"/>
    <w:rsid w:val="4A3E30AB"/>
    <w:rsid w:val="4AC14DAC"/>
    <w:rsid w:val="4CB06F8C"/>
    <w:rsid w:val="4D154C85"/>
    <w:rsid w:val="4E1816C7"/>
    <w:rsid w:val="4EC8553A"/>
    <w:rsid w:val="508F4E24"/>
    <w:rsid w:val="51461E90"/>
    <w:rsid w:val="51463753"/>
    <w:rsid w:val="51D8199F"/>
    <w:rsid w:val="52553A93"/>
    <w:rsid w:val="52CE4AD0"/>
    <w:rsid w:val="53521F8B"/>
    <w:rsid w:val="53E22F47"/>
    <w:rsid w:val="54522FF8"/>
    <w:rsid w:val="54966323"/>
    <w:rsid w:val="54A66EE6"/>
    <w:rsid w:val="55450629"/>
    <w:rsid w:val="554738F5"/>
    <w:rsid w:val="56644BD2"/>
    <w:rsid w:val="56692963"/>
    <w:rsid w:val="568B0F48"/>
    <w:rsid w:val="5786217B"/>
    <w:rsid w:val="59337A15"/>
    <w:rsid w:val="59810274"/>
    <w:rsid w:val="5CA96A00"/>
    <w:rsid w:val="5CF730BC"/>
    <w:rsid w:val="5D39083D"/>
    <w:rsid w:val="5E5F0DCE"/>
    <w:rsid w:val="5EBC76FA"/>
    <w:rsid w:val="5FA40A7B"/>
    <w:rsid w:val="5FD56D29"/>
    <w:rsid w:val="5FEC7F3F"/>
    <w:rsid w:val="60F74BC3"/>
    <w:rsid w:val="617D3BF8"/>
    <w:rsid w:val="61841F6A"/>
    <w:rsid w:val="623007A9"/>
    <w:rsid w:val="635209D4"/>
    <w:rsid w:val="637D7558"/>
    <w:rsid w:val="644F19AC"/>
    <w:rsid w:val="65AA4920"/>
    <w:rsid w:val="665B5F70"/>
    <w:rsid w:val="66FF4442"/>
    <w:rsid w:val="673D196D"/>
    <w:rsid w:val="67694F1E"/>
    <w:rsid w:val="68EA6A40"/>
    <w:rsid w:val="69597934"/>
    <w:rsid w:val="69937B0F"/>
    <w:rsid w:val="6A5E3F97"/>
    <w:rsid w:val="6A780043"/>
    <w:rsid w:val="6B964DDC"/>
    <w:rsid w:val="6BDF0C78"/>
    <w:rsid w:val="6C270D16"/>
    <w:rsid w:val="6C3F0015"/>
    <w:rsid w:val="6C783074"/>
    <w:rsid w:val="6D366C72"/>
    <w:rsid w:val="6D9E65C6"/>
    <w:rsid w:val="6DA81947"/>
    <w:rsid w:val="6EB66DE2"/>
    <w:rsid w:val="6ED3075F"/>
    <w:rsid w:val="6F2A2D4B"/>
    <w:rsid w:val="6F8A0C1E"/>
    <w:rsid w:val="703F45D4"/>
    <w:rsid w:val="715D6546"/>
    <w:rsid w:val="71BE069E"/>
    <w:rsid w:val="73953409"/>
    <w:rsid w:val="73E069A3"/>
    <w:rsid w:val="76201E99"/>
    <w:rsid w:val="78104AA8"/>
    <w:rsid w:val="78E257C5"/>
    <w:rsid w:val="794B35BE"/>
    <w:rsid w:val="794E79D3"/>
    <w:rsid w:val="7A5977C7"/>
    <w:rsid w:val="7B0A3A31"/>
    <w:rsid w:val="7B3360ED"/>
    <w:rsid w:val="7B5319F3"/>
    <w:rsid w:val="7BDF037E"/>
    <w:rsid w:val="7BF50948"/>
    <w:rsid w:val="7CE66A78"/>
    <w:rsid w:val="7D23564C"/>
    <w:rsid w:val="7D5E062D"/>
    <w:rsid w:val="7DF76CD8"/>
    <w:rsid w:val="7E607661"/>
    <w:rsid w:val="7F025695"/>
    <w:rsid w:val="7F695C26"/>
    <w:rsid w:val="7F9E265D"/>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 w:type="character" w:customStyle="1" w:styleId="10">
    <w:name w:val="页眉 Char"/>
    <w:basedOn w:val="8"/>
    <w:link w:val="4"/>
    <w:qFormat/>
    <w:uiPriority w:val="0"/>
    <w:rPr>
      <w:rFonts w:asciiTheme="minorHAnsi" w:hAnsiTheme="minorHAnsi" w:eastAsiaTheme="minorEastAsia" w:cstheme="minorBidi"/>
      <w:kern w:val="2"/>
      <w:sz w:val="18"/>
      <w:szCs w:val="18"/>
    </w:rPr>
  </w:style>
  <w:style w:type="character" w:customStyle="1" w:styleId="11">
    <w:name w:val="页脚 Char"/>
    <w:basedOn w:val="8"/>
    <w:link w:val="3"/>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hart" Target="charts/chart14.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4.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4.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182.66</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0.56</c:v>
                </c:pt>
                <c:pt idx="1">
                  <c:v>0</c:v>
                </c:pt>
                <c:pt idx="2">
                  <c:v>0</c:v>
                </c:pt>
                <c:pt idx="3">
                  <c:v>0</c:v>
                </c:pt>
                <c:pt idx="4">
                  <c:v>0.15</c:v>
                </c:pt>
                <c:pt idx="5">
                  <c:v>0.27</c:v>
                </c:pt>
                <c:pt idx="6">
                  <c:v>0.35</c:v>
                </c:pt>
                <c:pt idx="7">
                  <c:v>0</c:v>
                </c:pt>
                <c:pt idx="8">
                  <c:v>0</c:v>
                </c:pt>
                <c:pt idx="9">
                  <c:v>0.48</c:v>
                </c:pt>
                <c:pt idx="10">
                  <c:v>0</c:v>
                </c:pt>
                <c:pt idx="11">
                  <c:v>0</c:v>
                </c:pt>
                <c:pt idx="12">
                  <c:v>0</c:v>
                </c:pt>
                <c:pt idx="13">
                  <c:v>0</c:v>
                </c:pt>
                <c:pt idx="14">
                  <c:v>0</c:v>
                </c:pt>
                <c:pt idx="15">
                  <c:v>0</c:v>
                </c:pt>
                <c:pt idx="16">
                  <c:v>0</c:v>
                </c:pt>
                <c:pt idx="17">
                  <c:v>0</c:v>
                </c:pt>
                <c:pt idx="18">
                  <c:v>0</c:v>
                </c:pt>
                <c:pt idx="19">
                  <c:v>0</c:v>
                </c:pt>
                <c:pt idx="20">
                  <c:v>0</c:v>
                </c:pt>
                <c:pt idx="21">
                  <c:v>1.5</c:v>
                </c:pt>
                <c:pt idx="22">
                  <c:v>0</c:v>
                </c:pt>
                <c:pt idx="23">
                  <c:v>0</c:v>
                </c:pt>
                <c:pt idx="24">
                  <c:v>0</c:v>
                </c:pt>
                <c:pt idx="25">
                  <c:v>0</c:v>
                </c:pt>
                <c:pt idx="26">
                  <c:v>0.18</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0</c:v>
                </c:pt>
                <c:pt idx="1">
                  <c:v>0</c:v>
                </c:pt>
                <c:pt idx="2">
                  <c:v>0</c:v>
                </c:pt>
                <c:pt idx="3">
                  <c:v>0</c:v>
                </c:pt>
                <c:pt idx="4">
                  <c:v>16.05</c:v>
                </c:pt>
                <c:pt idx="5">
                  <c:v>0</c:v>
                </c:pt>
                <c:pt idx="6">
                  <c:v>0</c:v>
                </c:pt>
                <c:pt idx="7">
                  <c:v>0</c:v>
                </c:pt>
                <c:pt idx="8">
                  <c:v>0</c:v>
                </c:pt>
                <c:pt idx="9">
                  <c:v>0</c:v>
                </c:pt>
                <c:pt idx="10">
                  <c:v>0</c:v>
                </c:pt>
                <c:pt idx="11">
                  <c:v>1.4</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教育支出</c:v>
                </c:pt>
                <c:pt idx="1">
                  <c:v>社会保障和就业支出</c:v>
                </c:pt>
                <c:pt idx="2">
                  <c:v>卫生健康支出</c:v>
                </c:pt>
                <c:pt idx="3">
                  <c:v>农林水支出</c:v>
                </c:pt>
                <c:pt idx="4">
                  <c:v>住房保障支出</c:v>
                </c:pt>
              </c:strCache>
            </c:strRef>
          </c:cat>
          <c:val>
            <c:numRef>
              <c:f>Sheet1!$B$2:$B$6</c:f>
              <c:numCache>
                <c:formatCode>General</c:formatCode>
                <c:ptCount val="5"/>
                <c:pt idx="0">
                  <c:v>0</c:v>
                </c:pt>
                <c:pt idx="1">
                  <c:v>12.41</c:v>
                </c:pt>
                <c:pt idx="2">
                  <c:v>0</c:v>
                </c:pt>
                <c:pt idx="3">
                  <c:v>121.58</c:v>
                </c:pt>
                <c:pt idx="4">
                  <c:v>9.37</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教育支出</c:v>
                </c:pt>
                <c:pt idx="1">
                  <c:v>社会保障和就业支出</c:v>
                </c:pt>
                <c:pt idx="2">
                  <c:v>卫生健康支出</c:v>
                </c:pt>
                <c:pt idx="3">
                  <c:v>农林水支出</c:v>
                </c:pt>
                <c:pt idx="4">
                  <c:v>住房保障支出</c:v>
                </c:pt>
              </c:strCache>
            </c:strRef>
          </c:cat>
          <c:val>
            <c:numRef>
              <c:f>Sheet1!$C$2:$C$6</c:f>
              <c:numCache>
                <c:formatCode>General</c:formatCode>
                <c:ptCount val="5"/>
                <c:pt idx="0">
                  <c:v>0</c:v>
                </c:pt>
                <c:pt idx="1">
                  <c:v>11.66</c:v>
                </c:pt>
                <c:pt idx="2">
                  <c:v>0</c:v>
                </c:pt>
                <c:pt idx="3">
                  <c:v>117.32</c:v>
                </c:pt>
                <c:pt idx="4">
                  <c:v>8.75</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1.5</c:v>
                </c:pt>
                <c:pt idx="1">
                  <c:v>1.5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11.66</c:v>
                </c:pt>
                <c:pt idx="1">
                  <c:v>11.66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农林水支出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2130104</c:v>
                </c:pt>
                <c:pt idx="1">
                  <c:v>2130204</c:v>
                </c:pt>
                <c:pt idx="2">
                  <c:v>2130205</c:v>
                </c:pt>
                <c:pt idx="3">
                  <c:v>213x</c:v>
                </c:pt>
              </c:strCache>
            </c:strRef>
          </c:cat>
          <c:val>
            <c:numRef>
              <c:f>Sheet1!$B$2:$B$5</c:f>
              <c:numCache>
                <c:formatCode>General</c:formatCode>
                <c:ptCount val="4"/>
                <c:pt idx="0">
                  <c:v>1.16</c:v>
                </c:pt>
                <c:pt idx="1">
                  <c:v>84.15</c:v>
                </c:pt>
                <c:pt idx="2">
                  <c:v>32</c:v>
                </c:pt>
                <c:pt idx="3">
                  <c:v>117.32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8.75</c:v>
                </c:pt>
                <c:pt idx="1">
                  <c:v>8.75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灾害防治及应急管理支出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2249999</c:v>
                </c:pt>
                <c:pt idx="1">
                  <c:v>224x</c:v>
                </c:pt>
              </c:strCache>
            </c:strRef>
          </c:cat>
          <c:val>
            <c:numRef>
              <c:f>Sheet1!$B$2:$B$3</c:f>
              <c:numCache>
                <c:formatCode>General</c:formatCode>
                <c:ptCount val="2"/>
                <c:pt idx="0">
                  <c:v>24</c:v>
                </c:pt>
                <c:pt idx="1">
                  <c:v>24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19.44</c:v>
                </c:pt>
                <c:pt idx="1">
                  <c:v>19.44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Sheet1!$B$2:$B$14</c:f>
              <c:numCache>
                <c:formatCode>General</c:formatCode>
                <c:ptCount val="13"/>
                <c:pt idx="0">
                  <c:v>356.71</c:v>
                </c:pt>
                <c:pt idx="1">
                  <c:v>162.24</c:v>
                </c:pt>
                <c:pt idx="2">
                  <c:v>100.19</c:v>
                </c:pt>
                <c:pt idx="3">
                  <c:v>24.3</c:v>
                </c:pt>
                <c:pt idx="4">
                  <c:v>238.59</c:v>
                </c:pt>
                <c:pt idx="5">
                  <c:v>131.11</c:v>
                </c:pt>
                <c:pt idx="6">
                  <c:v>0</c:v>
                </c:pt>
                <c:pt idx="7">
                  <c:v>53.35</c:v>
                </c:pt>
                <c:pt idx="8">
                  <c:v>50.92</c:v>
                </c:pt>
                <c:pt idx="9">
                  <c:v>3.75</c:v>
                </c:pt>
                <c:pt idx="10">
                  <c:v>98.52</c:v>
                </c:pt>
                <c:pt idx="11">
                  <c:v>0</c:v>
                </c:pt>
                <c:pt idx="12">
                  <c:v>5.29</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0</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2023-11-24T02:09:14Z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DB2B7A118B0844A8849DBCA284668F88</vt:lpwstr>
  </property>
</Properties>
</file>