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环江毛南族自治县糖业发展中心2022年度部门决算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环江毛南族自治县糖业发展中心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环江毛南族自治县糖业发展中心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环江毛南族自治县糖业发展中心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环江毛南族自治县糖业发展中心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pacing w:before="100" w:beforeAutospacing="1" w:after="100" w:afterAutospacing="1" w:line="360" w:lineRule="auto"/>
        <w:jc w:val="left"/>
        <w:rPr>
          <w:rFonts w:ascii="仿宋" w:hAnsi="仿宋" w:eastAsia="仿宋" w:cs="仿宋"/>
          <w:color w:val="333333"/>
          <w:kern w:val="1"/>
          <w:sz w:val="28"/>
          <w:szCs w:val="28"/>
        </w:rPr>
      </w:pPr>
      <w:r>
        <w:rPr>
          <w:rFonts w:ascii="仿宋" w:hAnsi="仿宋" w:eastAsia="仿宋" w:cs="仿宋"/>
          <w:color w:val="333333"/>
          <w:kern w:val="1"/>
          <w:sz w:val="28"/>
          <w:szCs w:val="28"/>
        </w:rPr>
        <w:t>（一）贯彻执行国家、自治区、市和自治县有关糖蔗（糖料蔗）生产发展的法律、法规、规章和方针政策，加强蔗区管理，认真履行自治县人民政府赋予糖业生产发展的管理职能。</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（二）负责编制全县糖业发展规划和制定相关政策，科学规划糖业发展布局。</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（三</w:t>
      </w:r>
      <w:r>
        <w:rPr>
          <w:rFonts w:hint="eastAsia" w:ascii="仿宋" w:hAnsi="仿宋" w:eastAsia="仿宋" w:cs="仿宋"/>
          <w:color w:val="333333"/>
          <w:kern w:val="1"/>
          <w:sz w:val="28"/>
          <w:szCs w:val="28"/>
          <w:lang w:val="en-US" w:eastAsia="zh-CN"/>
        </w:rPr>
        <w:t>)</w:t>
      </w:r>
      <w:r>
        <w:rPr>
          <w:rFonts w:ascii="仿宋" w:hAnsi="仿宋" w:eastAsia="仿宋" w:cs="仿宋"/>
          <w:color w:val="333333"/>
          <w:kern w:val="1"/>
          <w:sz w:val="28"/>
          <w:szCs w:val="28"/>
        </w:rPr>
        <w:t>负责蔗区糖蔗生产种植、涉蔗农资、原料蔗的砍运榨销、蔗款兑现、蔗区路维修等方面的监督管理，做好协调服务工作。</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（四）负责糖蔗种子鉴定、检疫及管理；负责种苗调运和调剂；负责糖蔗新品种的引进及其对比试验；负责品种改良和结构调整，切实做好适应当地种植糖蔗品种的繁育推广和"双高"栽培技术的推广普及工作。</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（五）负责全县糖蔗生产种植技术培训和技术指导工作；负责对各乡镇甘蔗站进行业务指导。</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（六）负责探究实施适合我县糖蔗生产的有效管理模式；配合有关部门共同做好糖蔗产业方面的招商引资工作。</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（七）负责与上级业务主管部门或先进糖蔗产区开展多层次的技术交流与合作；负责糖业发展项目的组织实施。</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（八）负责协调和处理制糖企业与蔗区乡镇、村、蔗农的关系，维护企业和群众的合法权益。</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（九）会同自治县人民政府有关部门做好原料蔗收购价格的测定工作，并督促检查制糖企业在原料蔗收购价格上的执行情况。</w:t>
      </w:r>
      <w:r>
        <w:rPr>
          <w:rFonts w:ascii="仿宋" w:hAnsi="仿宋" w:eastAsia="仿宋" w:cs="仿宋"/>
          <w:color w:val="333333"/>
          <w:kern w:val="1"/>
          <w:sz w:val="28"/>
          <w:szCs w:val="28"/>
        </w:rPr>
        <w:br w:type="textWrapping"/>
      </w:r>
      <w:r>
        <w:rPr>
          <w:rFonts w:ascii="仿宋" w:hAnsi="仿宋" w:eastAsia="仿宋" w:cs="仿宋"/>
          <w:color w:val="333333"/>
          <w:kern w:val="1"/>
          <w:sz w:val="28"/>
          <w:szCs w:val="28"/>
        </w:rPr>
        <w:t xml:space="preserve"> </w:t>
      </w:r>
      <w:r>
        <w:rPr>
          <w:rFonts w:hint="eastAsia" w:ascii="仿宋" w:hAnsi="仿宋" w:eastAsia="仿宋" w:cs="仿宋"/>
          <w:color w:val="333333"/>
          <w:kern w:val="1"/>
          <w:sz w:val="28"/>
          <w:szCs w:val="28"/>
          <w:lang w:val="en-US" w:eastAsia="zh-CN"/>
        </w:rPr>
        <w:t>(</w:t>
      </w:r>
      <w:r>
        <w:rPr>
          <w:rFonts w:ascii="仿宋" w:hAnsi="仿宋" w:eastAsia="仿宋" w:cs="仿宋"/>
          <w:color w:val="333333"/>
          <w:kern w:val="1"/>
          <w:sz w:val="28"/>
          <w:szCs w:val="28"/>
        </w:rPr>
        <w:t>十）负责完成全县高产高糖糖料蔗基地建设的相关工作。</w:t>
      </w:r>
      <w:r>
        <w:rPr>
          <w:rFonts w:hint="eastAsia" w:ascii="仿宋" w:hAnsi="仿宋" w:eastAsia="仿宋" w:cs="仿宋"/>
          <w:color w:val="333333"/>
          <w:kern w:val="1"/>
          <w:sz w:val="28"/>
          <w:szCs w:val="28"/>
          <w:lang w:val="en-US" w:eastAsia="zh-CN"/>
        </w:rPr>
        <w:t xml:space="preserve">         </w:t>
      </w:r>
      <w:r>
        <w:rPr>
          <w:rFonts w:ascii="仿宋" w:hAnsi="仿宋" w:eastAsia="仿宋" w:cs="仿宋"/>
          <w:color w:val="333333"/>
          <w:kern w:val="1"/>
          <w:sz w:val="28"/>
          <w:szCs w:val="28"/>
        </w:rPr>
        <w:t>（十一）承办自治县人民政府交办的其他事项。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tbl>
      <w:tblPr>
        <w:tblStyle w:val="6"/>
        <w:tblW w:w="8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1"/>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2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b w:val="0"/>
                <w:bCs w:val="0"/>
                <w:sz w:val="30"/>
                <w:szCs w:val="30"/>
                <w:highlight w:val="none"/>
                <w:lang w:val="en-US" w:eastAsia="zh-CN"/>
              </w:rPr>
              <w:t>环江毛南族自治县糖业发展中心</w:t>
            </w:r>
          </w:p>
        </w:tc>
        <w:tc>
          <w:tcPr>
            <w:tcW w:w="3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lang w:val="en-US" w:eastAsia="zh-CN"/>
              </w:rPr>
              <w:t>公益一类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bookmarkEnd w:id="0"/>
    </w:tbl>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环江毛南族自治县糖业发展中心</w:t>
      </w:r>
      <w:bookmarkStart w:id="7" w:name="_GoBack"/>
      <w:bookmarkEnd w:id="7"/>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219.23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219.23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219.23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212.88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147.66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219.23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219.23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219.23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212.88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189.25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12.62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广西河池市环江毛南族自治县糖业发展中心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环江毛南族自治县糖业发展中心</w:t>
      </w:r>
      <w:r>
        <w:rPr>
          <w:rFonts w:hint="eastAsia" w:ascii="黑体" w:hAnsi="黑体" w:eastAsia="黑体" w:cs="黑体"/>
          <w:sz w:val="32"/>
          <w:szCs w:val="32"/>
          <w:highlight w:val="none"/>
        </w:rPr>
        <w:t>2022年度</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219.23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减少58.23</w:t>
      </w:r>
      <w:r>
        <w:rPr>
          <w:rFonts w:hint="eastAsia" w:ascii="仿宋" w:hAnsi="仿宋" w:eastAsia="仿宋" w:cs="仿宋"/>
          <w:sz w:val="32"/>
          <w:szCs w:val="32"/>
          <w:highlight w:val="none"/>
        </w:rPr>
        <w:t>万元，</w:t>
      </w:r>
      <w:r>
        <w:rPr>
          <w:rFonts w:ascii="仿宋" w:hAnsi="仿宋" w:eastAsia="仿宋" w:cs="仿宋"/>
          <w:sz w:val="32"/>
          <w:u w:color="auto"/>
        </w:rPr>
        <w:t>下降20.99%</w:t>
      </w:r>
      <w:r>
        <w:rPr>
          <w:rFonts w:hint="eastAsia" w:ascii="仿宋" w:hAnsi="仿宋" w:eastAsia="仿宋" w:cs="仿宋"/>
          <w:sz w:val="32"/>
          <w:szCs w:val="32"/>
          <w:highlight w:val="none"/>
        </w:rPr>
        <w:t>，其中本年收入</w:t>
      </w:r>
      <w:r>
        <w:rPr>
          <w:rFonts w:ascii="仿宋" w:hAnsi="仿宋" w:eastAsia="仿宋" w:cs="仿宋"/>
          <w:sz w:val="32"/>
          <w:u w:color="auto"/>
        </w:rPr>
        <w:t>219.23</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219.23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减少38.25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下降14.86%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黑体" w:eastAsia="仿宋_GB2312" w:cs="仿宋_GB2312"/>
          <w:kern w:val="0"/>
          <w:sz w:val="32"/>
          <w:szCs w:val="32"/>
        </w:rPr>
        <w:t>主要原因是</w:t>
      </w:r>
      <w:r>
        <w:rPr>
          <w:rFonts w:hint="eastAsia" w:ascii="仿宋_GB2312" w:hAnsi="仿宋_GB2312" w:eastAsia="仿宋_GB2312" w:cs="仿宋_GB2312"/>
          <w:kern w:val="0"/>
          <w:sz w:val="32"/>
          <w:szCs w:val="32"/>
          <w:highlight w:val="none"/>
          <w:lang w:eastAsia="zh-CN"/>
        </w:rPr>
        <w:t>项目有所减少</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ascii="仿宋" w:hAnsi="仿宋" w:eastAsia="仿宋" w:cs="仿宋"/>
          <w:color w:val="auto"/>
          <w:sz w:val="32"/>
          <w:u w:color="auto"/>
        </w:rPr>
        <w:t>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w:t>
      </w:r>
      <w:r>
        <w:rPr>
          <w:rFonts w:hint="eastAsia" w:ascii="仿宋" w:hAnsi="仿宋" w:eastAsia="仿宋" w:cs="仿宋"/>
          <w:color w:val="auto"/>
          <w:kern w:val="2"/>
          <w:sz w:val="32"/>
          <w:szCs w:val="32"/>
          <w:highlight w:val="none"/>
          <w:lang w:val="en-US" w:eastAsia="zh-CN" w:bidi="ar"/>
        </w:rPr>
        <w:t>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w:t>
      </w:r>
      <w:r>
        <w:rPr>
          <w:rFonts w:hint="eastAsia" w:ascii="仿宋" w:hAnsi="仿宋" w:eastAsia="仿宋" w:cs="仿宋"/>
          <w:color w:val="auto"/>
          <w:kern w:val="2"/>
          <w:sz w:val="32"/>
          <w:szCs w:val="32"/>
          <w:highlight w:val="none"/>
          <w:lang w:val="en-US" w:eastAsia="zh-CN" w:bidi="ar"/>
        </w:rPr>
        <w:t>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w:t>
      </w:r>
      <w:r>
        <w:rPr>
          <w:rFonts w:hint="eastAsia" w:ascii="仿宋" w:hAnsi="仿宋" w:eastAsia="仿宋" w:cs="仿宋"/>
          <w:color w:val="auto"/>
          <w:kern w:val="2"/>
          <w:sz w:val="32"/>
          <w:szCs w:val="32"/>
          <w:highlight w:val="none"/>
          <w:lang w:val="en-US" w:eastAsia="zh-CN" w:bidi="ar"/>
        </w:rPr>
        <w:t>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减少19.98</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37710" cy="2896870"/>
            <wp:effectExtent l="4445" t="4445" r="10795" b="1333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219.23</w:t>
      </w:r>
      <w:r>
        <w:rPr>
          <w:rFonts w:hint="eastAsia" w:ascii="仿宋" w:hAnsi="仿宋" w:eastAsia="仿宋" w:cs="仿宋"/>
          <w:sz w:val="32"/>
          <w:szCs w:val="32"/>
          <w:highlight w:val="none"/>
        </w:rPr>
        <w:t>万元，其中本年支出</w:t>
      </w:r>
      <w:r>
        <w:rPr>
          <w:rFonts w:ascii="仿宋" w:hAnsi="仿宋" w:eastAsia="仿宋" w:cs="仿宋"/>
          <w:sz w:val="32"/>
          <w:u w:color="auto"/>
        </w:rPr>
        <w:t>219.23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减少58.23</w:t>
      </w:r>
      <w:r>
        <w:rPr>
          <w:rFonts w:hint="eastAsia" w:ascii="仿宋" w:hAnsi="仿宋" w:eastAsia="仿宋" w:cs="仿宋"/>
          <w:sz w:val="32"/>
          <w:szCs w:val="32"/>
          <w:highlight w:val="none"/>
        </w:rPr>
        <w:t>万元，</w:t>
      </w:r>
      <w:r>
        <w:rPr>
          <w:rFonts w:ascii="仿宋" w:hAnsi="仿宋" w:eastAsia="仿宋" w:cs="仿宋"/>
          <w:sz w:val="32"/>
          <w:u w:color="auto"/>
        </w:rPr>
        <w:t>下降20.99%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单位转入总工会经费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增加2.83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主要原因是：2021年工会经费未列入公共服务费。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18.60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干部职工养老保险、医疗保险和工伤保险等社会保障资金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减少0.29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下降1.54%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主要原因是：有人员退休。</w:t>
      </w:r>
    </w:p>
    <w:p>
      <w:pPr>
        <w:spacing w:line="560" w:lineRule="exact"/>
        <w:ind w:firstLine="640"/>
        <w:jc w:val="left"/>
        <w:rPr>
          <w:rFonts w:hint="eastAsia" w:ascii="仿宋" w:hAnsi="仿宋" w:eastAsia="仿宋" w:cs="仿宋"/>
          <w:sz w:val="32"/>
          <w:szCs w:val="32"/>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147.66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干部职工的基本工资、各项津贴补贴和绩</w:t>
      </w:r>
      <w:r>
        <w:rPr>
          <w:rFonts w:hint="eastAsia" w:ascii="仿宋" w:hAnsi="仿宋" w:eastAsia="仿宋" w:cs="仿宋"/>
          <w:sz w:val="32"/>
          <w:szCs w:val="32"/>
        </w:rPr>
        <w:t>效工资；开展糖蔗产业生产工作发生的各项经费</w:t>
      </w:r>
      <w:r>
        <w:rPr>
          <w:rFonts w:hint="eastAsia" w:ascii="仿宋" w:hAnsi="仿宋" w:eastAsia="仿宋" w:cs="仿宋"/>
          <w:sz w:val="32"/>
          <w:szCs w:val="32"/>
          <w:lang w:eastAsia="zh-CN"/>
        </w:rPr>
        <w:t>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减少33.17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下降18.34%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rPr>
        <w:t>高产高糖糖料蔗基地建设项目有所减少。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仿宋_GB2312" w:hAnsi="微软雅黑" w:eastAsia="仿宋_GB2312" w:cs="仿宋_GB2312"/>
          <w:i w:val="0"/>
          <w:iCs w:val="0"/>
          <w:caps w:val="0"/>
          <w:color w:val="333333"/>
          <w:spacing w:val="0"/>
          <w:sz w:val="30"/>
          <w:szCs w:val="30"/>
        </w:rPr>
        <w:t>本部门及所属</w:t>
      </w:r>
      <w:r>
        <w:rPr>
          <w:rFonts w:hint="default" w:ascii="仿宋_GB2312" w:hAnsi="微软雅黑" w:eastAsia="仿宋_GB2312" w:cs="仿宋_GB2312"/>
          <w:i w:val="0"/>
          <w:iCs w:val="0"/>
          <w:caps w:val="0"/>
          <w:color w:val="auto"/>
          <w:spacing w:val="0"/>
          <w:sz w:val="30"/>
          <w:szCs w:val="30"/>
        </w:rPr>
        <w:t>事业单位按规定的比例计缴的住房公积金</w:t>
      </w:r>
      <w:r>
        <w:rPr>
          <w:rFonts w:hint="eastAsia" w:ascii="仿宋" w:hAnsi="仿宋" w:eastAsia="仿宋" w:cs="仿宋"/>
          <w:color w:val="auto"/>
          <w:sz w:val="30"/>
          <w:szCs w:val="30"/>
          <w:highlight w:val="none"/>
        </w:rPr>
        <w:t>。</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增加0.16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主要原因是：公积金基数有所增加。</w:t>
      </w:r>
    </w:p>
    <w:p>
      <w:pPr>
        <w:spacing w:line="560" w:lineRule="exact"/>
        <w:ind w:firstLine="64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34.94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发放干部年终绩效奖金和农林水事务的其他支出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减少7.77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下降18.19%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lang w:eastAsia="zh-CN"/>
        </w:rPr>
        <w:t>职工</w:t>
      </w:r>
      <w:r>
        <w:rPr>
          <w:rFonts w:hint="eastAsia" w:ascii="仿宋" w:hAnsi="仿宋" w:eastAsia="仿宋" w:cs="仿宋"/>
          <w:color w:val="auto"/>
          <w:sz w:val="32"/>
          <w:szCs w:val="32"/>
        </w:rPr>
        <w:t>发的绩效奖金有所</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42485" cy="258445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环江毛南族自治县糖业发展中心2022年度一般公共预算财政拨款支出</w:t>
      </w:r>
      <w:r>
        <w:rPr>
          <w:rFonts w:ascii="仿宋" w:hAnsi="仿宋" w:eastAsia="仿宋" w:cs="仿宋"/>
          <w:sz w:val="32"/>
          <w:u w:color="auto"/>
        </w:rPr>
        <w:t>219.23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减少58.23</w:t>
      </w:r>
      <w:r>
        <w:rPr>
          <w:rFonts w:hint="eastAsia" w:ascii="仿宋" w:hAnsi="仿宋" w:eastAsia="仿宋" w:cs="仿宋"/>
          <w:sz w:val="32"/>
          <w:szCs w:val="32"/>
          <w:highlight w:val="none"/>
        </w:rPr>
        <w:t>万元，</w:t>
      </w:r>
      <w:r>
        <w:rPr>
          <w:rFonts w:ascii="仿宋" w:hAnsi="仿宋" w:eastAsia="仿宋" w:cs="仿宋"/>
          <w:sz w:val="32"/>
          <w:u w:color="auto"/>
        </w:rPr>
        <w:t>下降20.99%</w:t>
      </w:r>
      <w:r>
        <w:rPr>
          <w:rFonts w:hint="eastAsia" w:ascii="仿宋" w:hAnsi="仿宋" w:eastAsia="仿宋" w:cs="仿宋"/>
          <w:sz w:val="32"/>
          <w:szCs w:val="32"/>
          <w:highlight w:val="none"/>
        </w:rPr>
        <w:t>。其中：基本支出</w:t>
      </w:r>
      <w:r>
        <w:rPr>
          <w:rFonts w:ascii="仿宋" w:hAnsi="仿宋" w:eastAsia="仿宋" w:cs="仿宋"/>
          <w:sz w:val="32"/>
          <w:u w:color="auto"/>
        </w:rPr>
        <w:t>212.88</w:t>
      </w:r>
      <w:r>
        <w:rPr>
          <w:rFonts w:hint="eastAsia" w:ascii="仿宋" w:hAnsi="仿宋" w:eastAsia="仿宋" w:cs="仿宋"/>
          <w:sz w:val="32"/>
          <w:szCs w:val="32"/>
          <w:highlight w:val="none"/>
        </w:rPr>
        <w:t>万元，项目支出</w:t>
      </w:r>
      <w:r>
        <w:rPr>
          <w:rFonts w:ascii="仿宋" w:hAnsi="仿宋" w:eastAsia="仿宋" w:cs="仿宋"/>
          <w:sz w:val="32"/>
          <w:u w:color="auto"/>
        </w:rPr>
        <w:t>6.36</w:t>
      </w:r>
      <w:r>
        <w:rPr>
          <w:rFonts w:hint="eastAsia" w:ascii="仿宋" w:hAnsi="仿宋" w:eastAsia="仿宋" w:cs="仿宋"/>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sz w:val="32"/>
          <w:szCs w:val="32"/>
          <w:highlight w:val="none"/>
        </w:rPr>
        <w:t>环江毛南族自治县糖业发展中心2022 年度一般公共预算财政拨款支出年初预算为</w:t>
      </w:r>
      <w:r>
        <w:rPr>
          <w:rFonts w:ascii="仿宋" w:hAnsi="仿宋" w:eastAsia="仿宋" w:cs="仿宋"/>
          <w:sz w:val="32"/>
          <w:u w:color="auto"/>
        </w:rPr>
        <w:t>204.58</w:t>
      </w:r>
      <w:r>
        <w:rPr>
          <w:rFonts w:hint="eastAsia" w:ascii="仿宋" w:hAnsi="仿宋" w:eastAsia="仿宋" w:cs="仿宋"/>
          <w:sz w:val="32"/>
          <w:szCs w:val="32"/>
          <w:highlight w:val="none"/>
        </w:rPr>
        <w:t>万元，支出决算为</w:t>
      </w:r>
      <w:r>
        <w:rPr>
          <w:rFonts w:ascii="仿宋" w:hAnsi="仿宋" w:eastAsia="仿宋" w:cs="仿宋"/>
          <w:sz w:val="32"/>
          <w:u w:color="auto"/>
        </w:rPr>
        <w:t>219.23</w:t>
      </w:r>
      <w:r>
        <w:rPr>
          <w:rFonts w:hint="eastAsia" w:ascii="仿宋" w:hAnsi="仿宋" w:eastAsia="仿宋" w:cs="仿宋"/>
          <w:sz w:val="32"/>
          <w:szCs w:val="32"/>
          <w:highlight w:val="none"/>
        </w:rPr>
        <w:t>万元，完成年初预</w:t>
      </w:r>
      <w:r>
        <w:rPr>
          <w:rFonts w:hint="eastAsia" w:ascii="仿宋" w:hAnsi="仿宋" w:eastAsia="仿宋" w:cs="仿宋"/>
          <w:color w:val="auto"/>
          <w:sz w:val="32"/>
          <w:szCs w:val="32"/>
          <w:highlight w:val="none"/>
        </w:rPr>
        <w:t>算的</w:t>
      </w:r>
      <w:r>
        <w:rPr>
          <w:rFonts w:ascii="仿宋" w:hAnsi="仿宋" w:eastAsia="仿宋" w:cs="仿宋"/>
          <w:color w:val="auto"/>
          <w:sz w:val="32"/>
          <w:u w:color="auto"/>
        </w:rPr>
        <w:t>107.16%</w:t>
      </w:r>
      <w:r>
        <w:rPr>
          <w:rFonts w:hint="eastAsia" w:ascii="仿宋" w:hAnsi="仿宋" w:eastAsia="仿宋" w:cs="仿宋"/>
          <w:color w:val="auto"/>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2.83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2.83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单位转入总工会经费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0345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22.62</w:t>
      </w:r>
      <w:r>
        <w:rPr>
          <w:rFonts w:hint="eastAsia" w:ascii="仿宋" w:hAnsi="仿宋" w:eastAsia="仿宋"/>
          <w:sz w:val="32"/>
          <w:szCs w:val="32"/>
          <w:highlight w:val="none"/>
        </w:rPr>
        <w:t>万元，支出决算为</w:t>
      </w:r>
      <w:r>
        <w:rPr>
          <w:rFonts w:ascii="仿宋" w:hAnsi="仿宋" w:eastAsia="仿宋"/>
          <w:sz w:val="32"/>
          <w:szCs w:val="32"/>
          <w:highlight w:val="none"/>
        </w:rPr>
        <w:t>18.60</w:t>
      </w:r>
      <w:r>
        <w:rPr>
          <w:rFonts w:hint="eastAsia" w:ascii="仿宋" w:hAnsi="仿宋" w:eastAsia="仿宋"/>
          <w:sz w:val="32"/>
          <w:szCs w:val="32"/>
          <w:highlight w:val="none"/>
        </w:rPr>
        <w:t>万元，完成年初预算的</w:t>
      </w:r>
      <w:r>
        <w:rPr>
          <w:rFonts w:ascii="仿宋" w:hAnsi="仿宋" w:eastAsia="仿宋"/>
          <w:sz w:val="32"/>
          <w:szCs w:val="32"/>
          <w:highlight w:val="none"/>
        </w:rPr>
        <w:t>82.23%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auto"/>
          <w:sz w:val="30"/>
          <w:szCs w:val="30"/>
          <w:highlight w:val="none"/>
          <w:lang w:val="en-US" w:eastAsia="zh-CN"/>
        </w:rPr>
        <w:t>原因是</w:t>
      </w:r>
      <w:r>
        <w:rPr>
          <w:rFonts w:hint="eastAsia" w:ascii="仿宋" w:hAnsi="仿宋" w:eastAsia="仿宋" w:cs="仿宋"/>
          <w:color w:val="auto"/>
          <w:kern w:val="2"/>
          <w:sz w:val="30"/>
          <w:szCs w:val="30"/>
          <w:highlight w:val="none"/>
          <w:lang w:val="en-US" w:eastAsia="zh-CN" w:bidi="ar"/>
        </w:rPr>
        <w:t>有人员退休</w:t>
      </w:r>
      <w:r>
        <w:rPr>
          <w:rFonts w:hint="eastAsia" w:ascii="仿宋" w:hAnsi="仿宋" w:eastAsia="仿宋"/>
          <w:color w:val="auto"/>
          <w:sz w:val="30"/>
          <w:szCs w:val="30"/>
          <w:highlight w:val="none"/>
          <w:lang w:val="en-US" w:eastAsia="zh-CN"/>
        </w:rPr>
        <w:t>：</w:t>
      </w:r>
      <w:r>
        <w:rPr>
          <w:rFonts w:hint="eastAsia" w:ascii="仿宋" w:hAnsi="仿宋" w:eastAsia="仿宋" w:cs="仿宋"/>
          <w:color w:val="auto"/>
          <w:kern w:val="2"/>
          <w:sz w:val="30"/>
          <w:szCs w:val="30"/>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 w:val="21"/>
                <w:szCs w:val="21"/>
              </w:rPr>
              <w:t>干部职工养老保险、医疗保险和工伤保险等社会保障资金</w:t>
            </w:r>
            <w:r>
              <w:rPr>
                <w:rFonts w:hint="eastAsia" w:ascii="仿宋" w:hAnsi="仿宋" w:eastAsia="仿宋" w:cs="仿宋"/>
                <w:sz w:val="32"/>
                <w:szCs w:val="32"/>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kern w:val="2"/>
                <w:sz w:val="21"/>
                <w:szCs w:val="21"/>
                <w:highlight w:val="none"/>
                <w:lang w:val="en-US" w:eastAsia="zh-CN" w:bidi="ar"/>
              </w:rPr>
              <w:t>有人员退休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162.17</w:t>
      </w:r>
      <w:r>
        <w:rPr>
          <w:rFonts w:hint="eastAsia" w:ascii="仿宋" w:hAnsi="仿宋" w:eastAsia="仿宋"/>
          <w:sz w:val="32"/>
          <w:szCs w:val="32"/>
          <w:highlight w:val="none"/>
        </w:rPr>
        <w:t>万元，支出决算为</w:t>
      </w:r>
      <w:r>
        <w:rPr>
          <w:rFonts w:ascii="仿宋" w:hAnsi="仿宋" w:eastAsia="仿宋"/>
          <w:sz w:val="32"/>
          <w:szCs w:val="32"/>
          <w:highlight w:val="none"/>
        </w:rPr>
        <w:t>147.66</w:t>
      </w:r>
      <w:r>
        <w:rPr>
          <w:rFonts w:hint="eastAsia" w:ascii="仿宋" w:hAnsi="仿宋" w:eastAsia="仿宋"/>
          <w:sz w:val="32"/>
          <w:szCs w:val="32"/>
          <w:highlight w:val="none"/>
        </w:rPr>
        <w:t>万元，完成年初预算的</w:t>
      </w:r>
      <w:r>
        <w:rPr>
          <w:rFonts w:ascii="仿宋" w:hAnsi="仿宋" w:eastAsia="仿宋"/>
          <w:sz w:val="32"/>
          <w:szCs w:val="32"/>
          <w:highlight w:val="none"/>
        </w:rPr>
        <w:t>91.05%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原因是：项目有所减少</w:t>
      </w:r>
      <w:r>
        <w:rPr>
          <w:rFonts w:hint="eastAsia" w:ascii="仿宋" w:hAnsi="仿宋" w:eastAsia="仿宋" w:cs="仿宋"/>
          <w:color w:val="FF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162.17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 w:val="21"/>
                <w:szCs w:val="21"/>
              </w:rPr>
              <w:t>干部职工的基本工资、各项津贴补贴和绩效工资；开展糖蔗产业生产工作发生的各项经费</w:t>
            </w:r>
            <w:r>
              <w:rPr>
                <w:rFonts w:hint="eastAsia" w:ascii="仿宋" w:hAnsi="仿宋" w:eastAsia="仿宋" w:cs="仿宋"/>
                <w:sz w:val="21"/>
                <w:szCs w:val="21"/>
                <w:lang w:eastAsia="zh-CN"/>
              </w:rPr>
              <w:t>等</w:t>
            </w:r>
            <w:r>
              <w:rPr>
                <w:rFonts w:hint="eastAsia" w:ascii="仿宋" w:hAnsi="仿宋" w:eastAsia="仿宋" w:cs="仿宋"/>
                <w:sz w:val="21"/>
                <w:szCs w:val="21"/>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项目减少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162.17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16.96</w:t>
      </w:r>
      <w:r>
        <w:rPr>
          <w:rFonts w:hint="eastAsia" w:ascii="仿宋" w:hAnsi="仿宋" w:eastAsia="仿宋"/>
          <w:sz w:val="32"/>
          <w:szCs w:val="32"/>
          <w:highlight w:val="none"/>
        </w:rPr>
        <w:t>万元，支出决算为</w:t>
      </w:r>
      <w:r>
        <w:rPr>
          <w:rFonts w:ascii="仿宋" w:hAnsi="仿宋" w:eastAsia="仿宋"/>
          <w:sz w:val="32"/>
          <w:szCs w:val="32"/>
          <w:highlight w:val="none"/>
        </w:rPr>
        <w:t>15.21</w:t>
      </w:r>
      <w:r>
        <w:rPr>
          <w:rFonts w:hint="eastAsia" w:ascii="仿宋" w:hAnsi="仿宋" w:eastAsia="仿宋"/>
          <w:sz w:val="32"/>
          <w:szCs w:val="32"/>
          <w:highlight w:val="none"/>
        </w:rPr>
        <w:t>万元，完成年初预算的</w:t>
      </w:r>
      <w:r>
        <w:rPr>
          <w:rFonts w:ascii="仿宋" w:hAnsi="仿宋" w:eastAsia="仿宋"/>
          <w:sz w:val="32"/>
          <w:szCs w:val="32"/>
          <w:highlight w:val="none"/>
        </w:rPr>
        <w:t>89.68%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微软雅黑" w:eastAsia="仿宋_GB2312" w:cs="仿宋_GB2312"/>
          <w:i w:val="0"/>
          <w:iCs w:val="0"/>
          <w:caps w:val="0"/>
          <w:color w:val="333333"/>
          <w:spacing w:val="0"/>
          <w:sz w:val="30"/>
          <w:szCs w:val="30"/>
          <w:lang w:val="en-US" w:eastAsia="zh-CN"/>
        </w:rPr>
        <w:t>有人员</w:t>
      </w:r>
      <w:r>
        <w:rPr>
          <w:rFonts w:hint="eastAsia" w:ascii="仿宋_GB2312" w:hAnsi="微软雅黑" w:eastAsia="仿宋_GB2312" w:cs="仿宋_GB2312"/>
          <w:i w:val="0"/>
          <w:iCs w:val="0"/>
          <w:caps w:val="0"/>
          <w:color w:val="auto"/>
          <w:spacing w:val="0"/>
          <w:sz w:val="30"/>
          <w:szCs w:val="30"/>
          <w:lang w:val="en-US" w:eastAsia="zh-CN"/>
        </w:rPr>
        <w:t>退休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89.68%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i w:val="0"/>
                <w:iCs w:val="0"/>
                <w:caps w:val="0"/>
                <w:color w:val="333333"/>
                <w:spacing w:val="0"/>
                <w:sz w:val="21"/>
                <w:szCs w:val="21"/>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有人员退休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34.94</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其它支出没有列入年初预算。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sz w:val="21"/>
                <w:szCs w:val="21"/>
              </w:rPr>
              <w:t>发放干部年终绩效奖金和农林水事务的其他支出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kern w:val="2"/>
                <w:sz w:val="21"/>
                <w:szCs w:val="21"/>
                <w:highlight w:val="none"/>
                <w:lang w:val="en-US" w:eastAsia="zh-CN" w:bidi="ar"/>
              </w:rPr>
              <w:t>其它支出没有列入年初预算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环江毛南族自治县糖业发展中心2022年度一般公共预算财政拨款基本支出</w:t>
      </w:r>
      <w:r>
        <w:rPr>
          <w:rFonts w:ascii="仿宋" w:hAnsi="仿宋" w:eastAsia="仿宋" w:cs="仿宋"/>
          <w:sz w:val="32"/>
          <w:u w:color="auto"/>
        </w:rPr>
        <w:t>212.88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200.26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12.62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189.25万元，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111.62%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主要原因是：年终绩效奖金未列入年初预算。</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58.58万元，30102津贴补贴23.72万元，30103奖金51.26万元，30106伙食补助费2.40万元，30107绩效工资9.89万元，30108机关事业单位基本养老保险缴费18.60万元，30110职工基本医疗保险缴费4.95万元，30112其他社会保障缴费1.77万元，30113住房公积金15.21万元，30199其他工资福利支出2.88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12.62万元，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82.7%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：有部分资金未支付。</w:t>
      </w:r>
      <w:r>
        <w:rPr>
          <w:rFonts w:hint="eastAsia" w:ascii="仿宋" w:hAnsi="仿宋" w:eastAsia="仿宋"/>
          <w:color w:val="auto"/>
          <w:sz w:val="32"/>
          <w:szCs w:val="32"/>
          <w:highlight w:val="none"/>
          <w:lang w:val="en-US" w:eastAsia="zh-CN"/>
        </w:rPr>
        <w:t>支</w:t>
      </w:r>
      <w:r>
        <w:rPr>
          <w:rFonts w:hint="eastAsia" w:ascii="仿宋" w:hAnsi="仿宋" w:eastAsia="仿宋"/>
          <w:sz w:val="32"/>
          <w:szCs w:val="32"/>
          <w:highlight w:val="none"/>
          <w:lang w:val="en-US" w:eastAsia="zh-CN"/>
        </w:rPr>
        <w:t>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30201办公费2.23万元，30205水费0.18万元，30206电费0.16万元，30207邮电费1.12万元，30228工会经费2.83万元，30239其他交通费用6.10万元。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ascii="仿宋" w:hAnsi="仿宋" w:eastAsia="仿宋" w:cs="仿宋"/>
          <w:sz w:val="32"/>
          <w:u w:color="auto"/>
        </w:rPr>
        <w:t>11.01万元，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108.58%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主要原因是：退休人员有所增</w:t>
      </w:r>
      <w:r>
        <w:rPr>
          <w:rFonts w:hint="eastAsia" w:ascii="仿宋" w:hAnsi="仿宋" w:eastAsia="仿宋" w:cs="仿宋"/>
          <w:color w:val="auto"/>
          <w:kern w:val="2"/>
          <w:sz w:val="32"/>
          <w:szCs w:val="32"/>
          <w:highlight w:val="none"/>
          <w:lang w:val="en-US" w:eastAsia="zh-CN" w:bidi="ar"/>
        </w:rPr>
        <w:t>加。</w:t>
      </w:r>
      <w:r>
        <w:rPr>
          <w:rFonts w:hint="eastAsia" w:ascii="仿宋" w:hAnsi="仿宋" w:eastAsia="仿宋"/>
          <w:color w:val="auto"/>
          <w:sz w:val="32"/>
          <w:szCs w:val="32"/>
          <w:highlight w:val="none"/>
          <w:lang w:val="en-US" w:eastAsia="zh-CN"/>
        </w:rPr>
        <w:t>支出具体情</w:t>
      </w:r>
      <w:r>
        <w:rPr>
          <w:rFonts w:hint="eastAsia" w:ascii="仿宋" w:hAnsi="仿宋" w:eastAsia="仿宋"/>
          <w:sz w:val="32"/>
          <w:szCs w:val="32"/>
          <w:highlight w:val="none"/>
          <w:lang w:val="en-US" w:eastAsia="zh-CN"/>
        </w:rPr>
        <w:t>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30305生活补助11.01万元，30399其他对个人和家庭的补助0.01万元。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7276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1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环江毛南族自治县糖业发展中心2022年度政府性基金支出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环江毛南族自治县糖业发展中心2022年度政府性基金支出年初预算为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w:t>
      </w:r>
      <w:r>
        <w:rPr>
          <w:rFonts w:hint="eastAsia" w:ascii="仿宋" w:hAnsi="仿宋" w:eastAsia="仿宋" w:cs="仿宋"/>
          <w:color w:val="auto"/>
          <w:sz w:val="32"/>
          <w:szCs w:val="32"/>
          <w:highlight w:val="none"/>
        </w:rPr>
        <w:t>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default" w:ascii="仿宋" w:hAnsi="仿宋" w:eastAsia="仿宋" w:cs="仿宋"/>
          <w:color w:val="auto"/>
          <w:sz w:val="32"/>
          <w:szCs w:val="32"/>
          <w:highlight w:val="none"/>
          <w:lang w:val="en-US"/>
        </w:rPr>
      </w:pPr>
      <w:r>
        <w:rPr>
          <w:rFonts w:hint="eastAsia" w:ascii="仿宋_GB2312" w:hAnsi="Times New Roman" w:eastAsia="仿宋_GB2312" w:cs="Times New Roman"/>
          <w:color w:val="auto"/>
          <w:sz w:val="32"/>
          <w:szCs w:val="32"/>
        </w:rPr>
        <w:t>环江毛南族自治县糖业发展中心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 xml:space="preserve">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环江毛南族自治县糖业发展中心2022年度国有资本经营预算支出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环江毛南族自治县糖业发展中心2022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_GB2312" w:cs="仿宋"/>
          <w:color w:val="auto"/>
          <w:sz w:val="32"/>
          <w:szCs w:val="32"/>
          <w:highlight w:val="none"/>
          <w:lang w:val="en-US" w:eastAsia="zh-CN"/>
        </w:rPr>
      </w:pPr>
      <w:bookmarkStart w:id="5" w:name="PO_part3A5B1C1DiffReason1"/>
      <w:r>
        <w:rPr>
          <w:rFonts w:hint="eastAsia" w:ascii="仿宋_GB2312" w:hAnsi="Times New Roman" w:eastAsia="仿宋_GB2312" w:cs="Times New Roman"/>
          <w:color w:val="auto"/>
          <w:sz w:val="32"/>
          <w:szCs w:val="32"/>
        </w:rPr>
        <w:t>环江毛南族自治县糖业发展中心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本单位没有因公出国费用。</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w:t>
      </w:r>
      <w:r>
        <w:rPr>
          <w:rFonts w:hint="eastAsia" w:ascii="仿宋" w:hAnsi="仿宋" w:eastAsia="仿宋" w:cs="仿宋"/>
          <w:color w:val="auto"/>
          <w:sz w:val="32"/>
          <w:szCs w:val="32"/>
          <w:highlight w:val="none"/>
        </w:rPr>
        <w:t>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bookmarkStart w:id="6" w:name="PO_part3A6B2IncReason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本部门无公务用车购置）</w:t>
      </w:r>
      <w:bookmarkEnd w:id="6"/>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ascii="仿宋" w:hAnsi="仿宋" w:eastAsia="仿宋" w:cs="仿宋"/>
          <w:sz w:val="32"/>
          <w:u w:color="auto"/>
        </w:rPr>
        <w:t>环江毛南族自治县糖业发展中心</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w:t>
      </w:r>
      <w:r>
        <w:rPr>
          <w:rFonts w:ascii="仿宋" w:hAnsi="仿宋" w:eastAsia="仿宋" w:cs="仿宋"/>
          <w:color w:val="auto"/>
          <w:sz w:val="32"/>
          <w:u w:color="auto"/>
        </w:rPr>
        <w:t>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12.62</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减少2.64</w:t>
      </w:r>
      <w:r>
        <w:rPr>
          <w:rFonts w:hint="eastAsia" w:ascii="仿宋" w:hAnsi="仿宋" w:eastAsia="仿宋" w:cs="仿宋"/>
          <w:sz w:val="32"/>
          <w:szCs w:val="32"/>
          <w:highlight w:val="none"/>
        </w:rPr>
        <w:t>万元，</w:t>
      </w:r>
      <w:r>
        <w:rPr>
          <w:rFonts w:ascii="仿宋" w:hAnsi="仿宋" w:eastAsia="仿宋" w:cs="仿宋"/>
          <w:sz w:val="32"/>
          <w:szCs w:val="32"/>
          <w:highlight w:val="none"/>
        </w:rPr>
        <w:t>下降17.3%</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增加9.92</w:t>
      </w:r>
      <w:r>
        <w:rPr>
          <w:rFonts w:hint="eastAsia" w:ascii="仿宋" w:hAnsi="仿宋" w:eastAsia="仿宋" w:cs="仿宋"/>
          <w:sz w:val="32"/>
          <w:szCs w:val="32"/>
          <w:highlight w:val="none"/>
        </w:rPr>
        <w:t>万元，</w:t>
      </w:r>
      <w:r>
        <w:rPr>
          <w:rFonts w:ascii="仿宋" w:hAnsi="仿宋" w:eastAsia="仿宋" w:cs="仿宋"/>
          <w:sz w:val="32"/>
          <w:szCs w:val="32"/>
          <w:highlight w:val="none"/>
        </w:rPr>
        <w:t>增长367.41%</w:t>
      </w:r>
      <w:r>
        <w:rPr>
          <w:rFonts w:hint="eastAsia" w:ascii="仿宋" w:hAnsi="仿宋" w:eastAsia="仿宋" w:cs="仿宋"/>
          <w:sz w:val="32"/>
          <w:szCs w:val="32"/>
          <w:highlight w:val="none"/>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比预算少的原因有部分办公费未支付；</w:t>
      </w:r>
      <w:r>
        <w:rPr>
          <w:rFonts w:hint="eastAsia" w:ascii="仿宋_GB2312" w:eastAsia="仿宋_GB2312" w:cs="仿宋_GB2312"/>
          <w:kern w:val="0"/>
          <w:sz w:val="32"/>
          <w:szCs w:val="32"/>
        </w:rPr>
        <w:t>比上年决算数增加原因是：</w:t>
      </w:r>
      <w:r>
        <w:rPr>
          <w:rFonts w:hint="eastAsia" w:ascii="仿宋_GB2312" w:hAnsi="仿宋_GB2312" w:eastAsia="仿宋_GB2312" w:cs="仿宋_GB2312"/>
          <w:kern w:val="0"/>
          <w:sz w:val="32"/>
          <w:szCs w:val="32"/>
          <w:highlight w:val="none"/>
          <w:lang w:val="en-US" w:eastAsia="zh-CN"/>
        </w:rPr>
        <w:t>2021年决算交通补贴未纳入机关运行费。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1.96</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1.96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auto"/>
          <w:sz w:val="32"/>
          <w:szCs w:val="32"/>
          <w:u w:val="none"/>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kern w:val="0"/>
          <w:sz w:val="32"/>
          <w:szCs w:val="32"/>
          <w:lang w:eastAsia="zh-CN"/>
        </w:rPr>
        <w:t>“高糖糖料蔗栽培技术培训</w:t>
      </w:r>
      <w:r>
        <w:rPr>
          <w:rFonts w:hint="eastAsia" w:ascii="仿宋_GB2312" w:eastAsia="仿宋_GB2312" w:cs="仿宋_GB2312"/>
          <w:kern w:val="0"/>
          <w:sz w:val="32"/>
          <w:szCs w:val="32"/>
        </w:rPr>
        <w:t>”</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个项目支出全面开展绩效自评，涉及一般公共预算支出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kern w:val="0"/>
          <w:sz w:val="32"/>
          <w:szCs w:val="32"/>
          <w:u w:val="none"/>
        </w:rPr>
        <w:t>一年来，</w:t>
      </w:r>
      <w:r>
        <w:rPr>
          <w:rFonts w:hint="eastAsia" w:ascii="仿宋" w:hAnsi="仿宋" w:eastAsia="仿宋" w:cs="仿宋"/>
          <w:color w:val="auto"/>
          <w:sz w:val="32"/>
          <w:szCs w:val="32"/>
          <w:u w:val="none"/>
        </w:rPr>
        <w:t>本部门各单位能认真履行职责，做好统筹协调、各类重要工作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工作经费及时落实到位，保证了各项工作的按时、有序开展；业务管理和财务管理制度比较健全，并能得到贯彻执行，</w:t>
      </w:r>
      <w:r>
        <w:rPr>
          <w:rFonts w:hint="eastAsia" w:ascii="仿宋" w:hAnsi="仿宋" w:eastAsia="仿宋" w:cs="仿宋"/>
          <w:color w:val="auto"/>
          <w:kern w:val="0"/>
          <w:sz w:val="32"/>
          <w:szCs w:val="32"/>
          <w:u w:val="none"/>
        </w:rPr>
        <w:t>整体支出绩效评价效果较好，达到了预期</w:t>
      </w:r>
      <w:r>
        <w:rPr>
          <w:rFonts w:hint="eastAsia" w:ascii="仿宋" w:hAnsi="仿宋" w:eastAsia="仿宋" w:cs="仿宋"/>
          <w:color w:val="auto"/>
          <w:sz w:val="32"/>
          <w:szCs w:val="32"/>
          <w:u w:val="none"/>
        </w:rPr>
        <w:t>目标。</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widowControl/>
        <w:spacing w:line="600" w:lineRule="exact"/>
        <w:ind w:firstLine="640"/>
        <w:rPr>
          <w:rFonts w:hint="eastAsia" w:ascii="仿宋" w:hAnsi="仿宋" w:eastAsia="仿宋" w:cs="仿宋"/>
          <w:color w:val="auto"/>
          <w:kern w:val="0"/>
          <w:sz w:val="32"/>
          <w:szCs w:val="32"/>
          <w:u w:val="none"/>
          <w:lang w:eastAsia="zh-CN"/>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kern w:val="0"/>
          <w:sz w:val="32"/>
          <w:szCs w:val="32"/>
          <w:lang w:eastAsia="zh-CN"/>
        </w:rPr>
        <w:t>“高糖糖料蔗栽培技术培训</w:t>
      </w:r>
      <w:r>
        <w:rPr>
          <w:rFonts w:hint="eastAsia" w:ascii="仿宋_GB2312" w:eastAsia="仿宋_GB2312" w:cs="仿宋_GB2312"/>
          <w:kern w:val="0"/>
          <w:sz w:val="32"/>
          <w:szCs w:val="32"/>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_GB2312" w:eastAsia="仿宋_GB2312" w:cs="仿宋_GB2312"/>
          <w:kern w:val="0"/>
          <w:sz w:val="32"/>
          <w:szCs w:val="32"/>
        </w:rPr>
        <w:t>项目绩效目标完成情况：</w:t>
      </w:r>
      <w:r>
        <w:rPr>
          <w:rFonts w:hint="eastAsia" w:ascii="仿宋" w:hAnsi="仿宋" w:eastAsia="仿宋" w:cs="仿宋"/>
          <w:kern w:val="0"/>
          <w:sz w:val="32"/>
          <w:szCs w:val="32"/>
          <w:lang w:eastAsia="zh-CN"/>
        </w:rPr>
        <w:t>已在全县主要蔗区举办糖蔗“双高”栽培技术培训班4期，培训2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0人次，发放宣传学学习资料</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lang w:eastAsia="zh-CN"/>
        </w:rPr>
        <w:t>00份。</w:t>
      </w:r>
      <w:r>
        <w:rPr>
          <w:rFonts w:hint="eastAsia" w:ascii="仿宋" w:hAnsi="仿宋" w:eastAsia="仿宋" w:cs="仿宋"/>
          <w:kern w:val="0"/>
          <w:sz w:val="32"/>
          <w:szCs w:val="32"/>
        </w:rPr>
        <w:t>通过技术培训使蔗农掌握更多的糖蔗栽培生产技术，从而促进糖蔗生产整体效益</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提高蔗农生产收入</w:t>
      </w:r>
      <w:r>
        <w:rPr>
          <w:rFonts w:hint="eastAsia" w:ascii="仿宋" w:hAnsi="仿宋" w:eastAsia="仿宋" w:cs="仿宋"/>
          <w:kern w:val="0"/>
          <w:sz w:val="32"/>
          <w:szCs w:val="32"/>
          <w:lang w:val="en-US" w:eastAsia="zh-CN"/>
        </w:rPr>
        <w:t>18元/年.人,</w:t>
      </w:r>
      <w:r>
        <w:rPr>
          <w:rFonts w:hint="eastAsia" w:ascii="仿宋" w:hAnsi="仿宋" w:eastAsia="仿宋" w:cs="仿宋"/>
          <w:color w:val="auto"/>
          <w:kern w:val="0"/>
          <w:sz w:val="32"/>
          <w:szCs w:val="32"/>
          <w:u w:val="none"/>
        </w:rPr>
        <w:t>达到</w:t>
      </w:r>
      <w:r>
        <w:rPr>
          <w:rFonts w:hint="eastAsia" w:ascii="仿宋" w:hAnsi="仿宋" w:eastAsia="仿宋" w:cs="仿宋"/>
          <w:color w:val="auto"/>
          <w:kern w:val="0"/>
          <w:sz w:val="32"/>
          <w:szCs w:val="32"/>
          <w:u w:val="none"/>
          <w:lang w:eastAsia="zh-CN"/>
        </w:rPr>
        <w:t>了预期的</w:t>
      </w:r>
      <w:r>
        <w:rPr>
          <w:rFonts w:hint="eastAsia" w:ascii="仿宋" w:hAnsi="仿宋" w:eastAsia="仿宋" w:cs="仿宋"/>
          <w:color w:val="auto"/>
          <w:kern w:val="0"/>
          <w:sz w:val="32"/>
          <w:szCs w:val="32"/>
          <w:u w:val="none"/>
        </w:rPr>
        <w:t>绩效效果</w:t>
      </w:r>
      <w:r>
        <w:rPr>
          <w:rFonts w:hint="eastAsia" w:ascii="仿宋" w:hAnsi="仿宋" w:eastAsia="仿宋" w:cs="仿宋"/>
          <w:color w:val="auto"/>
          <w:kern w:val="0"/>
          <w:sz w:val="32"/>
          <w:szCs w:val="32"/>
          <w:u w:val="none"/>
          <w:lang w:eastAsia="zh-CN"/>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427DB"/>
    <w:multiLevelType w:val="singleLevel"/>
    <w:tmpl w:val="831427DB"/>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17236F"/>
    <w:rsid w:val="02E0291A"/>
    <w:rsid w:val="04E54546"/>
    <w:rsid w:val="05992762"/>
    <w:rsid w:val="07B0770E"/>
    <w:rsid w:val="089C289E"/>
    <w:rsid w:val="0942143F"/>
    <w:rsid w:val="09D52A91"/>
    <w:rsid w:val="0D100297"/>
    <w:rsid w:val="0D202B45"/>
    <w:rsid w:val="0F8D4C87"/>
    <w:rsid w:val="10505FAA"/>
    <w:rsid w:val="105F7E7E"/>
    <w:rsid w:val="107A0036"/>
    <w:rsid w:val="11E56B5B"/>
    <w:rsid w:val="121274BA"/>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63961"/>
    <w:rsid w:val="215E639F"/>
    <w:rsid w:val="21EC3183"/>
    <w:rsid w:val="225E72CD"/>
    <w:rsid w:val="246E2F77"/>
    <w:rsid w:val="254B4E2B"/>
    <w:rsid w:val="283D7C94"/>
    <w:rsid w:val="2880617F"/>
    <w:rsid w:val="29480E03"/>
    <w:rsid w:val="2983634D"/>
    <w:rsid w:val="2BB02055"/>
    <w:rsid w:val="2C575A56"/>
    <w:rsid w:val="2F257714"/>
    <w:rsid w:val="2F3275E5"/>
    <w:rsid w:val="30AA08EF"/>
    <w:rsid w:val="30CB35A4"/>
    <w:rsid w:val="30D23D1C"/>
    <w:rsid w:val="31221CF5"/>
    <w:rsid w:val="31400178"/>
    <w:rsid w:val="321E3342"/>
    <w:rsid w:val="327759C8"/>
    <w:rsid w:val="33185FE3"/>
    <w:rsid w:val="34EE2E36"/>
    <w:rsid w:val="36777241"/>
    <w:rsid w:val="371E78D5"/>
    <w:rsid w:val="38A951DB"/>
    <w:rsid w:val="38B31605"/>
    <w:rsid w:val="39003F4F"/>
    <w:rsid w:val="390D420D"/>
    <w:rsid w:val="39754CE8"/>
    <w:rsid w:val="3C07002B"/>
    <w:rsid w:val="3D0D152A"/>
    <w:rsid w:val="3DF62756"/>
    <w:rsid w:val="3F1B7587"/>
    <w:rsid w:val="41E57B4F"/>
    <w:rsid w:val="432F26F6"/>
    <w:rsid w:val="43880F63"/>
    <w:rsid w:val="441C5A6F"/>
    <w:rsid w:val="447B391D"/>
    <w:rsid w:val="448E79FC"/>
    <w:rsid w:val="44C44FCC"/>
    <w:rsid w:val="44CC7369"/>
    <w:rsid w:val="457F5108"/>
    <w:rsid w:val="46951B6B"/>
    <w:rsid w:val="46E03C6B"/>
    <w:rsid w:val="48436667"/>
    <w:rsid w:val="49A34401"/>
    <w:rsid w:val="4A3E30AB"/>
    <w:rsid w:val="4AC14DAC"/>
    <w:rsid w:val="4D154C85"/>
    <w:rsid w:val="4EB35ECE"/>
    <w:rsid w:val="4FE33FF0"/>
    <w:rsid w:val="508F4E24"/>
    <w:rsid w:val="51461E90"/>
    <w:rsid w:val="51463753"/>
    <w:rsid w:val="52553A93"/>
    <w:rsid w:val="53521F8B"/>
    <w:rsid w:val="53E22F47"/>
    <w:rsid w:val="54522FF8"/>
    <w:rsid w:val="55450629"/>
    <w:rsid w:val="56692963"/>
    <w:rsid w:val="568B0F48"/>
    <w:rsid w:val="57320A59"/>
    <w:rsid w:val="5786217B"/>
    <w:rsid w:val="58B7705F"/>
    <w:rsid w:val="59103795"/>
    <w:rsid w:val="59337A15"/>
    <w:rsid w:val="59810274"/>
    <w:rsid w:val="5CA96A00"/>
    <w:rsid w:val="5CF730BC"/>
    <w:rsid w:val="5CFF1837"/>
    <w:rsid w:val="5E5F0DCE"/>
    <w:rsid w:val="5FA40A7B"/>
    <w:rsid w:val="5FD56D29"/>
    <w:rsid w:val="5FEC7F3F"/>
    <w:rsid w:val="60F74BC3"/>
    <w:rsid w:val="617D3BF8"/>
    <w:rsid w:val="61841F6A"/>
    <w:rsid w:val="623007A9"/>
    <w:rsid w:val="62EA4391"/>
    <w:rsid w:val="62ED4F84"/>
    <w:rsid w:val="637D7558"/>
    <w:rsid w:val="637E083C"/>
    <w:rsid w:val="644F19AC"/>
    <w:rsid w:val="65AA4920"/>
    <w:rsid w:val="65E31D0B"/>
    <w:rsid w:val="66282AD4"/>
    <w:rsid w:val="66696F6A"/>
    <w:rsid w:val="67595C50"/>
    <w:rsid w:val="67694F1E"/>
    <w:rsid w:val="683B4692"/>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C36EE8"/>
    <w:rsid w:val="7CE66A78"/>
    <w:rsid w:val="7D23564C"/>
    <w:rsid w:val="7D5E062D"/>
    <w:rsid w:val="7DF76CD8"/>
    <w:rsid w:val="7F695C26"/>
    <w:rsid w:val="7F8519C2"/>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219.23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11.01</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0</c:v>
                </c:pt>
                <c:pt idx="1">
                  <c:v>18.89</c:v>
                </c:pt>
                <c:pt idx="2">
                  <c:v>180.83</c:v>
                </c:pt>
                <c:pt idx="3">
                  <c:v>15.05</c:v>
                </c:pt>
                <c:pt idx="4">
                  <c:v>42.71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2.83</c:v>
                </c:pt>
                <c:pt idx="1">
                  <c:v>18.6</c:v>
                </c:pt>
                <c:pt idx="2">
                  <c:v>147.66</c:v>
                </c:pt>
                <c:pt idx="3">
                  <c:v>15.21</c:v>
                </c:pt>
                <c:pt idx="4">
                  <c:v>34.94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2.83</c:v>
                </c:pt>
                <c:pt idx="1">
                  <c:v>2.83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18.6</c:v>
                </c:pt>
                <c:pt idx="1">
                  <c:v>18.6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147.66</c:v>
                </c:pt>
                <c:pt idx="1">
                  <c:v>147.66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15.21</c:v>
                </c:pt>
                <c:pt idx="1">
                  <c:v>15.21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34.94</c:v>
                </c:pt>
                <c:pt idx="1">
                  <c:v>34.94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58.58</c:v>
                </c:pt>
                <c:pt idx="1">
                  <c:v>23.72</c:v>
                </c:pt>
                <c:pt idx="2">
                  <c:v>51.26</c:v>
                </c:pt>
                <c:pt idx="3">
                  <c:v>2.4</c:v>
                </c:pt>
                <c:pt idx="4">
                  <c:v>9.89</c:v>
                </c:pt>
                <c:pt idx="5">
                  <c:v>18.6</c:v>
                </c:pt>
                <c:pt idx="6">
                  <c:v>0</c:v>
                </c:pt>
                <c:pt idx="7">
                  <c:v>4.95</c:v>
                </c:pt>
                <c:pt idx="8">
                  <c:v>0</c:v>
                </c:pt>
                <c:pt idx="9">
                  <c:v>1.77</c:v>
                </c:pt>
                <c:pt idx="10">
                  <c:v>15.21</c:v>
                </c:pt>
                <c:pt idx="11">
                  <c:v>0</c:v>
                </c:pt>
                <c:pt idx="12">
                  <c:v>2.88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2.23</c:v>
                </c:pt>
                <c:pt idx="1">
                  <c:v>0</c:v>
                </c:pt>
                <c:pt idx="2">
                  <c:v>0</c:v>
                </c:pt>
                <c:pt idx="3">
                  <c:v>0</c:v>
                </c:pt>
                <c:pt idx="4">
                  <c:v>0.18</c:v>
                </c:pt>
                <c:pt idx="5">
                  <c:v>0.16</c:v>
                </c:pt>
                <c:pt idx="6">
                  <c:v>1.12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2.83</c:v>
                </c:pt>
                <c:pt idx="22">
                  <c:v>0</c:v>
                </c:pt>
                <c:pt idx="23">
                  <c:v>0</c:v>
                </c:pt>
                <c:pt idx="24">
                  <c:v>6.1</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227</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2023-11-24T07:43:02Z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