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环江毛南族自治县农业遥感监测站2022年度部门决算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环江毛南族自治县农业遥感监测站</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环江毛南族自治县农业遥感监测站</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环江毛南族自治县农业遥感监测站</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环江毛南族自治县农业遥感监测站</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 w:hAnsi="仿宋" w:eastAsia="仿宋" w:cs="仿宋"/>
          <w:color w:val="666666"/>
          <w:sz w:val="30"/>
          <w:szCs w:val="30"/>
        </w:rPr>
      </w:pPr>
      <w:r>
        <w:rPr>
          <w:rFonts w:hint="default" w:ascii="仿宋_GB2312" w:hAnsi="微软雅黑" w:eastAsia="仿宋_GB2312" w:cs="仿宋_GB2312"/>
          <w:i w:val="0"/>
          <w:iCs w:val="0"/>
          <w:caps w:val="0"/>
          <w:color w:val="333333"/>
          <w:spacing w:val="0"/>
          <w:sz w:val="18"/>
          <w:szCs w:val="18"/>
        </w:rPr>
        <w:t>（</w:t>
      </w:r>
      <w:r>
        <w:rPr>
          <w:rFonts w:hint="eastAsia" w:ascii="仿宋" w:hAnsi="仿宋" w:eastAsia="仿宋" w:cs="仿宋"/>
          <w:i w:val="0"/>
          <w:iCs w:val="0"/>
          <w:caps w:val="0"/>
          <w:color w:val="333333"/>
          <w:spacing w:val="0"/>
          <w:sz w:val="30"/>
          <w:szCs w:val="30"/>
        </w:rPr>
        <w:t>1） 贯彻执行国家、自治区人民政府关于农业资源调查和农业发展规划的方针政策。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 w:hAnsi="仿宋" w:eastAsia="仿宋" w:cs="仿宋"/>
          <w:color w:val="666666"/>
          <w:sz w:val="30"/>
          <w:szCs w:val="30"/>
        </w:rPr>
      </w:pPr>
      <w:r>
        <w:rPr>
          <w:rFonts w:hint="eastAsia" w:ascii="仿宋" w:hAnsi="仿宋" w:eastAsia="仿宋" w:cs="仿宋"/>
          <w:i w:val="0"/>
          <w:iCs w:val="0"/>
          <w:caps w:val="0"/>
          <w:color w:val="333333"/>
          <w:spacing w:val="0"/>
          <w:sz w:val="30"/>
          <w:szCs w:val="30"/>
        </w:rPr>
        <w:t>（2） 运用遥感本底调查及常态化预警监测手段，开展以“3S”技术为支撑的现代农业资源调查、监测、评价体系。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 w:hAnsi="仿宋" w:eastAsia="仿宋" w:cs="仿宋"/>
          <w:color w:val="666666"/>
          <w:sz w:val="30"/>
          <w:szCs w:val="30"/>
        </w:rPr>
      </w:pPr>
      <w:r>
        <w:rPr>
          <w:rFonts w:hint="eastAsia" w:ascii="仿宋" w:hAnsi="仿宋" w:eastAsia="仿宋" w:cs="仿宋"/>
          <w:i w:val="0"/>
          <w:iCs w:val="0"/>
          <w:caps w:val="0"/>
          <w:color w:val="333333"/>
          <w:spacing w:val="0"/>
          <w:sz w:val="30"/>
          <w:szCs w:val="30"/>
        </w:rPr>
        <w:t>（3） 开展农业资源信息化系统建设，建设一个环江农业资源展示平台。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 w:hAnsi="仿宋" w:eastAsia="仿宋" w:cs="仿宋"/>
          <w:color w:val="666666"/>
          <w:sz w:val="30"/>
          <w:szCs w:val="30"/>
        </w:rPr>
      </w:pPr>
      <w:r>
        <w:rPr>
          <w:rFonts w:hint="eastAsia" w:ascii="仿宋" w:hAnsi="仿宋" w:eastAsia="仿宋" w:cs="仿宋"/>
          <w:i w:val="0"/>
          <w:iCs w:val="0"/>
          <w:caps w:val="0"/>
          <w:color w:val="333333"/>
          <w:spacing w:val="0"/>
          <w:sz w:val="30"/>
          <w:szCs w:val="30"/>
        </w:rPr>
        <w:t>（4） 认真完成上级下达的农业遥感监测工作任务，充分发挥环江遥感监测站的作用，为自治区遥感监测中心提供信息。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 w:hAnsi="仿宋" w:eastAsia="仿宋" w:cs="仿宋"/>
          <w:color w:val="666666"/>
          <w:sz w:val="30"/>
          <w:szCs w:val="30"/>
        </w:rPr>
      </w:pPr>
      <w:r>
        <w:rPr>
          <w:rFonts w:hint="eastAsia" w:ascii="仿宋" w:hAnsi="仿宋" w:eastAsia="仿宋" w:cs="仿宋"/>
          <w:i w:val="0"/>
          <w:iCs w:val="0"/>
          <w:caps w:val="0"/>
          <w:color w:val="333333"/>
          <w:spacing w:val="0"/>
          <w:sz w:val="30"/>
          <w:szCs w:val="30"/>
        </w:rPr>
        <w:t>（5） 认真实施入户调查工作，采集农村经济信息，掌握当前农村经济发展状况。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516" w:right="0"/>
        <w:rPr>
          <w:rFonts w:hint="eastAsia" w:ascii="仿宋" w:hAnsi="仿宋" w:eastAsia="仿宋" w:cs="仿宋"/>
          <w:color w:val="666666"/>
          <w:sz w:val="30"/>
          <w:szCs w:val="30"/>
        </w:rPr>
      </w:pPr>
      <w:r>
        <w:rPr>
          <w:rFonts w:hint="eastAsia" w:ascii="仿宋" w:hAnsi="仿宋" w:eastAsia="仿宋" w:cs="仿宋"/>
          <w:i w:val="0"/>
          <w:iCs w:val="0"/>
          <w:caps w:val="0"/>
          <w:color w:val="333333"/>
          <w:spacing w:val="0"/>
          <w:sz w:val="30"/>
          <w:szCs w:val="30"/>
        </w:rPr>
        <w:t>（6） 承办环江县人民政府及上级有关部门交办的其他工作任务。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16"/>
        <w:rPr>
          <w:rFonts w:hint="eastAsia" w:ascii="仿宋" w:hAnsi="仿宋" w:eastAsia="仿宋" w:cs="仿宋"/>
          <w:color w:val="666666"/>
          <w:sz w:val="30"/>
          <w:szCs w:val="30"/>
        </w:rPr>
      </w:pPr>
      <w:r>
        <w:rPr>
          <w:rStyle w:val="8"/>
          <w:rFonts w:hint="eastAsia" w:ascii="仿宋" w:hAnsi="仿宋" w:eastAsia="仿宋" w:cs="仿宋"/>
          <w:i w:val="0"/>
          <w:iCs w:val="0"/>
          <w:caps w:val="0"/>
          <w:color w:val="333333"/>
          <w:spacing w:val="0"/>
          <w:sz w:val="30"/>
          <w:szCs w:val="30"/>
        </w:rPr>
        <w:t>（一）当年取得的主要事业成效。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516"/>
        <w:rPr>
          <w:rFonts w:hint="eastAsia" w:ascii="仿宋" w:hAnsi="仿宋" w:eastAsia="仿宋" w:cs="仿宋"/>
          <w:color w:val="666666"/>
          <w:sz w:val="30"/>
          <w:szCs w:val="30"/>
        </w:rPr>
      </w:pPr>
      <w:r>
        <w:rPr>
          <w:rFonts w:hint="eastAsia" w:ascii="仿宋" w:hAnsi="仿宋" w:eastAsia="仿宋" w:cs="仿宋"/>
          <w:i w:val="0"/>
          <w:iCs w:val="0"/>
          <w:caps w:val="0"/>
          <w:color w:val="333333"/>
          <w:spacing w:val="0"/>
          <w:sz w:val="30"/>
          <w:szCs w:val="30"/>
        </w:rPr>
        <w:t>1、完成本县上半年大宗农作物地面样方监测工作。根据自治区农业遥感监测站、市遥感监测站202</w:t>
      </w:r>
      <w:r>
        <w:rPr>
          <w:rFonts w:hint="eastAsia" w:ascii="仿宋" w:hAnsi="仿宋" w:eastAsia="仿宋" w:cs="仿宋"/>
          <w:i w:val="0"/>
          <w:iCs w:val="0"/>
          <w:caps w:val="0"/>
          <w:color w:val="333333"/>
          <w:spacing w:val="0"/>
          <w:sz w:val="30"/>
          <w:szCs w:val="30"/>
          <w:lang w:val="en-US" w:eastAsia="zh-CN"/>
        </w:rPr>
        <w:t>2</w:t>
      </w:r>
      <w:r>
        <w:rPr>
          <w:rFonts w:hint="eastAsia" w:ascii="仿宋" w:hAnsi="仿宋" w:eastAsia="仿宋" w:cs="仿宋"/>
          <w:i w:val="0"/>
          <w:iCs w:val="0"/>
          <w:caps w:val="0"/>
          <w:color w:val="333333"/>
          <w:spacing w:val="0"/>
          <w:sz w:val="30"/>
          <w:szCs w:val="30"/>
        </w:rPr>
        <w:t> 年工作部署要求，结合河池市农业局 202</w:t>
      </w:r>
      <w:r>
        <w:rPr>
          <w:rFonts w:hint="eastAsia" w:ascii="仿宋" w:hAnsi="仿宋" w:eastAsia="仿宋" w:cs="仿宋"/>
          <w:i w:val="0"/>
          <w:iCs w:val="0"/>
          <w:caps w:val="0"/>
          <w:color w:val="333333"/>
          <w:spacing w:val="0"/>
          <w:sz w:val="30"/>
          <w:szCs w:val="30"/>
          <w:lang w:val="en-US" w:eastAsia="zh-CN"/>
        </w:rPr>
        <w:t>2</w:t>
      </w:r>
      <w:r>
        <w:rPr>
          <w:rFonts w:hint="eastAsia" w:ascii="仿宋" w:hAnsi="仿宋" w:eastAsia="仿宋" w:cs="仿宋"/>
          <w:i w:val="0"/>
          <w:iCs w:val="0"/>
          <w:caps w:val="0"/>
          <w:color w:val="333333"/>
          <w:spacing w:val="0"/>
          <w:sz w:val="30"/>
          <w:szCs w:val="30"/>
        </w:rPr>
        <w:t>年工作要点任务和河池农业“一张图”地理信息系统平台数据更新维护需要，我站制定上半年、下半年大宗农作物地面样方监测工作方案，于是202</w:t>
      </w:r>
      <w:r>
        <w:rPr>
          <w:rFonts w:hint="eastAsia" w:ascii="仿宋" w:hAnsi="仿宋" w:eastAsia="仿宋" w:cs="仿宋"/>
          <w:i w:val="0"/>
          <w:iCs w:val="0"/>
          <w:caps w:val="0"/>
          <w:color w:val="333333"/>
          <w:spacing w:val="0"/>
          <w:sz w:val="30"/>
          <w:szCs w:val="30"/>
          <w:lang w:val="en-US" w:eastAsia="zh-CN"/>
        </w:rPr>
        <w:t>2</w:t>
      </w:r>
      <w:r>
        <w:rPr>
          <w:rFonts w:hint="eastAsia" w:ascii="仿宋" w:hAnsi="仿宋" w:eastAsia="仿宋" w:cs="仿宋"/>
          <w:i w:val="0"/>
          <w:iCs w:val="0"/>
          <w:caps w:val="0"/>
          <w:color w:val="333333"/>
          <w:spacing w:val="0"/>
          <w:sz w:val="30"/>
          <w:szCs w:val="30"/>
        </w:rPr>
        <w:t>年6月、9月完成我县农作物遥感地面样方监测工作。地面样方监测区域，覆盖全县12个乡镇，114个行政村，区域面积</w:t>
      </w:r>
      <w:r>
        <w:rPr>
          <w:rFonts w:hint="eastAsia" w:ascii="仿宋" w:hAnsi="仿宋" w:eastAsia="仿宋" w:cs="仿宋"/>
          <w:i w:val="0"/>
          <w:iCs w:val="0"/>
          <w:caps w:val="0"/>
          <w:color w:val="333333"/>
          <w:spacing w:val="0"/>
          <w:sz w:val="30"/>
          <w:szCs w:val="30"/>
          <w:shd w:val="clear" w:fill="FFFFFF"/>
        </w:rPr>
        <w:t>453349公顷</w:t>
      </w:r>
      <w:r>
        <w:rPr>
          <w:rFonts w:hint="eastAsia" w:ascii="仿宋" w:hAnsi="仿宋" w:eastAsia="仿宋" w:cs="仿宋"/>
          <w:i w:val="0"/>
          <w:iCs w:val="0"/>
          <w:caps w:val="0"/>
          <w:color w:val="333333"/>
          <w:spacing w:val="0"/>
          <w:sz w:val="30"/>
          <w:szCs w:val="30"/>
        </w:rPr>
        <w:t>。监测地面样方共67个，其中水稻48个，蚕桑10个，甘蔗9个。监测结果表明，早稻同比减少126954平方米，减少率-0.03%。蚕桑同比减少67881平方米，减少率-0.72%。甘蔗同比增加6224平方米，增加率0.09%。根据市区划办的要求，我站按时上传相关监测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firstLine="516"/>
        <w:rPr>
          <w:rFonts w:hint="eastAsia" w:ascii="黑体" w:hAnsi="黑体" w:eastAsia="黑体" w:cs="黑体"/>
          <w:sz w:val="32"/>
          <w:szCs w:val="32"/>
          <w:highlight w:val="none"/>
        </w:rPr>
      </w:pPr>
      <w:r>
        <w:rPr>
          <w:rFonts w:hint="eastAsia" w:ascii="仿宋" w:hAnsi="仿宋" w:eastAsia="仿宋" w:cs="仿宋"/>
          <w:i w:val="0"/>
          <w:iCs w:val="0"/>
          <w:caps w:val="0"/>
          <w:color w:val="333333"/>
          <w:spacing w:val="0"/>
          <w:sz w:val="30"/>
          <w:szCs w:val="30"/>
        </w:rPr>
        <w:t>2、特色农业示范园区航拍、全景制作。</w:t>
      </w:r>
      <w:r>
        <w:rPr>
          <w:rFonts w:hint="eastAsia" w:ascii="仿宋" w:hAnsi="仿宋" w:eastAsia="仿宋" w:cs="仿宋"/>
          <w:i w:val="0"/>
          <w:iCs w:val="0"/>
          <w:caps w:val="0"/>
          <w:color w:val="333333"/>
          <w:spacing w:val="0"/>
          <w:sz w:val="30"/>
          <w:szCs w:val="30"/>
          <w:shd w:val="clear" w:fill="FFFFFF"/>
        </w:rPr>
        <w:t>为了推进全县现代特色农业示范项目向规模化、市场化发展，我站决定</w:t>
      </w:r>
      <w:r>
        <w:rPr>
          <w:rFonts w:hint="eastAsia" w:ascii="仿宋" w:hAnsi="仿宋" w:eastAsia="仿宋" w:cs="仿宋"/>
          <w:i w:val="0"/>
          <w:iCs w:val="0"/>
          <w:caps w:val="0"/>
          <w:color w:val="333333"/>
          <w:spacing w:val="0"/>
          <w:sz w:val="30"/>
          <w:szCs w:val="30"/>
        </w:rPr>
        <w:t>围绕粮食、水果、甘蔗、蔬菜、中草药、桑蚕、油茶产业，选择自治区级3个、县级9个、乡级16个示范区实地航拍，了解园区产业产品情况，制作汇编相关VR全景图片和简介，以视频、图片等影像资料和相关示范园区等素材进行后期剪辑，结合相匹配的音乐素材和配音效果，三者有机相结合起来，充分展示示范园区的生产规模和示范效应。</w:t>
      </w:r>
      <w:r>
        <w:rPr>
          <w:rFonts w:hint="eastAsia" w:ascii="仿宋" w:hAnsi="仿宋" w:eastAsia="仿宋" w:cs="仿宋"/>
          <w:i w:val="0"/>
          <w:iCs w:val="0"/>
          <w:caps w:val="0"/>
          <w:color w:val="333333"/>
          <w:spacing w:val="0"/>
          <w:sz w:val="30"/>
          <w:szCs w:val="30"/>
          <w:shd w:val="clear" w:fill="FFFFFF"/>
        </w:rPr>
        <w:t>通过农业系统网络平台展示、宣传，进一步做响农业品牌，提升农业规模化、产业化和标准化水平，促进我县特色产业规模化发展，实现产业壮大、农民增收、财税增长的目标。</w:t>
      </w:r>
      <w:r>
        <w:rPr>
          <w:rFonts w:hint="eastAsia" w:ascii="仿宋" w:hAnsi="仿宋" w:eastAsia="仿宋" w:cs="仿宋"/>
          <w:i w:val="0"/>
          <w:iCs w:val="0"/>
          <w:caps w:val="0"/>
          <w:color w:val="333333"/>
          <w:spacing w:val="0"/>
          <w:sz w:val="30"/>
          <w:szCs w:val="30"/>
        </w:rPr>
        <w:t>11月已经完成成果资料汇总，12月上网发布。</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00" w:firstLineChars="200"/>
        <w:jc w:val="left"/>
        <w:rPr>
          <w:rFonts w:hint="eastAsia" w:ascii="仿宋" w:hAnsi="仿宋" w:eastAsia="仿宋" w:cs="仿宋"/>
          <w:i w:val="0"/>
          <w:iCs w:val="0"/>
          <w:caps w:val="0"/>
          <w:color w:val="333333"/>
          <w:spacing w:val="0"/>
          <w:sz w:val="30"/>
          <w:szCs w:val="30"/>
          <w:lang w:eastAsia="zh-CN"/>
        </w:rPr>
      </w:pPr>
      <w:r>
        <w:rPr>
          <w:rFonts w:hint="eastAsia" w:ascii="仿宋" w:hAnsi="仿宋" w:eastAsia="仿宋" w:cs="仿宋"/>
          <w:i w:val="0"/>
          <w:iCs w:val="0"/>
          <w:caps w:val="0"/>
          <w:color w:val="333333"/>
          <w:spacing w:val="0"/>
          <w:sz w:val="30"/>
          <w:szCs w:val="30"/>
        </w:rPr>
        <w:t>本部门是财政全额拨款的参照公务员管理的事业单位。内设机构：办公室。人员情况，包括当年变动情况及原因。人员编制总数为5人，其中事业编制4人，行政事业1人。实有财政供养人数7人，其中事业在职4人，行政事业1人，退休人员2人</w:t>
      </w:r>
      <w:r>
        <w:rPr>
          <w:rFonts w:hint="eastAsia" w:ascii="仿宋" w:hAnsi="仿宋" w:eastAsia="仿宋" w:cs="仿宋"/>
          <w:i w:val="0"/>
          <w:iCs w:val="0"/>
          <w:caps w:val="0"/>
          <w:color w:val="333333"/>
          <w:spacing w:val="0"/>
          <w:sz w:val="30"/>
          <w:szCs w:val="30"/>
          <w:lang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注：简要说明部门本部和列入部门决算编制的下属单位情况。</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sz w:val="32"/>
                <w:szCs w:val="32"/>
              </w:rPr>
            </w:pPr>
            <w:r>
              <w:rPr>
                <w:rFonts w:hint="eastAsia" w:ascii="黑体" w:hAnsi="黑体" w:eastAsia="黑体" w:cs="黑体"/>
                <w:b/>
                <w:sz w:val="32"/>
                <w:u w:color="auto"/>
                <w:lang w:eastAsia="zh-CN"/>
              </w:rPr>
              <w:t>环江毛南族自治县农业遥感监测站</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参公事业单位</w:t>
            </w:r>
          </w:p>
        </w:tc>
      </w:tr>
      <w:bookmarkEnd w:id="0"/>
    </w:tbl>
    <w:p>
      <w:pPr>
        <w:ind w:firstLine="640" w:firstLineChars="200"/>
        <w:jc w:val="left"/>
        <w:rPr>
          <w:rFonts w:hint="eastAsia" w:ascii="仿宋" w:hAnsi="仿宋" w:eastAsia="仿宋" w:cs="仿宋"/>
          <w:sz w:val="32"/>
          <w:szCs w:val="32"/>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环江毛南族自治县农业遥感监测站</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88.94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88.94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农业农村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事业运行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2130111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统计监测与信息服务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88.94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81.83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农业农村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事业运行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54.96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2130111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统计监测与信息服务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62.08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11.68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11.68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88.94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88.94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88.94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88.94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81.83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农业农村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54.96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2130111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统计监测与信息服务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1" w:name="OLE_LINK3"/>
            <w:bookmarkStart w:id="2"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22.65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6.75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广西河池市环江毛南族自治县农业遥感监测站</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0.20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0.20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0.09</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0.09</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环江毛南族自治县农业遥感监测站</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88.94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减少9.83</w:t>
      </w:r>
      <w:r>
        <w:rPr>
          <w:rFonts w:hint="eastAsia" w:ascii="仿宋" w:hAnsi="仿宋" w:eastAsia="仿宋" w:cs="仿宋"/>
          <w:sz w:val="32"/>
          <w:szCs w:val="32"/>
          <w:highlight w:val="none"/>
        </w:rPr>
        <w:t>万元，</w:t>
      </w:r>
      <w:r>
        <w:rPr>
          <w:rFonts w:ascii="仿宋" w:hAnsi="仿宋" w:eastAsia="仿宋" w:cs="仿宋"/>
          <w:sz w:val="32"/>
          <w:u w:color="auto"/>
        </w:rPr>
        <w:t>下降9.95%</w:t>
      </w:r>
      <w:r>
        <w:rPr>
          <w:rFonts w:hint="eastAsia" w:ascii="仿宋" w:hAnsi="仿宋" w:eastAsia="仿宋" w:cs="仿宋"/>
          <w:sz w:val="32"/>
          <w:szCs w:val="32"/>
          <w:highlight w:val="none"/>
        </w:rPr>
        <w:t>，其中本年收入</w:t>
      </w:r>
      <w:r>
        <w:rPr>
          <w:rFonts w:ascii="仿宋" w:hAnsi="仿宋" w:eastAsia="仿宋" w:cs="仿宋"/>
          <w:sz w:val="32"/>
          <w:u w:color="auto"/>
        </w:rPr>
        <w:t>88.94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88.94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减少9.83</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下降9.95%</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项目有所减少。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w:t>
      </w:r>
      <w:r>
        <w:rPr>
          <w:rFonts w:hint="eastAsia" w:ascii="仿宋" w:hAnsi="仿宋" w:eastAsia="仿宋" w:cs="仿宋"/>
          <w:color w:val="auto"/>
          <w:kern w:val="2"/>
          <w:sz w:val="32"/>
          <w:szCs w:val="32"/>
          <w:highlight w:val="none"/>
          <w:lang w:val="en-US" w:eastAsia="zh-CN" w:bidi="ar"/>
        </w:rPr>
        <w:t>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w:t>
      </w:r>
      <w:r>
        <w:rPr>
          <w:rFonts w:hint="eastAsia" w:ascii="仿宋" w:hAnsi="仿宋" w:eastAsia="仿宋" w:cs="仿宋"/>
          <w:color w:val="auto"/>
          <w:kern w:val="2"/>
          <w:sz w:val="32"/>
          <w:szCs w:val="32"/>
          <w:highlight w:val="none"/>
          <w:lang w:val="en-US" w:eastAsia="zh-CN" w:bidi="ar"/>
        </w:rPr>
        <w:t>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，主要原因：无。</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85335" cy="2905760"/>
            <wp:effectExtent l="4445" t="4445" r="20320"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88.94</w:t>
      </w:r>
      <w:r>
        <w:rPr>
          <w:rFonts w:hint="eastAsia" w:ascii="仿宋" w:hAnsi="仿宋" w:eastAsia="仿宋" w:cs="仿宋"/>
          <w:sz w:val="32"/>
          <w:szCs w:val="32"/>
          <w:highlight w:val="none"/>
        </w:rPr>
        <w:t>万元，其中本年支出</w:t>
      </w:r>
      <w:r>
        <w:rPr>
          <w:rFonts w:ascii="仿宋" w:hAnsi="仿宋" w:eastAsia="仿宋" w:cs="仿宋"/>
          <w:sz w:val="32"/>
          <w:u w:color="auto"/>
        </w:rPr>
        <w:t>88.94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减少9.83</w:t>
      </w:r>
      <w:r>
        <w:rPr>
          <w:rFonts w:hint="eastAsia" w:ascii="仿宋" w:hAnsi="仿宋" w:eastAsia="仿宋" w:cs="仿宋"/>
          <w:sz w:val="32"/>
          <w:szCs w:val="32"/>
          <w:highlight w:val="none"/>
        </w:rPr>
        <w:t>万元，</w:t>
      </w:r>
      <w:r>
        <w:rPr>
          <w:rFonts w:ascii="仿宋" w:hAnsi="仿宋" w:eastAsia="仿宋" w:cs="仿宋"/>
          <w:sz w:val="32"/>
          <w:u w:color="auto"/>
        </w:rPr>
        <w:t>下降9.95%</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kern w:val="0"/>
          <w:sz w:val="32"/>
          <w:szCs w:val="32"/>
          <w:lang w:val="en-US" w:eastAsia="zh-CN"/>
        </w:rPr>
        <w:t>工会经费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2021年决算没有列入公共服务支出。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rPr>
          <w:rFonts w:hint="eastAsia" w:ascii="宋体" w:hAnsi="宋体" w:eastAsia="宋体" w:cs="宋体"/>
          <w:color w:val="auto"/>
          <w:sz w:val="28"/>
          <w:szCs w:val="28"/>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8.05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宋体" w:hAnsi="宋体" w:eastAsia="宋体" w:cs="宋体"/>
          <w:i w:val="0"/>
          <w:iCs w:val="0"/>
          <w:caps w:val="0"/>
          <w:color w:val="333333"/>
          <w:spacing w:val="0"/>
          <w:sz w:val="28"/>
          <w:szCs w:val="28"/>
        </w:rPr>
        <w:t>干部职工养老保险、医疗保险和工伤保险等社会保障资金。</w:t>
      </w:r>
      <w:r>
        <w:rPr>
          <w:rFonts w:hint="eastAsia" w:ascii="仿宋" w:hAnsi="仿宋" w:eastAsia="仿宋" w:cs="仿宋"/>
          <w:sz w:val="32"/>
          <w:szCs w:val="32"/>
          <w:highlight w:val="none"/>
        </w:rPr>
        <w:t>较2021年度决算数</w:t>
      </w:r>
      <w:r>
        <w:rPr>
          <w:rFonts w:hint="eastAsia" w:ascii="仿宋" w:hAnsi="仿宋" w:eastAsia="仿宋" w:cs="仿宋"/>
          <w:color w:val="auto"/>
          <w:sz w:val="32"/>
          <w:szCs w:val="32"/>
          <w:highlight w:val="none"/>
          <w:lang w:bidi="ar"/>
        </w:rPr>
        <w:t>增加0.54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增长7.19%</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宋体" w:hAnsi="宋体" w:eastAsia="宋体" w:cs="宋体"/>
          <w:i w:val="0"/>
          <w:iCs w:val="0"/>
          <w:caps w:val="0"/>
          <w:color w:val="auto"/>
          <w:spacing w:val="0"/>
          <w:sz w:val="28"/>
          <w:szCs w:val="28"/>
        </w:rPr>
        <w:t>在职人员养老保险的基</w:t>
      </w:r>
      <w:r>
        <w:rPr>
          <w:rFonts w:hint="eastAsia" w:ascii="宋体" w:hAnsi="宋体" w:eastAsia="宋体" w:cs="宋体"/>
          <w:i w:val="0"/>
          <w:iCs w:val="0"/>
          <w:caps w:val="0"/>
          <w:color w:val="auto"/>
          <w:spacing w:val="0"/>
          <w:sz w:val="28"/>
          <w:szCs w:val="28"/>
          <w:lang w:val="en-US" w:eastAsia="zh-CN"/>
        </w:rPr>
        <w:t>数增加</w:t>
      </w:r>
      <w:r>
        <w:rPr>
          <w:rFonts w:hint="eastAsia" w:ascii="宋体" w:hAnsi="宋体" w:eastAsia="宋体" w:cs="宋体"/>
          <w:i w:val="0"/>
          <w:iCs w:val="0"/>
          <w:caps w:val="0"/>
          <w:color w:val="auto"/>
          <w:spacing w:val="0"/>
          <w:sz w:val="28"/>
          <w:szCs w:val="28"/>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农林水支出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213</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62.08</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default" w:ascii="仿宋_GB2312" w:hAnsi="微软雅黑" w:eastAsia="仿宋_GB2312" w:cs="仿宋_GB2312"/>
          <w:i w:val="0"/>
          <w:iCs w:val="0"/>
          <w:caps w:val="0"/>
          <w:color w:val="auto"/>
          <w:spacing w:val="0"/>
          <w:sz w:val="28"/>
          <w:szCs w:val="28"/>
        </w:rPr>
        <w:t>部门所属事业单位人员工资、日常运转方面的支出</w:t>
      </w:r>
      <w:r>
        <w:rPr>
          <w:rFonts w:hint="eastAsia" w:ascii="仿宋_GB2312" w:hAnsi="微软雅黑" w:eastAsia="仿宋_GB2312" w:cs="仿宋_GB2312"/>
          <w:i w:val="0"/>
          <w:iCs w:val="0"/>
          <w:caps w:val="0"/>
          <w:color w:val="auto"/>
          <w:spacing w:val="0"/>
          <w:sz w:val="28"/>
          <w:szCs w:val="28"/>
          <w:lang w:val="en-US" w:eastAsia="zh-CN"/>
        </w:rPr>
        <w:t>和</w:t>
      </w:r>
      <w:r>
        <w:rPr>
          <w:rFonts w:hint="eastAsia" w:ascii="宋体" w:hAnsi="宋体" w:eastAsia="宋体" w:cs="宋体"/>
          <w:i w:val="0"/>
          <w:iCs w:val="0"/>
          <w:caps w:val="0"/>
          <w:color w:val="auto"/>
          <w:spacing w:val="0"/>
          <w:sz w:val="28"/>
          <w:szCs w:val="28"/>
        </w:rPr>
        <w:t>其他农业项目支出（主要用于一般</w:t>
      </w:r>
      <w:r>
        <w:rPr>
          <w:rFonts w:hint="eastAsia" w:ascii="宋体" w:hAnsi="宋体" w:eastAsia="宋体" w:cs="宋体"/>
          <w:i w:val="0"/>
          <w:iCs w:val="0"/>
          <w:caps w:val="0"/>
          <w:color w:val="auto"/>
          <w:spacing w:val="0"/>
          <w:sz w:val="28"/>
          <w:szCs w:val="28"/>
          <w:lang w:eastAsia="zh-CN"/>
        </w:rPr>
        <w:t>（</w:t>
      </w:r>
      <w:r>
        <w:rPr>
          <w:rFonts w:hint="eastAsia" w:ascii="宋体" w:hAnsi="宋体" w:eastAsia="宋体" w:cs="宋体"/>
          <w:i w:val="0"/>
          <w:iCs w:val="0"/>
          <w:caps w:val="0"/>
          <w:color w:val="auto"/>
          <w:spacing w:val="0"/>
          <w:sz w:val="28"/>
          <w:szCs w:val="28"/>
        </w:rPr>
        <w:t>事业运行</w:t>
      </w:r>
      <w:r>
        <w:rPr>
          <w:rFonts w:hint="eastAsia" w:ascii="宋体" w:hAnsi="宋体" w:eastAsia="宋体" w:cs="宋体"/>
          <w:i w:val="0"/>
          <w:iCs w:val="0"/>
          <w:caps w:val="0"/>
          <w:color w:val="auto"/>
          <w:spacing w:val="0"/>
          <w:sz w:val="28"/>
          <w:szCs w:val="28"/>
          <w:lang w:val="en-US" w:eastAsia="zh-CN"/>
        </w:rPr>
        <w:t>54.96</w:t>
      </w:r>
      <w:r>
        <w:rPr>
          <w:rFonts w:hint="eastAsia" w:ascii="宋体" w:hAnsi="宋体" w:eastAsia="宋体" w:cs="宋体"/>
          <w:i w:val="0"/>
          <w:iCs w:val="0"/>
          <w:caps w:val="0"/>
          <w:color w:val="auto"/>
          <w:spacing w:val="0"/>
          <w:sz w:val="28"/>
          <w:szCs w:val="28"/>
        </w:rPr>
        <w:t>，统计监测与信息服务</w:t>
      </w:r>
      <w:r>
        <w:rPr>
          <w:rFonts w:hint="eastAsia" w:ascii="宋体" w:hAnsi="宋体" w:eastAsia="宋体" w:cs="宋体"/>
          <w:i w:val="0"/>
          <w:iCs w:val="0"/>
          <w:caps w:val="0"/>
          <w:color w:val="auto"/>
          <w:spacing w:val="0"/>
          <w:sz w:val="28"/>
          <w:szCs w:val="28"/>
          <w:lang w:val="en-US" w:eastAsia="zh-CN"/>
        </w:rPr>
        <w:t>7.12</w:t>
      </w:r>
      <w:r>
        <w:rPr>
          <w:rFonts w:hint="eastAsia" w:ascii="宋体" w:hAnsi="宋体" w:eastAsia="宋体" w:cs="宋体"/>
          <w:i w:val="0"/>
          <w:iCs w:val="0"/>
          <w:caps w:val="0"/>
          <w:color w:val="auto"/>
          <w:spacing w:val="0"/>
          <w:sz w:val="28"/>
          <w:szCs w:val="28"/>
        </w:rPr>
        <w:t>万元）。</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减少11.74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下降15.90%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主要原因是：项目有所减少。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firstLine="504"/>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6.04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宋体" w:hAnsi="宋体" w:eastAsia="宋体" w:cs="宋体"/>
          <w:i w:val="0"/>
          <w:iCs w:val="0"/>
          <w:caps w:val="0"/>
          <w:color w:val="333333"/>
          <w:spacing w:val="0"/>
          <w:sz w:val="28"/>
          <w:szCs w:val="28"/>
        </w:rPr>
        <w:t>按照国家政策规定向职工发放的住房公积金</w:t>
      </w:r>
      <w:r>
        <w:rPr>
          <w:rFonts w:hint="eastAsia" w:ascii="宋体" w:hAnsi="宋体" w:eastAsia="宋体" w:cs="宋体"/>
          <w:i w:val="0"/>
          <w:iCs w:val="0"/>
          <w:caps w:val="0"/>
          <w:color w:val="333333"/>
          <w:spacing w:val="0"/>
          <w:sz w:val="28"/>
          <w:szCs w:val="28"/>
          <w:lang w:val="en-US" w:eastAsia="zh-CN"/>
        </w:rPr>
        <w:t>等</w:t>
      </w:r>
      <w:r>
        <w:rPr>
          <w:rFonts w:hint="eastAsia" w:ascii="宋体" w:hAnsi="宋体" w:eastAsia="宋体" w:cs="宋体"/>
          <w:i w:val="0"/>
          <w:iCs w:val="0"/>
          <w:caps w:val="0"/>
          <w:color w:val="333333"/>
          <w:spacing w:val="0"/>
          <w:sz w:val="28"/>
          <w:szCs w:val="28"/>
        </w:rPr>
        <w:t>住房改革方面的支出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增加0.47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增长8.44%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主要原因是：职工</w:t>
      </w:r>
      <w:r>
        <w:rPr>
          <w:rFonts w:hint="eastAsia" w:ascii="宋体" w:hAnsi="宋体" w:eastAsia="宋体" w:cs="宋体"/>
          <w:i w:val="0"/>
          <w:iCs w:val="0"/>
          <w:caps w:val="0"/>
          <w:color w:val="333333"/>
          <w:spacing w:val="0"/>
          <w:sz w:val="28"/>
          <w:szCs w:val="28"/>
        </w:rPr>
        <w:t>住房公积金基数增加。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11.68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aps w:val="0"/>
          <w:color w:val="333333"/>
          <w:spacing w:val="0"/>
          <w:sz w:val="30"/>
          <w:szCs w:val="30"/>
        </w:rPr>
        <w:t>本部门及所属事业单位人员的年终绩效奖金。</w:t>
      </w:r>
      <w:r>
        <w:rPr>
          <w:rFonts w:hint="eastAsia" w:ascii="仿宋" w:hAnsi="仿宋" w:eastAsia="仿宋" w:cs="仿宋"/>
          <w:sz w:val="30"/>
          <w:szCs w:val="30"/>
          <w:highlight w:val="none"/>
        </w:rPr>
        <w:t>较2021年度决算数</w:t>
      </w:r>
      <w:r>
        <w:rPr>
          <w:rFonts w:hint="eastAsia" w:ascii="仿宋" w:hAnsi="仿宋" w:eastAsia="仿宋" w:cs="仿宋"/>
          <w:sz w:val="30"/>
          <w:szCs w:val="30"/>
          <w:highlight w:val="none"/>
          <w:lang w:bidi="ar"/>
        </w:rPr>
        <w:t>减少0.19</w:t>
      </w:r>
      <w:r>
        <w:rPr>
          <w:rFonts w:hint="eastAsia" w:ascii="仿宋" w:hAnsi="仿宋" w:eastAsia="仿宋" w:cs="仿宋"/>
          <w:sz w:val="30"/>
          <w:szCs w:val="30"/>
          <w:highlight w:val="none"/>
        </w:rPr>
        <w:t>万元，</w:t>
      </w:r>
      <w:r>
        <w:rPr>
          <w:rFonts w:hint="eastAsia" w:ascii="仿宋" w:hAnsi="仿宋" w:eastAsia="仿宋" w:cs="仿宋"/>
          <w:sz w:val="32"/>
          <w:szCs w:val="32"/>
          <w:highlight w:val="none"/>
          <w:lang w:bidi="ar"/>
        </w:rPr>
        <w:t>下降1.60%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有人员退休。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：无。</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主要原因是：无。</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28160" cy="2765425"/>
            <wp:effectExtent l="4445" t="4445" r="10795"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3" w:name="OLE_LINK1"/>
      <w:r>
        <w:rPr>
          <w:rFonts w:hint="eastAsia" w:ascii="黑体" w:hAnsi="黑体" w:eastAsia="黑体" w:cs="黑体"/>
          <w:sz w:val="32"/>
          <w:szCs w:val="32"/>
          <w:highlight w:val="none"/>
        </w:rPr>
        <w:t>一般公共预算财政拨款支出决算情况</w:t>
      </w:r>
      <w:bookmarkEnd w:id="3"/>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环江毛南族自治县农业遥感监测站2022年度一般公共预算财政拨款支出</w:t>
      </w:r>
      <w:r>
        <w:rPr>
          <w:rFonts w:ascii="仿宋" w:hAnsi="仿宋" w:eastAsia="仿宋" w:cs="仿宋"/>
          <w:sz w:val="32"/>
          <w:u w:color="auto"/>
        </w:rPr>
        <w:t>88.94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减少9.83</w:t>
      </w:r>
      <w:r>
        <w:rPr>
          <w:rFonts w:hint="eastAsia" w:ascii="仿宋" w:hAnsi="仿宋" w:eastAsia="仿宋" w:cs="仿宋"/>
          <w:sz w:val="32"/>
          <w:szCs w:val="32"/>
          <w:highlight w:val="none"/>
        </w:rPr>
        <w:t>万元，</w:t>
      </w:r>
      <w:r>
        <w:rPr>
          <w:rFonts w:ascii="仿宋" w:hAnsi="仿宋" w:eastAsia="仿宋" w:cs="仿宋"/>
          <w:sz w:val="32"/>
          <w:u w:color="auto"/>
        </w:rPr>
        <w:t>下降9.95%</w:t>
      </w:r>
      <w:r>
        <w:rPr>
          <w:rFonts w:hint="eastAsia" w:ascii="仿宋" w:hAnsi="仿宋" w:eastAsia="仿宋" w:cs="仿宋"/>
          <w:sz w:val="32"/>
          <w:szCs w:val="32"/>
          <w:highlight w:val="none"/>
        </w:rPr>
        <w:t>。其中：基本支出</w:t>
      </w:r>
      <w:r>
        <w:rPr>
          <w:rFonts w:ascii="仿宋" w:hAnsi="仿宋" w:eastAsia="仿宋" w:cs="仿宋"/>
          <w:sz w:val="32"/>
          <w:u w:color="auto"/>
        </w:rPr>
        <w:t>81.83</w:t>
      </w:r>
      <w:r>
        <w:rPr>
          <w:rFonts w:hint="eastAsia" w:ascii="仿宋" w:hAnsi="仿宋" w:eastAsia="仿宋" w:cs="仿宋"/>
          <w:sz w:val="32"/>
          <w:szCs w:val="32"/>
          <w:highlight w:val="none"/>
        </w:rPr>
        <w:t>万元，项目支出</w:t>
      </w:r>
      <w:r>
        <w:rPr>
          <w:rFonts w:ascii="仿宋" w:hAnsi="仿宋" w:eastAsia="仿宋" w:cs="仿宋"/>
          <w:sz w:val="32"/>
          <w:u w:color="auto"/>
        </w:rPr>
        <w:t>7.12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环江毛南族自治县农业遥感监测站2022 年度一般公共预算财政拨款支出年初预算为</w:t>
      </w:r>
      <w:r>
        <w:rPr>
          <w:rFonts w:ascii="仿宋" w:hAnsi="仿宋" w:eastAsia="仿宋" w:cs="仿宋"/>
          <w:sz w:val="32"/>
          <w:u w:color="auto"/>
        </w:rPr>
        <w:t>80.14</w:t>
      </w:r>
      <w:r>
        <w:rPr>
          <w:rFonts w:hint="eastAsia" w:ascii="仿宋" w:hAnsi="仿宋" w:eastAsia="仿宋" w:cs="仿宋"/>
          <w:sz w:val="32"/>
          <w:szCs w:val="32"/>
          <w:highlight w:val="none"/>
        </w:rPr>
        <w:t>万元，支出决算为</w:t>
      </w:r>
      <w:r>
        <w:rPr>
          <w:rFonts w:ascii="仿宋" w:hAnsi="仿宋" w:eastAsia="仿宋" w:cs="仿宋"/>
          <w:sz w:val="32"/>
          <w:u w:color="auto"/>
        </w:rPr>
        <w:t>88.94</w:t>
      </w:r>
      <w:r>
        <w:rPr>
          <w:rFonts w:hint="eastAsia" w:ascii="仿宋" w:hAnsi="仿宋" w:eastAsia="仿宋" w:cs="仿宋"/>
          <w:sz w:val="32"/>
          <w:szCs w:val="32"/>
          <w:highlight w:val="none"/>
        </w:rPr>
        <w:t>万元，完成年初预算的</w:t>
      </w:r>
      <w:r>
        <w:rPr>
          <w:rFonts w:ascii="仿宋" w:hAnsi="仿宋" w:eastAsia="仿宋" w:cs="仿宋"/>
          <w:sz w:val="32"/>
          <w:u w:color="auto"/>
        </w:rPr>
        <w:t>110.98%</w:t>
      </w:r>
      <w:r>
        <w:rPr>
          <w:rFonts w:hint="eastAsia" w:ascii="仿宋" w:hAnsi="仿宋" w:eastAsia="仿宋" w:cs="仿宋"/>
          <w:sz w:val="32"/>
          <w:szCs w:val="32"/>
          <w:highlight w:val="none"/>
        </w:rPr>
        <w:t>。</w:t>
      </w:r>
      <w:bookmarkStart w:id="4" w:name="OLE_LINK2"/>
      <w:bookmarkEnd w:id="4"/>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1.09</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1.09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auto"/>
                <w:kern w:val="0"/>
                <w:sz w:val="21"/>
                <w:szCs w:val="21"/>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color w:val="auto"/>
                <w:kern w:val="2"/>
                <w:sz w:val="21"/>
                <w:szCs w:val="21"/>
                <w:highlight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406650"/>
            <wp:effectExtent l="5080" t="4445" r="15875" b="825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8.73</w:t>
      </w:r>
      <w:r>
        <w:rPr>
          <w:rFonts w:hint="eastAsia" w:ascii="仿宋" w:hAnsi="仿宋" w:eastAsia="仿宋"/>
          <w:sz w:val="32"/>
          <w:szCs w:val="32"/>
          <w:highlight w:val="none"/>
        </w:rPr>
        <w:t>万元，支出决算为</w:t>
      </w:r>
      <w:r>
        <w:rPr>
          <w:rFonts w:ascii="仿宋" w:hAnsi="仿宋" w:eastAsia="仿宋"/>
          <w:sz w:val="32"/>
          <w:szCs w:val="32"/>
          <w:highlight w:val="none"/>
        </w:rPr>
        <w:t>8.05</w:t>
      </w:r>
      <w:r>
        <w:rPr>
          <w:rFonts w:hint="eastAsia" w:ascii="仿宋" w:hAnsi="仿宋" w:eastAsia="仿宋"/>
          <w:sz w:val="32"/>
          <w:szCs w:val="32"/>
          <w:highlight w:val="none"/>
        </w:rPr>
        <w:t>万元，完成年初预算的</w:t>
      </w:r>
      <w:r>
        <w:rPr>
          <w:rFonts w:ascii="仿宋" w:hAnsi="仿宋" w:eastAsia="仿宋"/>
          <w:sz w:val="32"/>
          <w:szCs w:val="32"/>
          <w:highlight w:val="none"/>
        </w:rPr>
        <w:t>92.21%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养老基数有所变化。</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92.21%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default" w:ascii="仿宋_GB2312" w:hAnsi="微软雅黑" w:eastAsia="仿宋_GB2312" w:cs="仿宋_GB2312"/>
                <w:i w:val="0"/>
                <w:iCs w:val="0"/>
                <w:caps w:val="0"/>
                <w:color w:val="333333"/>
                <w:spacing w:val="0"/>
                <w:sz w:val="18"/>
                <w:szCs w:val="18"/>
              </w:rPr>
              <w:t>干部职工养老保险、医疗保险和工伤保险等社会保障资金。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
              </w:rPr>
              <w:t>养老基数有所变化。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63.77</w:t>
      </w:r>
      <w:r>
        <w:rPr>
          <w:rFonts w:hint="eastAsia" w:ascii="仿宋" w:hAnsi="仿宋" w:eastAsia="仿宋"/>
          <w:sz w:val="32"/>
          <w:szCs w:val="32"/>
          <w:highlight w:val="none"/>
        </w:rPr>
        <w:t>万元，支出决算为</w:t>
      </w:r>
      <w:r>
        <w:rPr>
          <w:rFonts w:ascii="仿宋" w:hAnsi="仿宋" w:eastAsia="仿宋"/>
          <w:sz w:val="32"/>
          <w:szCs w:val="32"/>
          <w:highlight w:val="none"/>
        </w:rPr>
        <w:t>62.08</w:t>
      </w:r>
      <w:r>
        <w:rPr>
          <w:rFonts w:hint="eastAsia" w:ascii="仿宋" w:hAnsi="仿宋" w:eastAsia="仿宋"/>
          <w:sz w:val="32"/>
          <w:szCs w:val="32"/>
          <w:highlight w:val="none"/>
        </w:rPr>
        <w:t>万元，完成年初预算的</w:t>
      </w:r>
      <w:r>
        <w:rPr>
          <w:rFonts w:ascii="仿宋" w:hAnsi="仿宋" w:eastAsia="仿宋"/>
          <w:sz w:val="32"/>
          <w:szCs w:val="32"/>
          <w:highlight w:val="none"/>
        </w:rPr>
        <w:t>97.35%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项目数有所变化。</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56.57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54.96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97.15%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rPr>
                <w:rFonts w:hint="default" w:ascii="宋体" w:hAnsi="宋体" w:eastAsia="仿宋_GB2312" w:cs="宋体"/>
                <w:i w:val="0"/>
                <w:iCs w:val="0"/>
                <w:color w:val="auto"/>
                <w:sz w:val="18"/>
                <w:szCs w:val="18"/>
                <w:highlight w:val="none"/>
                <w:u w:val="none"/>
                <w:lang w:val="en-US" w:eastAsia="zh-CN"/>
              </w:rPr>
            </w:pPr>
            <w:r>
              <w:rPr>
                <w:rFonts w:hint="eastAsia" w:ascii="宋体" w:hAnsi="宋体" w:eastAsia="宋体" w:cs="宋体"/>
                <w:i w:val="0"/>
                <w:iCs w:val="0"/>
                <w:caps w:val="0"/>
                <w:color w:val="333333"/>
                <w:spacing w:val="0"/>
                <w:sz w:val="21"/>
                <w:szCs w:val="21"/>
              </w:rPr>
              <w:t>部门所属事业单位人员工资、日常运转方面的支出</w:t>
            </w:r>
            <w:r>
              <w:rPr>
                <w:rFonts w:hint="eastAsia" w:ascii="宋体" w:hAnsi="宋体" w:eastAsia="宋体" w:cs="宋体"/>
                <w:i w:val="0"/>
                <w:iCs w:val="0"/>
                <w:caps w:val="0"/>
                <w:color w:val="333333"/>
                <w:spacing w:val="0"/>
                <w:sz w:val="18"/>
                <w:szCs w:val="18"/>
              </w:rPr>
              <w:t>。</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职工工资有所变动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2130111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统计监测与信息服务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统计监测与信息服务项目运行所产生的费用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项目数有所变化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63.77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6.55</w:t>
      </w:r>
      <w:r>
        <w:rPr>
          <w:rFonts w:hint="eastAsia" w:ascii="仿宋" w:hAnsi="仿宋" w:eastAsia="仿宋"/>
          <w:sz w:val="32"/>
          <w:szCs w:val="32"/>
          <w:highlight w:val="none"/>
        </w:rPr>
        <w:t>万元，支出决算为</w:t>
      </w:r>
      <w:r>
        <w:rPr>
          <w:rFonts w:ascii="仿宋" w:hAnsi="仿宋" w:eastAsia="仿宋"/>
          <w:sz w:val="32"/>
          <w:szCs w:val="32"/>
          <w:highlight w:val="none"/>
        </w:rPr>
        <w:t>6.04</w:t>
      </w:r>
      <w:r>
        <w:rPr>
          <w:rFonts w:hint="eastAsia" w:ascii="仿宋" w:hAnsi="仿宋" w:eastAsia="仿宋"/>
          <w:sz w:val="32"/>
          <w:szCs w:val="32"/>
          <w:highlight w:val="none"/>
        </w:rPr>
        <w:t>万元，完成年初预算的</w:t>
      </w:r>
      <w:r>
        <w:rPr>
          <w:rFonts w:ascii="仿宋" w:hAnsi="仿宋" w:eastAsia="仿宋"/>
          <w:sz w:val="32"/>
          <w:szCs w:val="32"/>
          <w:highlight w:val="none"/>
        </w:rPr>
        <w:t>92.21%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公积金基数有所变化。</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92.21%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default" w:ascii="仿宋_GB2312" w:hAnsi="微软雅黑" w:eastAsia="仿宋_GB2312" w:cs="仿宋_GB2312"/>
                <w:i w:val="0"/>
                <w:iCs w:val="0"/>
                <w:caps w:val="0"/>
                <w:color w:val="333333"/>
                <w:spacing w:val="0"/>
                <w:sz w:val="18"/>
                <w:szCs w:val="18"/>
              </w:rPr>
              <w:t>本部门及所属事业单位按规定的比例计缴的住房公积金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kern w:val="2"/>
                <w:sz w:val="21"/>
                <w:szCs w:val="21"/>
                <w:highlight w:val="none"/>
                <w:lang w:val="en-US" w:eastAsia="zh-CN" w:bidi="ar"/>
              </w:rPr>
              <w:t>公积金基数有所变化。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11.68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原因是：其他支出</w:t>
      </w:r>
      <w:r>
        <w:rPr>
          <w:rFonts w:hint="eastAsia" w:ascii="仿宋" w:hAnsi="仿宋" w:eastAsia="仿宋"/>
          <w:color w:val="auto"/>
          <w:sz w:val="32"/>
          <w:szCs w:val="32"/>
          <w:highlight w:val="none"/>
          <w:lang w:val="en-US" w:eastAsia="zh-CN"/>
        </w:rPr>
        <w:t>年初未列入预算内</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s="仿宋"/>
                <w:i w:val="0"/>
                <w:iCs w:val="0"/>
                <w:caps w:val="0"/>
                <w:color w:val="333333"/>
                <w:spacing w:val="0"/>
                <w:sz w:val="21"/>
                <w:szCs w:val="21"/>
              </w:rPr>
              <w:t>本部门及所属事业单位人员的年终绩效奖金。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仿宋" w:hAnsi="仿宋" w:eastAsia="仿宋"/>
                <w:color w:val="000000" w:themeColor="text1"/>
                <w:sz w:val="21"/>
                <w:szCs w:val="21"/>
                <w:highlight w:val="none"/>
                <w:lang w:val="en-US" w:eastAsia="zh-CN"/>
                <w14:textFill>
                  <w14:solidFill>
                    <w14:schemeClr w14:val="tx1"/>
                  </w14:solidFill>
                </w14:textFill>
              </w:rPr>
              <w:t>其他支出年初未列入预算内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环江毛南族自治县农业遥感监测站2022年度一般公共预算财政拨款基本支出</w:t>
      </w:r>
      <w:r>
        <w:rPr>
          <w:rFonts w:ascii="仿宋" w:hAnsi="仿宋" w:eastAsia="仿宋" w:cs="仿宋"/>
          <w:sz w:val="32"/>
          <w:u w:color="auto"/>
        </w:rPr>
        <w:t>81.83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75.08</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6.75</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73.68万元，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115.89%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职工工资有所增加。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22.65万元，30102津贴补贴12.83万元，30103奖金19.77万元，30106伙食补助费1.00万元，30108机关事业单位基本养老保险缴费8.05万元，30110职工基本医疗保险缴费3.20万元，30112其他社会保障缴费0.13万元，30113住房公积金6.04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2989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商品和服务支出</w:t>
      </w:r>
      <w:r>
        <w:rPr>
          <w:rFonts w:ascii="仿宋" w:hAnsi="仿宋" w:eastAsia="仿宋" w:cs="仿宋"/>
          <w:sz w:val="32"/>
          <w:u w:color="auto"/>
        </w:rPr>
        <w:t>6.75万元，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82.72%</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主要原因是：电费、水</w:t>
      </w:r>
      <w:r>
        <w:rPr>
          <w:rFonts w:hint="eastAsia" w:ascii="仿宋" w:hAnsi="仿宋" w:eastAsia="仿宋" w:cs="仿宋"/>
          <w:color w:val="auto"/>
          <w:kern w:val="2"/>
          <w:sz w:val="32"/>
          <w:szCs w:val="32"/>
          <w:highlight w:val="none"/>
          <w:lang w:val="en-US" w:eastAsia="zh-CN" w:bidi="ar"/>
        </w:rPr>
        <w:t>费有所减少。</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30201办公费0.87万元，30204手续费0.21万元，30205水费0.08万元，30207邮电费0.77万元，30226劳务费0.09万元，30228工会经费1.09万元，30239其他交通费用3.64万元。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1.40万元，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116.67%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w:t>
      </w:r>
      <w:r>
        <w:rPr>
          <w:rFonts w:hint="eastAsia" w:ascii="仿宋" w:hAnsi="仿宋" w:eastAsia="仿宋" w:cs="仿宋"/>
          <w:color w:val="auto"/>
          <w:kern w:val="2"/>
          <w:sz w:val="32"/>
          <w:szCs w:val="32"/>
          <w:highlight w:val="none"/>
          <w:lang w:val="en-US" w:eastAsia="zh-CN" w:bidi="ar"/>
        </w:rPr>
        <w:t>人员有所增加。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30305生活补助1.40万元。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0606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环江毛南族自治县农业遥感监测站2022年度政府性基金支出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环江毛南族自治县农业遥感监测站2022年度政府性基金支出年初预算为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w:t>
      </w:r>
      <w:r>
        <w:rPr>
          <w:rFonts w:hint="eastAsia" w:ascii="仿宋" w:hAnsi="仿宋" w:eastAsia="仿宋" w:cs="仿宋"/>
          <w:color w:val="auto"/>
          <w:sz w:val="32"/>
          <w:szCs w:val="32"/>
          <w:highlight w:val="none"/>
        </w:rPr>
        <w:t>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环江毛南族自治县农业遥感监测站</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环江毛南族自治县农业遥感监测站2022年度国有资本经营预算支出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环江毛南族自治县农业遥感监测站2022 年度国有资本经营预</w:t>
      </w:r>
      <w:r>
        <w:rPr>
          <w:rFonts w:hint="eastAsia" w:ascii="仿宋" w:hAnsi="仿宋" w:eastAsia="仿宋" w:cs="仿宋"/>
          <w:color w:val="auto"/>
          <w:sz w:val="32"/>
          <w:szCs w:val="32"/>
          <w:highlight w:val="none"/>
        </w:rPr>
        <w:t>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w:t>
      </w:r>
      <w:r>
        <w:rPr>
          <w:rFonts w:hint="eastAsia" w:ascii="仿宋" w:hAnsi="仿宋" w:eastAsia="仿宋" w:cs="仿宋"/>
          <w:color w:val="auto"/>
          <w:sz w:val="32"/>
          <w:szCs w:val="32"/>
          <w:highlight w:val="none"/>
        </w:rPr>
        <w:t>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_GB2312" w:cs="仿宋"/>
          <w:color w:val="auto"/>
          <w:sz w:val="32"/>
          <w:szCs w:val="32"/>
          <w:highlight w:val="none"/>
          <w:lang w:eastAsia="zh-CN"/>
        </w:rPr>
      </w:pPr>
      <w:bookmarkStart w:id="5" w:name="PO_part3A5B1C1DiffReason1"/>
      <w:r>
        <w:rPr>
          <w:rFonts w:hint="eastAsia" w:ascii="仿宋_GB2312" w:hAnsi="Times New Roman" w:eastAsia="仿宋_GB2312" w:cs="Times New Roman"/>
          <w:color w:val="auto"/>
          <w:sz w:val="32"/>
          <w:szCs w:val="32"/>
        </w:rPr>
        <w:t>环江毛南族自治县农业遥感监测站</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5"/>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0.09</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减少0.12</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default" w:ascii="仿宋_GB2312" w:hAnsi="微软雅黑" w:eastAsia="仿宋_GB2312" w:cs="仿宋_GB2312"/>
          <w:i w:val="0"/>
          <w:iCs w:val="0"/>
          <w:caps w:val="0"/>
          <w:color w:val="333333"/>
          <w:spacing w:val="0"/>
          <w:sz w:val="30"/>
          <w:szCs w:val="30"/>
        </w:rPr>
        <w:t>是认真贯彻落实中央“八项规定”精神和厉行节约要求，严控和压缩“三公”经费相关支出。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0.09</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_GB2312" w:hAnsi="Times New Roman" w:eastAsia="仿宋_GB2312" w:cs="Times New Roman"/>
          <w:color w:val="auto"/>
          <w:sz w:val="32"/>
          <w:szCs w:val="32"/>
          <w:lang w:val="en-US" w:eastAsia="zh-CN"/>
        </w:rPr>
        <w:t>无。</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320" w:firstLineChars="1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r>
        <w:rPr>
          <w:rFonts w:hint="eastAsia" w:ascii="仿宋" w:hAnsi="仿宋" w:eastAsia="仿宋" w:cs="仿宋"/>
          <w:color w:val="auto"/>
          <w:sz w:val="32"/>
          <w:szCs w:val="32"/>
          <w:lang w:val="en-US" w:eastAsia="zh-CN"/>
        </w:rPr>
        <w:t>无</w:t>
      </w:r>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rPr>
        <w:t>2022年，</w:t>
      </w:r>
      <w:r>
        <w:rPr>
          <w:rFonts w:ascii="仿宋" w:hAnsi="仿宋" w:eastAsia="仿宋" w:cs="仿宋"/>
          <w:color w:val="auto"/>
          <w:sz w:val="32"/>
          <w:u w:color="auto"/>
        </w:rPr>
        <w:t>广西河池市环江毛南族自治县农业遥感监测站</w:t>
      </w:r>
      <w:r>
        <w:rPr>
          <w:rFonts w:hint="eastAsia" w:ascii="仿宋" w:hAnsi="仿宋" w:eastAsia="仿宋" w:cs="仿宋"/>
          <w:color w:val="auto"/>
          <w:sz w:val="32"/>
          <w:szCs w:val="32"/>
          <w:highlight w:val="none"/>
        </w:rPr>
        <w:t>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平均每辆 </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0.09</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100%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减少0.12</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default" w:ascii="仿宋_GB2312" w:hAnsi="微软雅黑" w:eastAsia="仿宋_GB2312" w:cs="仿宋_GB2312"/>
          <w:i w:val="0"/>
          <w:iCs w:val="0"/>
          <w:caps w:val="0"/>
          <w:color w:val="auto"/>
          <w:spacing w:val="0"/>
          <w:sz w:val="30"/>
          <w:szCs w:val="30"/>
        </w:rPr>
        <w:t>是认真贯彻落实中央“八项规定”精神和厉行节约要求，严控和压缩“三公”经费相关支出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1</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10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6.75</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减少1.41</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下降17.28%</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增加5.19</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增长332.69%</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年初预算其它交通费没有列入机关运行经费支出。</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个，共涉及资金</w:t>
      </w:r>
      <w:r>
        <w:rPr>
          <w:rFonts w:hint="eastAsia" w:ascii="仿宋" w:hAnsi="仿宋" w:eastAsia="仿宋" w:cs="仿宋"/>
          <w:color w:val="auto"/>
          <w:sz w:val="32"/>
          <w:szCs w:val="32"/>
          <w:lang w:val="en-US" w:eastAsia="zh-CN"/>
        </w:rPr>
        <w:t>7.2</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个国有资本经营预算项目支出开展绩效自评，共涉及资金</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万元，占国有资本经营预算项目支出总额的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bookmarkStart w:id="6" w:name="_GoBack"/>
      <w:bookmarkEnd w:id="6"/>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numPr>
          <w:ilvl w:val="0"/>
          <w:numId w:val="0"/>
        </w:numPr>
        <w:autoSpaceDE w:val="0"/>
        <w:autoSpaceDN w:val="0"/>
        <w:adjustRightInd w:val="0"/>
        <w:spacing w:line="600" w:lineRule="exact"/>
        <w:ind w:leftChars="0" w:firstLine="640" w:firstLineChars="200"/>
        <w:rPr>
          <w:rFonts w:ascii="仿宋" w:hAnsi="仿宋" w:eastAsia="仿宋" w:cs="仿宋"/>
          <w:color w:val="auto"/>
          <w:sz w:val="32"/>
          <w:szCs w:val="32"/>
          <w:u w:val="none"/>
        </w:rPr>
      </w:pPr>
      <w:r>
        <w:rPr>
          <w:rFonts w:hint="eastAsia" w:ascii="仿宋" w:hAnsi="仿宋" w:eastAsia="仿宋" w:cs="仿宋"/>
          <w:color w:val="auto"/>
          <w:sz w:val="32"/>
          <w:szCs w:val="32"/>
        </w:rPr>
        <w:t>我部门根据年初设定的绩效目标，项目自评得分为</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分。</w:t>
      </w:r>
      <w:r>
        <w:rPr>
          <w:rFonts w:hint="eastAsia" w:ascii="仿宋" w:hAnsi="仿宋" w:eastAsia="仿宋" w:cs="仿宋"/>
          <w:color w:val="auto"/>
          <w:kern w:val="0"/>
          <w:sz w:val="32"/>
          <w:szCs w:val="32"/>
          <w:u w:val="none"/>
        </w:rPr>
        <w:t>一年来，</w:t>
      </w:r>
      <w:r>
        <w:rPr>
          <w:rFonts w:hint="eastAsia" w:ascii="仿宋" w:hAnsi="仿宋" w:eastAsia="仿宋" w:cs="仿宋"/>
          <w:color w:val="auto"/>
          <w:sz w:val="32"/>
          <w:szCs w:val="32"/>
          <w:u w:val="none"/>
        </w:rPr>
        <w:t>本部门各单位能认真履行职责，做好统筹协调、各类重要工作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工作经费及时落实到位，保证了各项工作的按时、有序开展；业务管理和财务管理制度比较健全，并能得到贯彻执行，</w:t>
      </w:r>
      <w:r>
        <w:rPr>
          <w:rFonts w:hint="eastAsia" w:ascii="仿宋" w:hAnsi="仿宋" w:eastAsia="仿宋" w:cs="仿宋"/>
          <w:color w:val="auto"/>
          <w:kern w:val="0"/>
          <w:sz w:val="32"/>
          <w:szCs w:val="32"/>
          <w:u w:val="none"/>
        </w:rPr>
        <w:t>整体支出绩效评价效果较好，达到了预期</w:t>
      </w:r>
      <w:r>
        <w:rPr>
          <w:rFonts w:hint="eastAsia" w:ascii="仿宋" w:hAnsi="仿宋" w:eastAsia="仿宋" w:cs="仿宋"/>
          <w:color w:val="auto"/>
          <w:sz w:val="32"/>
          <w:szCs w:val="32"/>
          <w:u w:val="none"/>
        </w:rPr>
        <w:t>目标。</w:t>
      </w:r>
    </w:p>
    <w:p>
      <w:pPr>
        <w:ind w:firstLine="640" w:firstLineChars="200"/>
        <w:jc w:val="left"/>
        <w:rPr>
          <w:rFonts w:hint="eastAsia" w:ascii="仿宋" w:hAnsi="仿宋" w:eastAsia="仿宋" w:cs="仿宋"/>
          <w:color w:val="auto"/>
          <w:sz w:val="32"/>
          <w:szCs w:val="32"/>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rPr>
        <w:t>六、年初结转和结余：指</w:t>
      </w:r>
      <w:r>
        <w:rPr>
          <w:rFonts w:hint="eastAsia" w:ascii="仿宋" w:hAnsi="仿宋" w:eastAsia="仿宋" w:cs="仿宋"/>
          <w:sz w:val="32"/>
          <w:szCs w:val="32"/>
          <w:highlight w:val="none"/>
        </w:rPr>
        <w:t>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36AD310F"/>
    <w:multiLevelType w:val="singleLevel"/>
    <w:tmpl w:val="36AD310F"/>
    <w:lvl w:ilvl="0" w:tentative="0">
      <w:start w:val="1"/>
      <w:numFmt w:val="chineseCounting"/>
      <w:suff w:val="nothing"/>
      <w:lvlText w:val="%1、"/>
      <w:lvlJc w:val="left"/>
      <w:rPr>
        <w:rFonts w:hint="eastAsia"/>
      </w:rPr>
    </w:lvl>
  </w:abstractNum>
  <w:abstractNum w:abstractNumId="3">
    <w:nsid w:val="7FF53A43"/>
    <w:multiLevelType w:val="singleLevel"/>
    <w:tmpl w:val="7FF53A4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52B43C8"/>
    <w:rsid w:val="1744244E"/>
    <w:rsid w:val="17E92249"/>
    <w:rsid w:val="18D304F1"/>
    <w:rsid w:val="19F32577"/>
    <w:rsid w:val="19F45B80"/>
    <w:rsid w:val="1B0C078D"/>
    <w:rsid w:val="1B2B31E2"/>
    <w:rsid w:val="1B4C295A"/>
    <w:rsid w:val="1B973C63"/>
    <w:rsid w:val="1BA1001E"/>
    <w:rsid w:val="1D317259"/>
    <w:rsid w:val="1E664F5B"/>
    <w:rsid w:val="1EB34BE1"/>
    <w:rsid w:val="2048662F"/>
    <w:rsid w:val="215E639F"/>
    <w:rsid w:val="21EC3183"/>
    <w:rsid w:val="225E72CD"/>
    <w:rsid w:val="23CB5639"/>
    <w:rsid w:val="246E2F77"/>
    <w:rsid w:val="254B4E2B"/>
    <w:rsid w:val="283D7C94"/>
    <w:rsid w:val="29480E03"/>
    <w:rsid w:val="2983634D"/>
    <w:rsid w:val="2BB02055"/>
    <w:rsid w:val="2C575A56"/>
    <w:rsid w:val="2CD028D5"/>
    <w:rsid w:val="2F257714"/>
    <w:rsid w:val="2F3275E5"/>
    <w:rsid w:val="2F367E07"/>
    <w:rsid w:val="309C0544"/>
    <w:rsid w:val="30AA08EF"/>
    <w:rsid w:val="30D23D1C"/>
    <w:rsid w:val="31221CF5"/>
    <w:rsid w:val="31400178"/>
    <w:rsid w:val="321E3342"/>
    <w:rsid w:val="327759C8"/>
    <w:rsid w:val="33185FE3"/>
    <w:rsid w:val="34EE2E36"/>
    <w:rsid w:val="36777241"/>
    <w:rsid w:val="371E78D5"/>
    <w:rsid w:val="38995374"/>
    <w:rsid w:val="38A951DB"/>
    <w:rsid w:val="38B31605"/>
    <w:rsid w:val="39003F4F"/>
    <w:rsid w:val="396A79AB"/>
    <w:rsid w:val="3C07002B"/>
    <w:rsid w:val="3D08767D"/>
    <w:rsid w:val="3D0D152A"/>
    <w:rsid w:val="3DF62756"/>
    <w:rsid w:val="3F1B7587"/>
    <w:rsid w:val="41E57B4F"/>
    <w:rsid w:val="42305FE5"/>
    <w:rsid w:val="432F26F6"/>
    <w:rsid w:val="43880F63"/>
    <w:rsid w:val="441C5A6F"/>
    <w:rsid w:val="44C44FCC"/>
    <w:rsid w:val="44CC7369"/>
    <w:rsid w:val="457F5108"/>
    <w:rsid w:val="46951B6B"/>
    <w:rsid w:val="49A34401"/>
    <w:rsid w:val="4A3E30AB"/>
    <w:rsid w:val="4AC14DAC"/>
    <w:rsid w:val="4BB31B36"/>
    <w:rsid w:val="4D154C85"/>
    <w:rsid w:val="4EB35ECE"/>
    <w:rsid w:val="508F4E24"/>
    <w:rsid w:val="51461E90"/>
    <w:rsid w:val="51463753"/>
    <w:rsid w:val="523A51EA"/>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A182ADF"/>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88.94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1.4</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Sheet1!$B$2:$B$6</c:f>
              <c:numCache>
                <c:formatCode>General</c:formatCode>
                <c:ptCount val="5"/>
                <c:pt idx="0">
                  <c:v>0</c:v>
                </c:pt>
                <c:pt idx="1">
                  <c:v>7.51</c:v>
                </c:pt>
                <c:pt idx="2">
                  <c:v>73.82</c:v>
                </c:pt>
                <c:pt idx="3">
                  <c:v>5.57</c:v>
                </c:pt>
                <c:pt idx="4">
                  <c:v>11.87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农林水支出</c:v>
                </c:pt>
                <c:pt idx="3">
                  <c:v>住房保障支出</c:v>
                </c:pt>
                <c:pt idx="4">
                  <c:v>其他支出</c:v>
                </c:pt>
              </c:strCache>
            </c:strRef>
          </c:cat>
          <c:val>
            <c:numRef>
              <c:f>Sheet1!$C$2:$C$6</c:f>
              <c:numCache>
                <c:formatCode>General</c:formatCode>
                <c:ptCount val="5"/>
                <c:pt idx="0">
                  <c:v>1.09</c:v>
                </c:pt>
                <c:pt idx="1">
                  <c:v>8.05</c:v>
                </c:pt>
                <c:pt idx="2">
                  <c:v>62.08</c:v>
                </c:pt>
                <c:pt idx="3">
                  <c:v>6.04</c:v>
                </c:pt>
                <c:pt idx="4">
                  <c:v>11.68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1.09</c:v>
                </c:pt>
                <c:pt idx="1">
                  <c:v>1.09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8.05</c:v>
                </c:pt>
                <c:pt idx="1">
                  <c:v>8.05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2130104</c:v>
                </c:pt>
                <c:pt idx="1">
                  <c:v>2130111</c:v>
                </c:pt>
                <c:pt idx="2">
                  <c:v>213x</c:v>
                </c:pt>
              </c:strCache>
            </c:strRef>
          </c:cat>
          <c:val>
            <c:numRef>
              <c:f>Sheet1!$B$2:$B$4</c:f>
              <c:numCache>
                <c:formatCode>General</c:formatCode>
                <c:ptCount val="3"/>
                <c:pt idx="0">
                  <c:v>54.96</c:v>
                </c:pt>
                <c:pt idx="1">
                  <c:v>7.12</c:v>
                </c:pt>
                <c:pt idx="2">
                  <c:v>62.08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6.04</c:v>
                </c:pt>
                <c:pt idx="1">
                  <c:v>6.04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11.68</c:v>
                </c:pt>
                <c:pt idx="1">
                  <c:v>11.68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22.65</c:v>
                </c:pt>
                <c:pt idx="1">
                  <c:v>12.83</c:v>
                </c:pt>
                <c:pt idx="2">
                  <c:v>19.77</c:v>
                </c:pt>
                <c:pt idx="3">
                  <c:v>1</c:v>
                </c:pt>
                <c:pt idx="4">
                  <c:v>0</c:v>
                </c:pt>
                <c:pt idx="5">
                  <c:v>8.05</c:v>
                </c:pt>
                <c:pt idx="6">
                  <c:v>0</c:v>
                </c:pt>
                <c:pt idx="7">
                  <c:v>3.2</c:v>
                </c:pt>
                <c:pt idx="8">
                  <c:v>0</c:v>
                </c:pt>
                <c:pt idx="9">
                  <c:v>0.13</c:v>
                </c:pt>
                <c:pt idx="10">
                  <c:v>6.04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0.87</c:v>
                </c:pt>
                <c:pt idx="1">
                  <c:v>0</c:v>
                </c:pt>
                <c:pt idx="2">
                  <c:v>0</c:v>
                </c:pt>
                <c:pt idx="3">
                  <c:v>0.21</c:v>
                </c:pt>
                <c:pt idx="4">
                  <c:v>0.08</c:v>
                </c:pt>
                <c:pt idx="5">
                  <c:v>0</c:v>
                </c:pt>
                <c:pt idx="6">
                  <c:v>0.77</c:v>
                </c:pt>
                <c:pt idx="7">
                  <c:v>0</c:v>
                </c:pt>
                <c:pt idx="8">
                  <c:v>0</c:v>
                </c:pt>
                <c:pt idx="9">
                  <c:v>0</c:v>
                </c:pt>
                <c:pt idx="10">
                  <c:v>0</c:v>
                </c:pt>
                <c:pt idx="11">
                  <c:v>0</c:v>
                </c:pt>
                <c:pt idx="12">
                  <c:v>0</c:v>
                </c:pt>
                <c:pt idx="13">
                  <c:v>0</c:v>
                </c:pt>
                <c:pt idx="14">
                  <c:v>0</c:v>
                </c:pt>
                <c:pt idx="15">
                  <c:v>0</c:v>
                </c:pt>
                <c:pt idx="16">
                  <c:v>0</c:v>
                </c:pt>
                <c:pt idx="17">
                  <c:v>0</c:v>
                </c:pt>
                <c:pt idx="18">
                  <c:v>0</c:v>
                </c:pt>
                <c:pt idx="19">
                  <c:v>0.09</c:v>
                </c:pt>
                <c:pt idx="20">
                  <c:v>0</c:v>
                </c:pt>
                <c:pt idx="21">
                  <c:v>1.09</c:v>
                </c:pt>
                <c:pt idx="22">
                  <c:v>0</c:v>
                </c:pt>
                <c:pt idx="23">
                  <c:v>0</c:v>
                </c:pt>
                <c:pt idx="24">
                  <c:v>3.64</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18</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2023-11-24T07:47:39Z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