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w:t>
      </w:r>
      <w:r>
        <w:rPr>
          <w:rFonts w:hint="eastAsia" w:ascii="黑体" w:hAnsi="黑体" w:eastAsia="黑体" w:cs="黑体"/>
          <w:b/>
          <w:bCs/>
          <w:sz w:val="52"/>
          <w:szCs w:val="52"/>
          <w:highlight w:val="none"/>
          <w:lang w:val="en-US" w:eastAsia="zh-CN"/>
        </w:rPr>
        <w:t>毛南族自治</w:t>
      </w:r>
      <w:r>
        <w:rPr>
          <w:rFonts w:hint="eastAsia" w:ascii="黑体" w:hAnsi="黑体" w:eastAsia="黑体" w:cs="黑体"/>
          <w:b/>
          <w:bCs/>
          <w:sz w:val="52"/>
          <w:szCs w:val="52"/>
          <w:highlight w:val="none"/>
          <w:lang w:eastAsia="zh-CN"/>
        </w:rPr>
        <w:t>县红茂矿区管理处</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红茂管理处</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红茂管理处</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红茂管理处</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红茂矿区管理处</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600" w:lineRule="exact"/>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eastAsia="zh-CN"/>
        </w:rPr>
        <w:t>红茂矿区管理处</w:t>
      </w:r>
      <w:r>
        <w:rPr>
          <w:rFonts w:hint="eastAsia" w:ascii="仿宋" w:hAnsi="仿宋" w:eastAsia="仿宋" w:cs="仿宋"/>
          <w:color w:val="auto"/>
          <w:sz w:val="32"/>
          <w:szCs w:val="32"/>
        </w:rPr>
        <w:t>的主要职能是：</w:t>
      </w:r>
      <w:r>
        <w:rPr>
          <w:rFonts w:hint="eastAsia" w:ascii="仿宋" w:hAnsi="仿宋" w:eastAsia="仿宋"/>
          <w:sz w:val="32"/>
          <w:szCs w:val="32"/>
        </w:rPr>
        <w:t>负责原红茂矿务局离退休人员及家属、矿区居民提供服务，离退休人员、待遇人员管理；负责红茂矿区居民最低生活保障金的申报工作；负责原红茂矿务局职工遗属的抚恤金和救济金的管理发放，负责伤残未退休人员生活费的发放和伤残人员护理费的发放；负责红茂矿区社会事务管理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600" w:lineRule="exact"/>
        <w:ind w:firstLine="640" w:firstLineChars="200"/>
        <w:rPr>
          <w:rFonts w:ascii="仿宋" w:hAnsi="仿宋" w:eastAsia="仿宋"/>
          <w:sz w:val="32"/>
          <w:szCs w:val="32"/>
        </w:rPr>
      </w:pPr>
      <w:r>
        <w:rPr>
          <w:rFonts w:hint="eastAsia" w:ascii="仿宋" w:hAnsi="仿宋" w:eastAsia="仿宋" w:cs="仿宋"/>
          <w:color w:val="auto"/>
          <w:sz w:val="32"/>
          <w:szCs w:val="32"/>
        </w:rPr>
        <w:t>我</w:t>
      </w:r>
      <w:r>
        <w:rPr>
          <w:rFonts w:hint="eastAsia" w:ascii="仿宋" w:hAnsi="仿宋" w:eastAsia="仿宋" w:cs="仿宋"/>
          <w:color w:val="auto"/>
          <w:sz w:val="32"/>
          <w:szCs w:val="32"/>
          <w:lang w:eastAsia="zh-CN"/>
        </w:rPr>
        <w:t>处</w:t>
      </w:r>
      <w:r>
        <w:rPr>
          <w:rFonts w:hint="eastAsia" w:ascii="仿宋" w:hAnsi="仿宋" w:eastAsia="仿宋" w:cs="仿宋"/>
          <w:color w:val="auto"/>
          <w:sz w:val="32"/>
          <w:szCs w:val="32"/>
        </w:rPr>
        <w:t>没有下属单位，按照部门决算编报要求，单独编制本部门决算。</w:t>
      </w:r>
      <w:r>
        <w:rPr>
          <w:rFonts w:hint="eastAsia" w:ascii="仿宋" w:hAnsi="仿宋" w:eastAsia="仿宋"/>
          <w:sz w:val="32"/>
          <w:szCs w:val="32"/>
        </w:rPr>
        <w:t>我处为正科级财政全额拔款事业单位</w:t>
      </w:r>
      <w:r>
        <w:rPr>
          <w:rFonts w:hint="eastAsia" w:ascii="仿宋" w:hAnsi="仿宋" w:eastAsia="仿宋"/>
          <w:sz w:val="32"/>
          <w:szCs w:val="32"/>
          <w:lang w:eastAsia="zh-CN"/>
        </w:rPr>
        <w:t>，</w:t>
      </w:r>
      <w:r>
        <w:rPr>
          <w:rFonts w:hint="eastAsia" w:ascii="仿宋" w:hAnsi="仿宋" w:eastAsia="仿宋"/>
          <w:sz w:val="32"/>
          <w:szCs w:val="32"/>
        </w:rPr>
        <w:t>根据以上职责，下设</w:t>
      </w:r>
      <w:r>
        <w:rPr>
          <w:rFonts w:ascii="仿宋" w:hAnsi="仿宋" w:eastAsia="仿宋"/>
          <w:sz w:val="32"/>
          <w:szCs w:val="32"/>
        </w:rPr>
        <w:t>5</w:t>
      </w:r>
      <w:r>
        <w:rPr>
          <w:rFonts w:hint="eastAsia" w:ascii="仿宋" w:hAnsi="仿宋" w:eastAsia="仿宋"/>
          <w:sz w:val="32"/>
          <w:szCs w:val="32"/>
        </w:rPr>
        <w:t>个职能股室和两个管理区：办公室、财务股、社会保障股、离退休管理股、社会事务管理股、红山管理区、茂兰管理区。</w:t>
      </w: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红茂矿区管理处</w:t>
      </w:r>
      <w:r>
        <w:rPr>
          <w:rFonts w:hint="eastAsia" w:ascii="黑体" w:hAnsi="黑体" w:eastAsia="黑体" w:cs="黑体"/>
          <w:sz w:val="32"/>
          <w:szCs w:val="32"/>
          <w:highlight w:val="none"/>
        </w:rPr>
        <w:t>2022年度部门决算报表</w:t>
      </w:r>
    </w:p>
    <w:tbl>
      <w:tblPr>
        <w:tblStyle w:val="7"/>
        <w:tblW w:w="9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656"/>
        <w:gridCol w:w="876"/>
        <w:gridCol w:w="2916"/>
        <w:gridCol w:w="65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165"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both"/>
        <w:rPr>
          <w:rFonts w:hint="eastAsia" w:ascii="黑体" w:hAnsi="黑体" w:eastAsia="黑体" w:cs="黑体"/>
          <w:sz w:val="32"/>
          <w:szCs w:val="32"/>
          <w:highlight w:val="none"/>
        </w:rPr>
        <w:sectPr>
          <w:pgSz w:w="11906" w:h="16838"/>
          <w:pgMar w:top="1440" w:right="1587" w:bottom="1440" w:left="1304" w:header="851" w:footer="992" w:gutter="0"/>
          <w:cols w:space="425" w:num="1"/>
          <w:docGrid w:type="lines" w:linePitch="312" w:charSpace="0"/>
        </w:sectPr>
      </w:pPr>
    </w:p>
    <w:tbl>
      <w:tblPr>
        <w:tblStyle w:val="7"/>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3276"/>
        <w:gridCol w:w="990"/>
        <w:gridCol w:w="990"/>
        <w:gridCol w:w="845"/>
        <w:gridCol w:w="845"/>
        <w:gridCol w:w="845"/>
        <w:gridCol w:w="845"/>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47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 xml:space="preserve">                          收入决算表                           </w:t>
            </w: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7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99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85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99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资源勘探开发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其他资源勘探业支出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both"/>
        <w:rPr>
          <w:rFonts w:hint="eastAsia" w:ascii="黑体" w:hAnsi="黑体" w:eastAsia="黑体" w:cs="黑体"/>
          <w:sz w:val="32"/>
          <w:szCs w:val="32"/>
          <w:highlight w:val="none"/>
        </w:rPr>
        <w:sectPr>
          <w:pgSz w:w="11906" w:h="16838"/>
          <w:pgMar w:top="1417" w:right="567" w:bottom="850" w:left="567" w:header="851" w:footer="992" w:gutter="0"/>
          <w:cols w:space="425" w:num="1"/>
          <w:docGrid w:type="lines" w:linePitch="312" w:charSpace="0"/>
        </w:sectPr>
      </w:pPr>
    </w:p>
    <w:p>
      <w:pPr>
        <w:jc w:val="both"/>
        <w:rPr>
          <w:rFonts w:ascii="仿宋" w:hAnsi="仿宋" w:eastAsia="仿宋" w:cs="仿宋"/>
          <w:sz w:val="24"/>
          <w:highlight w:val="none"/>
        </w:rPr>
      </w:pPr>
    </w:p>
    <w:tbl>
      <w:tblPr>
        <w:tblStyle w:val="7"/>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101"/>
        <w:gridCol w:w="1010"/>
        <w:gridCol w:w="1010"/>
        <w:gridCol w:w="1010"/>
        <w:gridCol w:w="724"/>
        <w:gridCol w:w="724"/>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425"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425"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0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84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sectPr>
          <w:pgSz w:w="11906" w:h="16838"/>
          <w:pgMar w:top="850" w:right="567" w:bottom="850" w:left="567" w:header="851" w:footer="992" w:gutter="0"/>
          <w:cols w:space="425" w:num="1"/>
          <w:docGrid w:type="lines" w:linePitch="312" w:charSpace="0"/>
        </w:sectPr>
      </w:pPr>
    </w:p>
    <w:tbl>
      <w:tblPr>
        <w:tblStyle w:val="7"/>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39"/>
        <w:gridCol w:w="597"/>
        <w:gridCol w:w="1198"/>
        <w:gridCol w:w="3266"/>
        <w:gridCol w:w="1185"/>
        <w:gridCol w:w="1095"/>
        <w:gridCol w:w="1335"/>
        <w:gridCol w:w="1365"/>
        <w:gridCol w:w="1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94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 xml:space="preserve">                                   财政拨款收入支出决算总表                            </w:t>
            </w:r>
            <w:r>
              <w:rPr>
                <w:rStyle w:val="14"/>
                <w:lang w:val="en-US" w:eastAsia="zh-CN" w:bidi="ar"/>
              </w:rPr>
              <w:t xml:space="preserve"> 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494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534"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406"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3739"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98"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6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8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5"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36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1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3739"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9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8"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6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36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8"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3739"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326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13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665.03</w:t>
            </w:r>
          </w:p>
        </w:tc>
        <w:tc>
          <w:tcPr>
            <w:tcW w:w="13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1494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sectPr>
          <w:pgSz w:w="16838" w:h="11906" w:orient="landscape"/>
          <w:pgMar w:top="567" w:right="850" w:bottom="567" w:left="850" w:header="851" w:footer="992" w:gutter="0"/>
          <w:cols w:space="425" w:num="1"/>
          <w:docGrid w:type="lines" w:linePitch="312" w:charSpace="0"/>
        </w:sectPr>
      </w:pPr>
    </w:p>
    <w:tbl>
      <w:tblPr>
        <w:tblStyle w:val="7"/>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38"/>
        <w:gridCol w:w="1418"/>
        <w:gridCol w:w="1418"/>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69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690" w:type="dxa"/>
            <w:gridSpan w:val="7"/>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7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对村民委员会和村党支部的补助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sectPr>
          <w:pgSz w:w="11906" w:h="16838"/>
          <w:pgMar w:top="850" w:right="964" w:bottom="850" w:left="964" w:header="851" w:footer="992" w:gutter="0"/>
          <w:cols w:space="425" w:num="1"/>
          <w:docGrid w:type="lines" w:linePitch="312" w:charSpace="0"/>
        </w:sectPr>
      </w:pPr>
    </w:p>
    <w:tbl>
      <w:tblPr>
        <w:tblStyle w:val="7"/>
        <w:tblW w:w="10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1760"/>
        <w:gridCol w:w="876"/>
        <w:gridCol w:w="766"/>
        <w:gridCol w:w="1594"/>
        <w:gridCol w:w="780"/>
        <w:gridCol w:w="766"/>
        <w:gridCol w:w="2376"/>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71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71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6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trPr>
        <w:tc>
          <w:tcPr>
            <w:tcW w:w="66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1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1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280" w:type="dxa"/>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363.21</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keepNext w:val="0"/>
        <w:keepLines w:val="0"/>
        <w:widowControl/>
        <w:suppressLineNumbers w:val="0"/>
        <w:jc w:val="both"/>
        <w:textAlignment w:val="bottom"/>
        <w:rPr>
          <w:rFonts w:hint="eastAsia" w:ascii="宋体" w:hAnsi="宋体" w:eastAsia="宋体" w:cs="宋体"/>
          <w:i w:val="0"/>
          <w:iCs w:val="0"/>
          <w:color w:val="000000"/>
          <w:kern w:val="0"/>
          <w:sz w:val="30"/>
          <w:szCs w:val="30"/>
          <w:u w:val="none"/>
          <w:lang w:val="en-US" w:eastAsia="zh-CN" w:bidi="ar"/>
        </w:rPr>
        <w:sectPr>
          <w:pgSz w:w="11906" w:h="16838"/>
          <w:pgMar w:top="567" w:right="567" w:bottom="567" w:left="567" w:header="851" w:footer="992" w:gutter="0"/>
          <w:cols w:space="425" w:num="1"/>
          <w:docGrid w:type="lines" w:linePitch="312" w:charSpace="0"/>
        </w:sectPr>
      </w:pPr>
    </w:p>
    <w:tbl>
      <w:tblPr>
        <w:tblStyle w:val="7"/>
        <w:tblW w:w="150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6"/>
        <w:gridCol w:w="222"/>
        <w:gridCol w:w="222"/>
        <w:gridCol w:w="1096"/>
        <w:gridCol w:w="1393"/>
        <w:gridCol w:w="1393"/>
        <w:gridCol w:w="1393"/>
        <w:gridCol w:w="1393"/>
        <w:gridCol w:w="1393"/>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9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179"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9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9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9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ascii="仿宋" w:hAnsi="仿宋" w:eastAsia="仿宋" w:cs="仿宋"/>
          <w:sz w:val="24"/>
          <w:highlight w:val="none"/>
        </w:rPr>
      </w:pPr>
    </w:p>
    <w:p>
      <w:pPr>
        <w:jc w:val="left"/>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rPr>
          <w:rFonts w:ascii="仿宋" w:hAnsi="仿宋" w:eastAsia="仿宋" w:cs="仿宋"/>
          <w:sz w:val="24"/>
          <w:highlight w:val="none"/>
        </w:rPr>
        <w:sectPr>
          <w:pgSz w:w="16838" w:h="11906" w:orient="landscape"/>
          <w:pgMar w:top="1984" w:right="850" w:bottom="1701" w:left="850" w:header="851" w:footer="992" w:gutter="0"/>
          <w:cols w:space="425" w:num="1"/>
          <w:docGrid w:type="lines" w:linePitch="312" w:charSpace="0"/>
        </w:sectPr>
      </w:pPr>
      <w:r>
        <w:rPr>
          <w:rFonts w:ascii="仿宋" w:hAnsi="仿宋" w:eastAsia="仿宋" w:cs="仿宋"/>
          <w:sz w:val="24"/>
          <w:highlight w:val="none"/>
        </w:rPr>
        <w:br w:type="page"/>
      </w:r>
    </w:p>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p>
    <w:tbl>
      <w:tblPr>
        <w:tblStyle w:val="7"/>
        <w:tblW w:w="134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222"/>
        <w:gridCol w:w="2502"/>
        <w:gridCol w:w="3166"/>
        <w:gridCol w:w="2297"/>
        <w:gridCol w:w="2456"/>
        <w:gridCol w:w="2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464"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1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9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409" w:type="dxa"/>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w:t>
            </w:r>
          </w:p>
        </w:tc>
        <w:tc>
          <w:tcPr>
            <w:tcW w:w="245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9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12"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52"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66"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9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5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6"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9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66"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9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5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1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29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5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112"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4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259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1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9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94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16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29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56"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9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464"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pStyle w:val="2"/>
        <w:rPr>
          <w:rFonts w:hint="eastAsia" w:ascii="宋体" w:hAnsi="宋体" w:eastAsia="宋体" w:cs="宋体"/>
          <w:color w:val="FF0000"/>
          <w:kern w:val="2"/>
          <w:sz w:val="21"/>
          <w:szCs w:val="21"/>
          <w:lang w:val="en-US" w:eastAsia="zh-CN" w:bidi="ar"/>
        </w:rPr>
      </w:pPr>
    </w:p>
    <w:p>
      <w:pPr>
        <w:rPr>
          <w:rFonts w:hint="eastAsia"/>
          <w:lang w:val="en-US" w:eastAsia="zh-CN"/>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tbl>
      <w:tblPr>
        <w:tblStyle w:val="7"/>
        <w:tblW w:w="12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6"/>
        <w:gridCol w:w="876"/>
        <w:gridCol w:w="656"/>
        <w:gridCol w:w="656"/>
        <w:gridCol w:w="656"/>
        <w:gridCol w:w="656"/>
        <w:gridCol w:w="656"/>
        <w:gridCol w:w="876"/>
        <w:gridCol w:w="656"/>
        <w:gridCol w:w="656"/>
        <w:gridCol w:w="65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05"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部门：广西河池市环江毛南族自治县红茂矿区管理处</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30"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375"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4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1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8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8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3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3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5"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3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2705"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984" w:right="1417" w:bottom="1701" w:left="1701"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红茂矿区管理处</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16.64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2.57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665.03</w:t>
      </w:r>
      <w:r>
        <w:rPr>
          <w:rFonts w:ascii="仿宋" w:hAnsi="仿宋" w:eastAsia="仿宋" w:cs="仿宋"/>
          <w:sz w:val="32"/>
          <w:u w:color="auto"/>
        </w:rPr>
        <w:t>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16.64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2.57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：本年度基本支出较上年减少12.66万元，原因为本年度一人退休等；本年度项目支出较上年增加29.3万元，原因为本年度多红茂矿区异地搬迁安置工程款等经费。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本单位没有上年结转和结余。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784725" cy="3295650"/>
            <wp:effectExtent l="4445" t="5080" r="11430"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16.64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2.57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sz w:val="32"/>
          <w:szCs w:val="32"/>
        </w:rPr>
        <w:t>主要用于本部门为保证日常运转发生的基本支出和为完成各项工作任务、保障</w:t>
      </w:r>
      <w:r>
        <w:rPr>
          <w:rFonts w:hint="eastAsia" w:ascii="仿宋" w:hAnsi="仿宋" w:eastAsia="仿宋" w:cs="仿宋_GB2312"/>
          <w:kern w:val="0"/>
          <w:sz w:val="32"/>
          <w:szCs w:val="32"/>
        </w:rPr>
        <w:t>单位事业</w:t>
      </w:r>
      <w:r>
        <w:rPr>
          <w:rFonts w:hint="eastAsia" w:ascii="仿宋" w:hAnsi="仿宋" w:eastAsia="仿宋"/>
          <w:sz w:val="32"/>
          <w:szCs w:val="32"/>
        </w:rPr>
        <w:t>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0.92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14.49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w:t>
      </w:r>
      <w:r>
        <w:rPr>
          <w:rFonts w:hint="eastAsia" w:ascii="仿宋" w:hAnsi="仿宋" w:eastAsia="仿宋" w:cs="仿宋"/>
          <w:color w:val="auto"/>
          <w:kern w:val="2"/>
          <w:sz w:val="32"/>
          <w:szCs w:val="32"/>
          <w:highlight w:val="none"/>
          <w:lang w:val="en-US" w:eastAsia="zh-CN" w:bidi="ar"/>
        </w:rPr>
        <w:t>因是：本年度一般公共服务支出基本支出较上年多工会经费支出4.05万元；项目支出较上年少3.13万元，主要原因是上年度项目多了社区换届选举经费等。</w:t>
      </w:r>
    </w:p>
    <w:p>
      <w:pPr>
        <w:spacing w:line="560" w:lineRule="exact"/>
        <w:ind w:firstLine="640" w:firstLineChars="200"/>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129.95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hAnsi="仿宋" w:eastAsia="仿宋"/>
          <w:sz w:val="32"/>
          <w:szCs w:val="32"/>
        </w:rPr>
        <w:t>机关单位基本养老保险缴费</w:t>
      </w:r>
      <w:r>
        <w:rPr>
          <w:rFonts w:hint="eastAsia" w:hAnsi="仿宋" w:eastAsia="仿宋"/>
          <w:sz w:val="32"/>
          <w:szCs w:val="32"/>
          <w:lang w:eastAsia="zh-CN"/>
        </w:rPr>
        <w:t>、退休教师待遇补差资金发放</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减少2.</w:t>
      </w:r>
      <w:r>
        <w:rPr>
          <w:rFonts w:hint="eastAsia" w:ascii="仿宋" w:hAnsi="仿宋" w:eastAsia="仿宋" w:cs="仿宋"/>
          <w:sz w:val="32"/>
          <w:szCs w:val="32"/>
          <w:highlight w:val="none"/>
          <w:lang w:val="en-US" w:eastAsia="zh-CN" w:bidi="ar"/>
        </w:rPr>
        <w:t>38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1.80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本年度一人退休，</w:t>
      </w:r>
      <w:r>
        <w:rPr>
          <w:rFonts w:hint="eastAsia" w:hAnsi="仿宋" w:eastAsia="仿宋"/>
          <w:color w:val="auto"/>
          <w:sz w:val="32"/>
          <w:szCs w:val="32"/>
        </w:rPr>
        <w:t>机关单位基本养老保险缴费</w:t>
      </w:r>
      <w:r>
        <w:rPr>
          <w:rFonts w:hint="eastAsia" w:hAnsi="仿宋" w:eastAsia="仿宋"/>
          <w:color w:val="auto"/>
          <w:sz w:val="32"/>
          <w:szCs w:val="32"/>
          <w:lang w:eastAsia="zh-CN"/>
        </w:rPr>
        <w:t>较上年减少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eastAsia="zh-CN"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49.63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：支付</w:t>
      </w:r>
      <w:r>
        <w:rPr>
          <w:rFonts w:hint="eastAsia" w:ascii="仿宋" w:hAnsi="仿宋" w:eastAsia="仿宋" w:cs="仿宋"/>
          <w:color w:val="auto"/>
          <w:sz w:val="32"/>
          <w:szCs w:val="32"/>
          <w:highlight w:val="none"/>
          <w:lang w:val="en-US" w:eastAsia="zh-CN"/>
        </w:rPr>
        <w:t>红茂矿区异地搬迁安置工程款以及退休人员社会化管理补助资金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37.62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增长</w:t>
      </w:r>
      <w:r>
        <w:rPr>
          <w:rFonts w:hint="eastAsia" w:ascii="仿宋" w:hAnsi="仿宋" w:eastAsia="仿宋" w:cs="仿宋"/>
          <w:color w:val="auto"/>
          <w:sz w:val="32"/>
          <w:szCs w:val="32"/>
          <w:highlight w:val="none"/>
          <w:lang w:val="en-US" w:eastAsia="zh-CN" w:bidi="ar"/>
        </w:rPr>
        <w:t>313.24</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主要原因是：本年度项目支出较上年多</w:t>
      </w:r>
      <w:r>
        <w:rPr>
          <w:rFonts w:hint="eastAsia" w:ascii="仿宋" w:hAnsi="仿宋" w:eastAsia="仿宋" w:cs="仿宋"/>
          <w:color w:val="auto"/>
          <w:sz w:val="32"/>
          <w:szCs w:val="32"/>
          <w:highlight w:val="none"/>
          <w:lang w:val="en-US" w:eastAsia="zh-CN"/>
        </w:rPr>
        <w:t>红茂矿区异地搬迁安置工程款项目</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57.39</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：社区干部工资支出和办公费支出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3.76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增长</w:t>
      </w:r>
      <w:r>
        <w:rPr>
          <w:rFonts w:hint="eastAsia" w:ascii="仿宋" w:hAnsi="仿宋" w:eastAsia="仿宋" w:cs="仿宋"/>
          <w:color w:val="auto"/>
          <w:sz w:val="32"/>
          <w:szCs w:val="32"/>
          <w:highlight w:val="none"/>
          <w:lang w:val="en-US" w:eastAsia="zh-CN" w:bidi="ar"/>
        </w:rPr>
        <w:t>7.01</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主要原因是：社区干部工资调整等。</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hAnsi="仿宋" w:eastAsia="仿宋"/>
          <w:sz w:val="32"/>
          <w:szCs w:val="32"/>
        </w:rPr>
        <w:t>资源勘探</w:t>
      </w:r>
      <w:r>
        <w:rPr>
          <w:rFonts w:hint="eastAsia" w:hAnsi="仿宋" w:eastAsia="仿宋"/>
          <w:sz w:val="32"/>
          <w:szCs w:val="32"/>
          <w:lang w:eastAsia="zh-CN"/>
        </w:rPr>
        <w:t>工业</w:t>
      </w:r>
      <w:r>
        <w:rPr>
          <w:rFonts w:hint="eastAsia" w:hAnsi="仿宋" w:eastAsia="仿宋"/>
          <w:sz w:val="32"/>
          <w:szCs w:val="32"/>
        </w:rPr>
        <w:t>信息</w:t>
      </w:r>
      <w:r>
        <w:rPr>
          <w:rFonts w:hint="eastAsia" w:hAnsi="仿宋" w:eastAsia="仿宋"/>
          <w:sz w:val="32"/>
          <w:szCs w:val="32"/>
          <w:lang w:eastAsia="zh-CN"/>
        </w:rPr>
        <w:t>等</w:t>
      </w:r>
      <w:r>
        <w:rPr>
          <w:rFonts w:hint="eastAsia" w:hAnsi="仿宋" w:eastAsia="仿宋"/>
          <w:sz w:val="32"/>
          <w:szCs w:val="32"/>
        </w:rPr>
        <w:t>支</w:t>
      </w:r>
      <w:r>
        <w:rPr>
          <w:rFonts w:hint="eastAsia" w:hAnsi="仿宋" w:eastAsia="仿宋"/>
          <w:color w:val="auto"/>
          <w:sz w:val="32"/>
          <w:szCs w:val="32"/>
        </w:rPr>
        <w:t>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w:t>
      </w:r>
      <w:r>
        <w:rPr>
          <w:rFonts w:hint="eastAsia" w:ascii="仿宋" w:hAnsi="仿宋" w:eastAsia="仿宋" w:cs="仿宋"/>
          <w:color w:val="auto"/>
          <w:sz w:val="32"/>
          <w:szCs w:val="32"/>
          <w:highlight w:val="none"/>
          <w:lang w:val="en-US" w:eastAsia="zh-CN" w:bidi="ar"/>
        </w:rPr>
        <w:t>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hAnsi="仿宋" w:eastAsia="仿宋"/>
          <w:color w:val="auto"/>
          <w:sz w:val="32"/>
          <w:szCs w:val="32"/>
          <w:lang w:val="en-US" w:eastAsia="zh-CN"/>
        </w:rPr>
        <w:t>345.2</w:t>
      </w:r>
      <w:r>
        <w:rPr>
          <w:rFonts w:hint="eastAsia" w:hAnsi="仿宋" w:eastAsia="仿宋"/>
          <w:color w:val="auto"/>
          <w:sz w:val="32"/>
          <w:szCs w:val="32"/>
        </w:rPr>
        <w:t>万元：主要用于为保障本单位正常运转、完成日常工作任务而发生的人员支出和公用支出</w:t>
      </w:r>
      <w:r>
        <w:rPr>
          <w:rFonts w:hint="eastAsia" w:hAnsi="仿宋" w:eastAsia="仿宋"/>
          <w:color w:val="auto"/>
          <w:sz w:val="32"/>
          <w:szCs w:val="32"/>
          <w:lang w:val="en-US" w:eastAsia="zh-CN"/>
        </w:rPr>
        <w:t>216.56</w:t>
      </w:r>
      <w:r>
        <w:rPr>
          <w:rFonts w:hint="eastAsia" w:hAnsi="仿宋" w:eastAsia="仿宋"/>
          <w:color w:val="auto"/>
          <w:sz w:val="32"/>
          <w:szCs w:val="32"/>
        </w:rPr>
        <w:t>万元，为完成特定事业发展的项目支出</w:t>
      </w:r>
      <w:r>
        <w:rPr>
          <w:rFonts w:hint="eastAsia" w:hAnsi="仿宋" w:eastAsia="仿宋"/>
          <w:color w:val="auto"/>
          <w:sz w:val="32"/>
          <w:szCs w:val="32"/>
          <w:lang w:val="en-US" w:eastAsia="zh-CN"/>
        </w:rPr>
        <w:t>128.64</w:t>
      </w:r>
      <w:r>
        <w:rPr>
          <w:rFonts w:hint="eastAsia" w:hAnsi="仿宋" w:eastAsia="仿宋"/>
          <w:color w:val="auto"/>
          <w:sz w:val="32"/>
          <w:szCs w:val="32"/>
        </w:rPr>
        <w:t>万元。资源勘探</w:t>
      </w:r>
      <w:r>
        <w:rPr>
          <w:rFonts w:hint="eastAsia" w:hAnsi="仿宋" w:eastAsia="仿宋"/>
          <w:color w:val="auto"/>
          <w:sz w:val="32"/>
          <w:szCs w:val="32"/>
          <w:lang w:eastAsia="zh-CN"/>
        </w:rPr>
        <w:t>工业</w:t>
      </w:r>
      <w:r>
        <w:rPr>
          <w:rFonts w:hint="eastAsia" w:hAnsi="仿宋" w:eastAsia="仿宋"/>
          <w:color w:val="auto"/>
          <w:sz w:val="32"/>
          <w:szCs w:val="32"/>
        </w:rPr>
        <w:t>信息</w:t>
      </w:r>
      <w:r>
        <w:rPr>
          <w:rFonts w:hint="eastAsia" w:hAnsi="仿宋" w:eastAsia="仿宋"/>
          <w:color w:val="auto"/>
          <w:sz w:val="32"/>
          <w:szCs w:val="32"/>
          <w:lang w:eastAsia="zh-CN"/>
        </w:rPr>
        <w:t>等</w:t>
      </w:r>
      <w:r>
        <w:rPr>
          <w:rFonts w:hint="eastAsia" w:hAnsi="仿宋" w:eastAsia="仿宋"/>
          <w:color w:val="auto"/>
          <w:sz w:val="32"/>
          <w:szCs w:val="32"/>
        </w:rPr>
        <w:t>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减少</w:t>
      </w:r>
      <w:r>
        <w:rPr>
          <w:rFonts w:hint="eastAsia" w:ascii="仿宋" w:hAnsi="仿宋" w:eastAsia="仿宋" w:cs="仿宋"/>
          <w:color w:val="auto"/>
          <w:sz w:val="32"/>
          <w:szCs w:val="32"/>
          <w:highlight w:val="none"/>
          <w:lang w:val="en-US" w:eastAsia="zh-CN" w:bidi="ar"/>
        </w:rPr>
        <w:t>1.27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下降</w:t>
      </w:r>
      <w:r>
        <w:rPr>
          <w:rFonts w:hint="eastAsia" w:ascii="仿宋" w:hAnsi="仿宋" w:eastAsia="仿宋" w:cs="仿宋"/>
          <w:color w:val="auto"/>
          <w:sz w:val="32"/>
          <w:szCs w:val="32"/>
          <w:highlight w:val="none"/>
          <w:lang w:val="en-US" w:eastAsia="zh-CN" w:bidi="ar"/>
        </w:rPr>
        <w:t>0.37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主要原因是：人员减少以及项目变动等。</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u w:color="auto"/>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color w:val="auto"/>
          <w:sz w:val="32"/>
          <w:szCs w:val="32"/>
          <w:highlight w:val="none"/>
          <w:lang w:val="en-US" w:eastAsia="zh-CN" w:bidi="ar"/>
        </w:rPr>
        <w:t>23.25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_GB2312"/>
          <w:color w:val="auto"/>
          <w:kern w:val="0"/>
          <w:sz w:val="32"/>
          <w:szCs w:val="32"/>
        </w:rPr>
        <w:t>按照国家政策规定向职工发放的住房公积金、提租补贴、购房补贴等住房改革方</w:t>
      </w:r>
      <w:r>
        <w:rPr>
          <w:rFonts w:hint="eastAsia" w:ascii="仿宋" w:hAnsi="仿宋" w:eastAsia="仿宋" w:cs="仿宋_GB2312"/>
          <w:color w:val="auto"/>
          <w:spacing w:val="-3"/>
          <w:kern w:val="0"/>
          <w:sz w:val="32"/>
          <w:szCs w:val="32"/>
        </w:rPr>
        <w:t>面的支出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0.58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2.43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7.其他支出（229类）52.33万元：主要用于：发放职工的奖励性补贴以及伙食费补助。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21.43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29.05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主要原因是：本年度发放奖励性补贴较上年减少。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w:t>
      </w:r>
      <w:r>
        <w:rPr>
          <w:rFonts w:hint="default" w:ascii="仿宋_GB2312" w:hAnsi="微软雅黑" w:eastAsia="仿宋_GB2312" w:cs="仿宋_GB2312"/>
          <w:i w:val="0"/>
          <w:iCs w:val="0"/>
          <w:caps w:val="0"/>
          <w:color w:val="auto"/>
          <w:spacing w:val="0"/>
          <w:sz w:val="31"/>
          <w:szCs w:val="31"/>
          <w:highlight w:val="none"/>
          <w:shd w:val="clear" w:color="auto" w:fill="FFFFFF"/>
        </w:rPr>
        <w:t>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：本单位无结余分配。</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年末结转和结余</w:t>
      </w:r>
      <w:r>
        <w:rPr>
          <w:rFonts w:hint="eastAsia" w:ascii="仿宋" w:hAnsi="仿宋" w:eastAsia="仿宋" w:cs="仿宋"/>
          <w:color w:val="auto"/>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47235" cy="26035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红茂矿区管理处</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16.64</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2.57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384.74</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280.29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红茂矿区管理处</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407.79</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163.08</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sz w:val="32"/>
          <w:szCs w:val="32"/>
          <w:highlight w:val="none"/>
          <w:lang w:eastAsia="zh-CN" w:bidi="ar"/>
        </w:rPr>
        <w:t>一般公共服</w:t>
      </w:r>
      <w:r>
        <w:rPr>
          <w:rFonts w:hint="eastAsia" w:ascii="仿宋" w:hAnsi="仿宋" w:eastAsia="仿宋" w:cs="仿宋"/>
          <w:color w:val="auto"/>
          <w:sz w:val="32"/>
          <w:szCs w:val="32"/>
          <w:highlight w:val="none"/>
          <w:lang w:eastAsia="zh-CN" w:bidi="ar"/>
        </w:rPr>
        <w:t>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w:t>
      </w:r>
      <w:r>
        <w:rPr>
          <w:rFonts w:hint="eastAsia" w:ascii="仿宋" w:hAnsi="仿宋" w:eastAsia="仿宋" w:cs="仿宋"/>
          <w:color w:val="auto"/>
          <w:sz w:val="32"/>
          <w:szCs w:val="32"/>
          <w:highlight w:val="none"/>
          <w:lang w:val="en-US" w:eastAsia="zh-CN" w:bidi="ar"/>
        </w:rPr>
        <w:t>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olor w:val="auto"/>
          <w:sz w:val="32"/>
          <w:szCs w:val="32"/>
          <w:highlight w:val="none"/>
        </w:rPr>
        <w:t>年初预算为</w:t>
      </w:r>
      <w:r>
        <w:rPr>
          <w:rFonts w:hint="eastAsia" w:ascii="仿宋" w:hAnsi="仿宋" w:eastAsia="仿宋"/>
          <w:color w:val="auto"/>
          <w:sz w:val="32"/>
          <w:szCs w:val="32"/>
          <w:highlight w:val="none"/>
          <w:lang w:val="en-US" w:eastAsia="zh-CN"/>
        </w:rPr>
        <w:t>4.05</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val="en-US" w:eastAsia="zh-CN"/>
        </w:rPr>
        <w:t>7.27</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179.51</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星级党组织所在村办公经费、党员培训费及维稳经费共计3.22万元均为年中追加项目，年初未预算。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58"/>
        <w:gridCol w:w="88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星级社区办公费</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4.05</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工会经费</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2013202</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党员培训费</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2013601</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0.97</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二十大维稳经费</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4.05</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7.27</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179.51%</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追加项目年初未预算</w:t>
            </w: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274820" cy="2539365"/>
            <wp:effectExtent l="4445" t="4445" r="6985" b="8890"/>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auto"/>
          <w:sz w:val="32"/>
          <w:szCs w:val="32"/>
          <w:highlight w:val="none"/>
          <w:lang w:val="en-US" w:eastAsia="zh-CN"/>
        </w:rPr>
      </w:pP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32.41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129.95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400.96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1、人员变动导致基本支出养老保险缴费较预算数减少1.25万元；2、退休教师待遇补差资金98.79万元为年中追加项目，年初未预算。</w:t>
      </w:r>
    </w:p>
    <w:p>
      <w:pPr>
        <w:jc w:val="left"/>
        <w:rPr>
          <w:rFonts w:hint="eastAsia" w:ascii="仿宋" w:hAnsi="仿宋" w:eastAsia="仿宋"/>
          <w:color w:val="FF0000"/>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58"/>
        <w:gridCol w:w="88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32.41</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31.16</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96.14%</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机关事业单位基本养老保险缴费支出</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1人退休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98.79</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退休教师待遇补差资金</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32.41</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129.95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400.96%</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追加项目年初未预算</w:t>
            </w:r>
          </w:p>
        </w:tc>
      </w:tr>
    </w:tbl>
    <w:p>
      <w:pPr>
        <w:jc w:val="left"/>
        <w:rPr>
          <w:rFonts w:hint="eastAsia" w:ascii="仿宋" w:hAnsi="仿宋" w:eastAsia="仿宋"/>
          <w:sz w:val="32"/>
          <w:szCs w:val="32"/>
          <w:highlight w:val="none"/>
        </w:rPr>
      </w:pPr>
    </w:p>
    <w:p>
      <w:pPr>
        <w:jc w:val="center"/>
        <w:rPr>
          <w:rFonts w:hint="eastAsia" w:ascii="仿宋" w:hAnsi="仿宋" w:eastAsia="仿宋"/>
          <w:color w:val="FF0000"/>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sz w:val="32"/>
          <w:szCs w:val="32"/>
          <w:highlight w:val="none"/>
          <w:lang w:eastAsia="zh-CN" w:bidi="ar"/>
        </w:rPr>
        <w:t>城乡社区支出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2</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红茂矿区异地搬迁安置工程款47.10万元及退休人员社会化管理补助资金2.53万元</w:t>
      </w:r>
      <w:r>
        <w:rPr>
          <w:rFonts w:hint="eastAsia" w:ascii="仿宋" w:hAnsi="仿宋" w:eastAsia="仿宋" w:cs="仿宋"/>
          <w:color w:val="auto"/>
          <w:kern w:val="2"/>
          <w:sz w:val="32"/>
          <w:szCs w:val="32"/>
          <w:highlight w:val="none"/>
          <w:lang w:val="en-US" w:eastAsia="zh-CN" w:bidi="ar"/>
        </w:rPr>
        <w:t>均为年中追加项目，年初未预算。</w:t>
      </w:r>
    </w:p>
    <w:p>
      <w:pPr>
        <w:jc w:val="left"/>
        <w:rPr>
          <w:rFonts w:hint="eastAsia" w:ascii="仿宋" w:hAnsi="仿宋" w:eastAsia="仿宋"/>
          <w:color w:val="FF0000"/>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440"/>
        <w:gridCol w:w="82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2129999</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其他城乡社区支出</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49.63</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红茂矿区异地搬迁安置工程款、退休人员社会化管理补助资金</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年中追加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49.63</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追加项目年初未预算</w:t>
            </w: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5" name="图表 5"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auto"/>
          <w:sz w:val="32"/>
          <w:szCs w:val="32"/>
          <w:highlight w:val="none"/>
          <w:lang w:val="en-US" w:eastAsia="zh-CN"/>
        </w:rPr>
      </w:pP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53.05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57.39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108.18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社区干部工资调整等。</w:t>
      </w:r>
    </w:p>
    <w:p>
      <w:pPr>
        <w:jc w:val="left"/>
        <w:rPr>
          <w:rFonts w:hint="eastAsia" w:ascii="仿宋" w:hAnsi="仿宋" w:eastAsia="仿宋"/>
          <w:color w:val="FF0000"/>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440"/>
        <w:gridCol w:w="82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2130705</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对村民委员会和村党支部的补助</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53.05</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57.39</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108.18%</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社区干部工资支出和办公费支出</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社区干部工资调整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53.05</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57.39</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108.18%</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社区干部工资调整</w:t>
            </w: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olor w:val="FF0000"/>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7" name="图表 7"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hAnsi="仿宋" w:eastAsia="仿宋"/>
          <w:sz w:val="32"/>
          <w:szCs w:val="32"/>
        </w:rPr>
        <w:t>资源勘探</w:t>
      </w:r>
      <w:r>
        <w:rPr>
          <w:rFonts w:hint="eastAsia" w:hAnsi="仿宋" w:eastAsia="仿宋"/>
          <w:sz w:val="32"/>
          <w:szCs w:val="32"/>
          <w:lang w:eastAsia="zh-CN"/>
        </w:rPr>
        <w:t>工业</w:t>
      </w:r>
      <w:r>
        <w:rPr>
          <w:rFonts w:hint="eastAsia" w:hAnsi="仿宋" w:eastAsia="仿宋"/>
          <w:sz w:val="32"/>
          <w:szCs w:val="32"/>
        </w:rPr>
        <w:t>信息</w:t>
      </w:r>
      <w:r>
        <w:rPr>
          <w:rFonts w:hint="eastAsia" w:hAnsi="仿宋" w:eastAsia="仿宋"/>
          <w:sz w:val="32"/>
          <w:szCs w:val="32"/>
          <w:lang w:eastAsia="zh-CN"/>
        </w:rPr>
        <w:t>等</w:t>
      </w:r>
      <w:r>
        <w:rPr>
          <w:rFonts w:hint="eastAsia" w:hAnsi="仿宋" w:eastAsia="仿宋"/>
          <w:sz w:val="32"/>
          <w:szCs w:val="32"/>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w:t>
      </w:r>
      <w:r>
        <w:rPr>
          <w:rFonts w:hint="eastAsia" w:ascii="仿宋" w:hAnsi="仿宋" w:eastAsia="仿宋" w:cs="仿宋"/>
          <w:sz w:val="32"/>
          <w:szCs w:val="32"/>
          <w:highlight w:val="none"/>
          <w:lang w:val="en-US" w:eastAsia="zh-CN" w:bidi="ar"/>
        </w:rPr>
        <w:t>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293.97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345.2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117.43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人员减少以及部分项目因资金紧缺未能安排支付。</w:t>
      </w:r>
    </w:p>
    <w:p>
      <w:pPr>
        <w:jc w:val="left"/>
        <w:rPr>
          <w:rFonts w:hint="eastAsia" w:ascii="仿宋" w:hAnsi="仿宋" w:eastAsia="仿宋"/>
          <w:color w:val="FF0000"/>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440"/>
        <w:gridCol w:w="82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2150199</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其他资源勘探业支出</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195.46</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215.7</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110.36%</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为保障本单位正常运转、完成日常工作任务而发生的人员支出和公用支出</w:t>
            </w:r>
            <w:r>
              <w:rPr>
                <w:rFonts w:hint="eastAsia" w:ascii="宋体" w:hAnsi="宋体" w:eastAsia="宋体" w:cs="宋体"/>
                <w:i w:val="0"/>
                <w:iCs w:val="0"/>
                <w:color w:val="000000"/>
                <w:sz w:val="20"/>
                <w:szCs w:val="20"/>
                <w:highlight w:val="none"/>
                <w:u w:val="none"/>
                <w:lang w:val="en-US" w:eastAsia="zh-CN"/>
              </w:rPr>
              <w:t>、为完成特定事业发展的项目支出</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追加项目年初未预算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2159999</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其他资源勘探工业信息等支出</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98.51</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131.46%</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发放基本工资和经补贴</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工资调整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293.97</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215.7</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163.08%</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追加项目年初未预算</w:t>
            </w:r>
          </w:p>
        </w:tc>
      </w:tr>
    </w:tbl>
    <w:p>
      <w:pPr>
        <w:jc w:val="left"/>
        <w:rPr>
          <w:rFonts w:hint="eastAsia"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9" name="图表 9"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24.31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23.25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95.64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本年度1人退休。</w:t>
      </w:r>
    </w:p>
    <w:p>
      <w:pPr>
        <w:jc w:val="left"/>
        <w:rPr>
          <w:rFonts w:hint="eastAsia" w:ascii="仿宋" w:hAnsi="仿宋" w:eastAsia="仿宋"/>
          <w:color w:val="FF0000"/>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440"/>
        <w:gridCol w:w="82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住房改革支出</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24.31</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23.25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95.64%</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按照</w:t>
            </w:r>
            <w:r>
              <w:rPr>
                <w:rFonts w:hint="eastAsia" w:ascii="宋体" w:hAnsi="宋体" w:eastAsia="宋体" w:cs="宋体"/>
                <w:i w:val="0"/>
                <w:iCs w:val="0"/>
                <w:color w:val="000000"/>
                <w:sz w:val="20"/>
                <w:szCs w:val="20"/>
                <w:highlight w:val="none"/>
                <w:u w:val="none"/>
                <w:lang w:val="en-US" w:eastAsia="zh-CN"/>
              </w:rPr>
              <w:t>政策</w:t>
            </w:r>
            <w:r>
              <w:rPr>
                <w:rFonts w:hint="default" w:ascii="宋体" w:hAnsi="宋体" w:eastAsia="宋体" w:cs="宋体"/>
                <w:i w:val="0"/>
                <w:iCs w:val="0"/>
                <w:color w:val="000000"/>
                <w:sz w:val="20"/>
                <w:szCs w:val="20"/>
                <w:highlight w:val="none"/>
                <w:u w:val="none"/>
                <w:lang w:val="en-US" w:eastAsia="zh-CN"/>
              </w:rPr>
              <w:t>规定向职工发放的住房公积金</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24.31</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23.25</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95.64%</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人员减少</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1" name="图表 11"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color w:val="auto"/>
          <w:kern w:val="2"/>
          <w:sz w:val="32"/>
          <w:szCs w:val="32"/>
          <w:highlight w:val="none"/>
          <w:lang w:val="en-US" w:eastAsia="zh-CN" w:bidi="ar"/>
        </w:rPr>
        <w:t>其他支出（229类）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52.33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奖励性绩效及伙食费补助，年初未预算。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358"/>
        <w:gridCol w:w="885"/>
        <w:gridCol w:w="765"/>
        <w:gridCol w:w="965"/>
        <w:gridCol w:w="1960"/>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52.33</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发放职工的奖励性补贴以及伙食费补助</w:t>
            </w: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年初未预算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3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7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52.33</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6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6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追加项目年初未预算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红茂矿区管理处</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665.03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363.21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21.53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293.37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102.04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伙食补助费年初未预算等。</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73.72万元，30102津贴补贴59.54万元，30103奖金71.33万元，30106伙食补助费4.40万元，30107绩效工资15.62万元，30108机关事业单位基本养老保险缴费31.16万元，30110职工基本医疗保险缴费12.98万元，30111公务员医疗补助缴费0万元，30112其他社会保障缴费1.36万元，30113住房公积金23.25万元，30199其他工资福利支出5.29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060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21.53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95.94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财政资金紧缺，部分公用经费未能安排支付。</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7.42万元，30205水费0.36万元，30206电费2.02万元，30207邮电费0.01万元，30211差旅费2.05万元，30215会议费0.55万元，30216培训费0万元，30226劳务费0.20万元，30228工会经费4.05万元，30231公务用车运行维护费4.89万元，30299其他商品和服务支出0.17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42130" cy="2244725"/>
            <wp:effectExtent l="4445" t="4445" r="15875" b="1778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69.84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372.68</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主要原因是：社区干部工资年初预算时放在“30199其他工资福利支出”科目下，后因使用科目不正确，决算时放在“30305生活补助”科目下。</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30301离休费0万元，30302退休费0万元，30305生活补助69.84万元。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本单位无债务利息及费用支出。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42130" cy="2807335"/>
            <wp:effectExtent l="4445" t="4445" r="15875" b="762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本单位无资本性支出。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本单位无其他支出。</w:t>
      </w:r>
    </w:p>
    <w:p>
      <w:pPr>
        <w:jc w:val="left"/>
        <w:rPr>
          <w:rFonts w:hint="default"/>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35225"/>
            <wp:effectExtent l="5080" t="4445" r="15875" b="1778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left"/>
        <w:rPr>
          <w:rFonts w:hint="eastAsia" w:ascii="仿宋" w:hAnsi="仿宋" w:eastAsia="仿宋" w:cs="仿宋"/>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红茂矿区管理处</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 w:hAnsi="仿宋" w:eastAsia="仿宋" w:cs="仿宋"/>
          <w:color w:val="auto"/>
          <w:sz w:val="32"/>
          <w:szCs w:val="32"/>
          <w:highlight w:val="none"/>
          <w:lang w:eastAsia="zh-CN"/>
        </w:rPr>
        <w:t>红茂矿区管理处</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仿宋_GB2312" w:eastAsia="仿宋_GB2312" w:cs="仿宋_GB2312"/>
          <w:color w:val="auto"/>
          <w:sz w:val="32"/>
          <w:u w:color="auto"/>
          <w:lang w:val="en-US" w:eastAsia="zh-CN"/>
        </w:rPr>
        <w:t>安排的支出</w:t>
      </w:r>
      <w:bookmarkStart w:id="4" w:name="_GoBack"/>
      <w:bookmarkEnd w:id="4"/>
      <w:r>
        <w:rPr>
          <w:rFonts w:hint="eastAsia" w:ascii="仿宋_GB2312" w:hAnsi="Times New Roman" w:eastAsia="仿宋_GB2312" w:cs="Times New Roman"/>
          <w:color w:val="auto"/>
          <w:sz w:val="32"/>
          <w:szCs w:val="32"/>
        </w:rPr>
        <w:t>。</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4.89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1.16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本年度公务用车数量较上年增加一辆环卫车。</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4.89</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left="-10" w:leftChars="0" w:firstLine="640" w:firstLineChars="0"/>
        <w:jc w:val="left"/>
        <w:rPr>
          <w:rFonts w:hint="eastAsia" w:ascii="仿宋_GB2312" w:hAnsi="Times New Roman" w:eastAsia="仿宋_GB2312" w:cs="Times New Roman"/>
          <w:color w:val="auto"/>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本年无因公出国（境）费支出</w:t>
      </w:r>
      <w:r>
        <w:rPr>
          <w:rFonts w:hint="eastAsia" w:ascii="仿宋_GB2312" w:hAnsi="Times New Roman" w:eastAsia="仿宋_GB2312" w:cs="Times New Roman"/>
          <w:color w:val="auto"/>
          <w:sz w:val="32"/>
          <w:szCs w:val="32"/>
        </w:rPr>
        <w:t>。</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hint="eastAsia" w:ascii="仿宋" w:hAnsi="仿宋" w:eastAsia="仿宋" w:cs="仿宋"/>
          <w:color w:val="auto"/>
          <w:sz w:val="32"/>
          <w:u w:color="auto"/>
          <w:lang w:val="en-US" w:eastAsia="zh-CN"/>
        </w:rPr>
        <w:t>4.89</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4.89</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val="en-US" w:eastAsia="zh-CN"/>
        </w:rPr>
        <w:t>1.16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w:t>
      </w:r>
      <w:r>
        <w:rPr>
          <w:rFonts w:hint="eastAsia" w:ascii="仿宋" w:hAnsi="仿宋" w:eastAsia="仿宋" w:cs="仿宋"/>
          <w:color w:val="auto"/>
          <w:sz w:val="32"/>
          <w:szCs w:val="32"/>
          <w:highlight w:val="none"/>
        </w:rPr>
        <w:t>要原因是：机要文件交换、市内因公出行以及开展</w:t>
      </w:r>
      <w:r>
        <w:rPr>
          <w:rFonts w:hint="eastAsia" w:ascii="仿宋" w:hAnsi="仿宋" w:eastAsia="仿宋" w:cs="仿宋"/>
          <w:color w:val="auto"/>
          <w:sz w:val="32"/>
          <w:szCs w:val="32"/>
          <w:highlight w:val="none"/>
          <w:lang w:eastAsia="zh-CN"/>
        </w:rPr>
        <w:t>退休人员认证等</w:t>
      </w:r>
      <w:r>
        <w:rPr>
          <w:rFonts w:hint="eastAsia" w:ascii="仿宋" w:hAnsi="仿宋" w:eastAsia="仿宋" w:cs="仿宋"/>
          <w:color w:val="auto"/>
          <w:sz w:val="32"/>
          <w:szCs w:val="32"/>
          <w:highlight w:val="none"/>
        </w:rPr>
        <w:t>业务所需车辆燃料费、维修费、过路过桥费、保险费等</w:t>
      </w:r>
      <w:r>
        <w:rPr>
          <w:rFonts w:hint="eastAsia" w:ascii="仿宋" w:hAnsi="仿宋" w:eastAsia="仿宋" w:cs="仿宋"/>
          <w:color w:val="auto"/>
          <w:sz w:val="32"/>
          <w:szCs w:val="32"/>
          <w:highlight w:val="none"/>
          <w:lang w:eastAsia="zh-CN"/>
        </w:rPr>
        <w:t>支出及</w:t>
      </w:r>
      <w:r>
        <w:rPr>
          <w:rFonts w:hint="eastAsia" w:ascii="仿宋" w:hAnsi="仿宋" w:eastAsia="仿宋" w:cs="仿宋"/>
          <w:color w:val="auto"/>
          <w:kern w:val="2"/>
          <w:sz w:val="32"/>
          <w:szCs w:val="32"/>
          <w:highlight w:val="none"/>
          <w:lang w:val="en-US" w:eastAsia="zh-CN" w:bidi="ar"/>
        </w:rPr>
        <w:t>本年度公务用车数量较上年增加一辆环卫车</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eastAsia="zh-CN"/>
        </w:rPr>
        <w:t>红茂矿区管理处</w:t>
      </w:r>
      <w:r>
        <w:rPr>
          <w:rFonts w:hint="eastAsia" w:ascii="仿宋" w:hAnsi="仿宋" w:eastAsia="仿宋" w:cs="仿宋"/>
          <w:color w:val="auto"/>
          <w:sz w:val="32"/>
          <w:szCs w:val="32"/>
          <w:highlight w:val="none"/>
        </w:rPr>
        <w:t>开支财政拨款的公务用车保有量为</w:t>
      </w:r>
      <w:r>
        <w:rPr>
          <w:rFonts w:hint="eastAsia" w:ascii="仿宋" w:hAnsi="仿宋" w:eastAsia="仿宋" w:cs="仿宋"/>
          <w:color w:val="auto"/>
          <w:sz w:val="32"/>
          <w:u w:color="auto"/>
          <w:lang w:val="en-US" w:eastAsia="zh-CN"/>
        </w:rPr>
        <w:t>3</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4.89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1.63</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eastAsia="zh-CN"/>
        </w:rPr>
        <w:t>较</w:t>
      </w:r>
      <w:r>
        <w:rPr>
          <w:rFonts w:hint="eastAsia" w:ascii="仿宋" w:hAnsi="仿宋" w:eastAsia="仿宋" w:cs="仿宋"/>
          <w:sz w:val="32"/>
          <w:szCs w:val="32"/>
          <w:highlight w:val="none"/>
        </w:rPr>
        <w:t>上年</w:t>
      </w:r>
      <w:r>
        <w:rPr>
          <w:rFonts w:hint="eastAsia" w:ascii="仿宋" w:hAnsi="仿宋" w:eastAsia="仿宋" w:cs="仿宋"/>
          <w:sz w:val="32"/>
          <w:szCs w:val="32"/>
          <w:highlight w:val="none"/>
          <w:lang w:eastAsia="zh-CN"/>
        </w:rPr>
        <w:t>无变动</w:t>
      </w:r>
      <w:r>
        <w:rPr>
          <w:rFonts w:hint="eastAsia" w:ascii="仿宋" w:hAnsi="仿宋" w:eastAsia="仿宋" w:cs="仿宋"/>
          <w:sz w:val="32"/>
          <w:szCs w:val="32"/>
          <w:highlight w:val="none"/>
        </w:rPr>
        <w:t>，</w:t>
      </w:r>
      <w:r>
        <w:rPr>
          <w:rFonts w:hint="eastAsia" w:ascii="仿宋" w:hAnsi="仿宋" w:eastAsia="仿宋" w:cs="仿宋"/>
          <w:color w:val="auto"/>
          <w:kern w:val="2"/>
          <w:sz w:val="32"/>
          <w:szCs w:val="32"/>
          <w:highlight w:val="none"/>
          <w:lang w:val="en-US" w:eastAsia="zh-CN" w:bidi="ar"/>
        </w:rPr>
        <w:t>主要原因是：本年度无公务接待费支出</w:t>
      </w:r>
      <w:r>
        <w:rPr>
          <w:rFonts w:hint="eastAsia" w:ascii="仿宋" w:hAnsi="仿宋" w:eastAsia="仿宋" w:cs="仿宋"/>
          <w:color w:val="auto"/>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本单位无机关运行经费支出</w:t>
      </w:r>
      <w:r>
        <w:rPr>
          <w:rFonts w:hint="eastAsia" w:ascii="仿宋" w:hAnsi="仿宋" w:eastAsia="仿宋" w:cs="仿宋"/>
          <w:color w:val="auto"/>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281.60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组织对“红安、红阳社区公共设施日常管理经费”等</w:t>
      </w:r>
      <w:r>
        <w:rPr>
          <w:rFonts w:hint="eastAsia" w:ascii="仿宋" w:hAnsi="仿宋" w:eastAsia="仿宋" w:cs="仿宋"/>
          <w:color w:val="000000" w:themeColor="text1"/>
          <w:sz w:val="32"/>
          <w:szCs w:val="32"/>
          <w:highlight w:val="none"/>
          <w:lang w:val="en-US" w:eastAsia="zh-CN"/>
          <w14:textFill>
            <w14:solidFill>
              <w14:schemeClr w14:val="tx1"/>
            </w14:solidFill>
          </w14:textFill>
        </w:rPr>
        <w:t>19</w:t>
      </w:r>
      <w:r>
        <w:rPr>
          <w:rFonts w:hint="eastAsia" w:ascii="仿宋" w:hAnsi="仿宋" w:eastAsia="仿宋" w:cs="仿宋"/>
          <w:color w:val="000000" w:themeColor="text1"/>
          <w:sz w:val="32"/>
          <w:szCs w:val="32"/>
          <w:highlight w:val="none"/>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281.60</w:t>
      </w:r>
      <w:r>
        <w:rPr>
          <w:rFonts w:hint="eastAsia" w:ascii="仿宋" w:hAnsi="仿宋" w:eastAsia="仿宋" w:cs="仿宋"/>
          <w:color w:val="000000" w:themeColor="text1"/>
          <w:sz w:val="32"/>
          <w:szCs w:val="32"/>
          <w:highlight w:val="none"/>
          <w14:textFill>
            <w14:solidFill>
              <w14:schemeClr w14:val="tx1"/>
            </w14:solidFill>
          </w14:textFill>
        </w:rPr>
        <w:t>万元，政府性基金预算支出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万元，国有资本经营预算支出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万元。从评价情况来看，</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本单位2022年度预算项目整体绩效自评98.04分，其中，指标完成自评90分，预算执行自评8.04分。</w:t>
      </w:r>
    </w:p>
    <w:p>
      <w:p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环江毛南族自治县红茂矿区管理处</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646.10</w:t>
      </w:r>
      <w:r>
        <w:rPr>
          <w:rFonts w:hint="eastAsia" w:ascii="仿宋" w:hAnsi="仿宋" w:eastAsia="仿宋" w:cs="仿宋"/>
          <w:color w:val="000000" w:themeColor="text1"/>
          <w:sz w:val="32"/>
          <w:szCs w:val="32"/>
          <w:highlight w:val="none"/>
          <w14:textFill>
            <w14:solidFill>
              <w14:schemeClr w14:val="tx1"/>
            </w14:solidFill>
          </w14:textFill>
        </w:rPr>
        <w:t>万元，政府性基金预算支出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万元。从评价情况来看，</w:t>
      </w:r>
      <w:r>
        <w:rPr>
          <w:rFonts w:hint="eastAsia" w:ascii="仿宋" w:hAnsi="仿宋" w:eastAsia="仿宋" w:cs="仿宋"/>
          <w:color w:val="000000" w:themeColor="text1"/>
          <w:sz w:val="32"/>
          <w:szCs w:val="32"/>
          <w:highlight w:val="none"/>
          <w:lang w:val="en-US" w:eastAsia="zh-CN"/>
          <w14:textFill>
            <w14:solidFill>
              <w14:schemeClr w14:val="tx1"/>
            </w14:solidFill>
          </w14:textFill>
        </w:rPr>
        <w:t>我单位高度重视绩效自评工作，成立了绩效自评工作组，明确目标要求，强化责任落实，确保绩效自评工作顺利开展。2022年度本单位预算项目支出19个，自评项目19个，自评覆盖100%，各预算项目支出及整体绩效自评工作如期完成。</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highlight w:val="none"/>
          <w:lang w:val="en-US" w:eastAsia="zh-CN"/>
          <w14:textFill>
            <w14:solidFill>
              <w14:schemeClr w14:val="tx1"/>
            </w14:solidFill>
          </w14:textFill>
        </w:rPr>
        <w:t>部门根据年初设定的绩效目标，管理处门面及基础设施维修工程项目自评得分为96分。发现的主要问题及原因：财政资金紧缺导致项目资金未完全支付。下一步改进措施：积极争取资金完成项目资金的结算。党支部组织生活经费项目自评得分为90分。发现的主要问题及原因：财政资金紧缺导致项目资金未支付。下一步改进措施：积极争取资金完成项目资金的结算。茂兰临管委工作经费项目自评得分为96.73分。发现的主要问题及原因：财政资金紧</w:t>
      </w:r>
      <w:r>
        <w:rPr>
          <w:rFonts w:hint="eastAsia" w:ascii="仿宋" w:hAnsi="仿宋" w:eastAsia="仿宋" w:cs="仿宋"/>
          <w:color w:val="000000" w:themeColor="text1"/>
          <w:sz w:val="32"/>
          <w:szCs w:val="32"/>
          <w:lang w:eastAsia="zh-CN"/>
          <w14:textFill>
            <w14:solidFill>
              <w14:schemeClr w14:val="tx1"/>
            </w14:solidFill>
          </w14:textFill>
        </w:rPr>
        <w:t>缺导致项目资金未完全支付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积极争取资金完成项目资金的结算</w:t>
      </w:r>
      <w:r>
        <w:rPr>
          <w:rFonts w:hint="eastAsia" w:ascii="仿宋" w:hAnsi="仿宋" w:eastAsia="仿宋" w:cs="仿宋"/>
          <w:color w:val="000000" w:themeColor="text1"/>
          <w:sz w:val="32"/>
          <w:szCs w:val="32"/>
          <w:lang w:val="en-US" w:eastAsia="zh-CN"/>
          <w14:textFill>
            <w14:solidFill>
              <w14:schemeClr w14:val="tx1"/>
            </w14:solidFill>
          </w14:textFill>
        </w:rPr>
        <w:t>。经常性费用项目自评得分为99.03分。发现的主要问题及原因：人员死亡减少导致本年执行数比预算数少。导致。下一步改进措施：做好年初预算。聘用环卫工资及环卫支出项目自评得分为99.97分。发现的主要问题及原因：社区环卫面积点多面广，环卫工作量大导致该项目支出金额较大。下一步改进措施：在保障环卫工作开展及环卫工资发放的情况下尽量节约、压减环卫开支。洛阳安置点第二期廉租房给水管网新改造工程项目自评得分为90分。发现的主要问题及原因：财政资金紧缺导致项目资金未能安排支付。下一步改进措施：积极争取资金完成项目资金的结算。社区干部奖励奖金项目自评得分为100分。发现的主要问题及原因：社区干部奖励性奖金在规定时间内足额发放给社区干部。下一步改进措施：继续保持。五位一体工作经费项目自评得分为90分。发现的主要问题及原因：本单位无五位一体工作任务，属财政局下错指标。下一步改进措施：积极改正。社区干部补助项目自评得分为100分。发现的主要问题及原因：社区干部补助在规定时间内足额发放给社区干部。下一步改进措施：继续保持。红茂矿区异地搬迁安置工程款1项目自评得分为92.96分。发现的主要问题及原因：财政资金紧缺导致项目资金未能完全安排支付。下一步改进措施：积极争取资金完成项目资金的结算。党的二十大维稳安保信访专项工作经费项目自评得分为99.09分。发现的主要问题及原因：秉持节约原则压低工作经费。下一步改进措施：</w:t>
      </w:r>
      <w:r>
        <w:rPr>
          <w:rFonts w:hint="eastAsia" w:ascii="仿宋" w:hAnsi="仿宋" w:eastAsia="仿宋" w:cs="仿宋"/>
          <w:color w:val="000000" w:themeColor="text1"/>
          <w:sz w:val="32"/>
          <w:szCs w:val="32"/>
          <w:lang w:eastAsia="zh-CN"/>
          <w14:textFill>
            <w14:solidFill>
              <w14:schemeClr w14:val="tx1"/>
            </w14:solidFill>
          </w14:textFill>
        </w:rPr>
        <w:t>继续保持。</w:t>
      </w:r>
      <w:r>
        <w:rPr>
          <w:rFonts w:hint="eastAsia" w:ascii="仿宋" w:hAnsi="仿宋" w:eastAsia="仿宋" w:cs="仿宋"/>
          <w:color w:val="000000" w:themeColor="text1"/>
          <w:sz w:val="32"/>
          <w:szCs w:val="32"/>
          <w:lang w:val="en-US" w:eastAsia="zh-CN"/>
          <w14:textFill>
            <w14:solidFill>
              <w14:schemeClr w14:val="tx1"/>
            </w14:solidFill>
          </w14:textFill>
        </w:rPr>
        <w:t>国有企业职教幼教及中小学退休教师退休教师待遇补差资金</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99.97</w:t>
      </w:r>
      <w:r>
        <w:rPr>
          <w:rFonts w:hint="eastAsia" w:ascii="仿宋" w:hAnsi="仿宋" w:eastAsia="仿宋" w:cs="仿宋"/>
          <w:color w:val="000000" w:themeColor="text1"/>
          <w:sz w:val="32"/>
          <w:szCs w:val="32"/>
          <w:lang w:eastAsia="zh-CN"/>
          <w14:textFill>
            <w14:solidFill>
              <w14:schemeClr w14:val="tx1"/>
            </w14:solidFill>
          </w14:textFill>
        </w:rPr>
        <w:t>分。发现的主要问题及原因：预算稍有误差。下一步改进措施：做好期初预算。</w:t>
      </w:r>
      <w:r>
        <w:rPr>
          <w:rFonts w:hint="eastAsia" w:ascii="仿宋" w:hAnsi="仿宋" w:eastAsia="仿宋" w:cs="仿宋"/>
          <w:color w:val="000000" w:themeColor="text1"/>
          <w:sz w:val="32"/>
          <w:szCs w:val="32"/>
          <w:lang w:val="en-US" w:eastAsia="zh-CN"/>
          <w14:textFill>
            <w14:solidFill>
              <w14:schemeClr w14:val="tx1"/>
            </w14:solidFill>
          </w14:textFill>
        </w:rPr>
        <w:t>农村党员大培训</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lang w:eastAsia="zh-CN"/>
          <w14:textFill>
            <w14:solidFill>
              <w14:schemeClr w14:val="tx1"/>
            </w14:solidFill>
          </w14:textFill>
        </w:rPr>
        <w:t>分。发现的主要问题及原因：财政资金紧缺导致项目资金未支付。下一步改进措施：积极争取资金完成项目资金的结算。</w:t>
      </w:r>
      <w:r>
        <w:rPr>
          <w:rFonts w:hint="eastAsia" w:ascii="仿宋" w:hAnsi="仿宋" w:eastAsia="仿宋" w:cs="仿宋"/>
          <w:color w:val="000000" w:themeColor="text1"/>
          <w:sz w:val="32"/>
          <w:szCs w:val="32"/>
          <w:lang w:val="en-US" w:eastAsia="zh-CN"/>
          <w14:textFill>
            <w14:solidFill>
              <w14:schemeClr w14:val="tx1"/>
            </w14:solidFill>
          </w14:textFill>
        </w:rPr>
        <w:t>洛阳安置点六依坡小区围墙修复及排险工程</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项目在规定时间内完成修复及排险工作，保障了人民群众的人身财产安全；项目资金及时支付。下一步改进措施：继续保持。</w:t>
      </w:r>
      <w:r>
        <w:rPr>
          <w:rFonts w:hint="eastAsia" w:ascii="仿宋" w:hAnsi="仿宋" w:eastAsia="仿宋" w:cs="仿宋"/>
          <w:color w:val="000000" w:themeColor="text1"/>
          <w:sz w:val="32"/>
          <w:szCs w:val="32"/>
          <w:lang w:val="en-US" w:eastAsia="zh-CN"/>
          <w14:textFill>
            <w14:solidFill>
              <w14:schemeClr w14:val="tx1"/>
            </w14:solidFill>
          </w14:textFill>
        </w:rPr>
        <w:t>预发2022年度奖励性绩效</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eastAsia="zh-CN"/>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2022年度奖励性绩效</w:t>
      </w:r>
      <w:r>
        <w:rPr>
          <w:rFonts w:hint="eastAsia" w:ascii="仿宋" w:hAnsi="仿宋" w:eastAsia="仿宋" w:cs="仿宋"/>
          <w:color w:val="000000" w:themeColor="text1"/>
          <w:sz w:val="32"/>
          <w:szCs w:val="32"/>
          <w:lang w:eastAsia="zh-CN"/>
          <w14:textFill>
            <w14:solidFill>
              <w14:schemeClr w14:val="tx1"/>
            </w14:solidFill>
          </w14:textFill>
        </w:rPr>
        <w:t>在规定时间内足额发放给在职干部。下一步改进措施：继续保持。</w:t>
      </w:r>
      <w:r>
        <w:rPr>
          <w:rFonts w:hint="eastAsia" w:ascii="仿宋" w:hAnsi="仿宋" w:eastAsia="仿宋" w:cs="仿宋"/>
          <w:color w:val="000000" w:themeColor="text1"/>
          <w:sz w:val="32"/>
          <w:szCs w:val="32"/>
          <w:lang w:val="en-US" w:eastAsia="zh-CN"/>
          <w14:textFill>
            <w14:solidFill>
              <w14:schemeClr w14:val="tx1"/>
            </w14:solidFill>
          </w14:textFill>
        </w:rPr>
        <w:t>红茂旧农场小区排险及挡土墙工程资金</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eastAsia="zh-CN"/>
          <w14:textFill>
            <w14:solidFill>
              <w14:schemeClr w14:val="tx1"/>
            </w14:solidFill>
          </w14:textFill>
        </w:rPr>
        <w:t>分。发现的主要问题及原因：项目在规定时间内完成挡土墙及排险工作，保障了人民群众的人身财产安全；项目资金及时支付。下一步改进措施：继续保持。</w:t>
      </w:r>
      <w:r>
        <w:rPr>
          <w:rFonts w:hint="eastAsia" w:ascii="仿宋" w:hAnsi="仿宋" w:eastAsia="仿宋" w:cs="仿宋"/>
          <w:color w:val="000000" w:themeColor="text1"/>
          <w:sz w:val="32"/>
          <w:szCs w:val="32"/>
          <w:lang w:val="en-US" w:eastAsia="zh-CN"/>
          <w14:textFill>
            <w14:solidFill>
              <w14:schemeClr w14:val="tx1"/>
            </w14:solidFill>
          </w14:textFill>
        </w:rPr>
        <w:t>星级党组织所在村办公经费</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eastAsia="zh-CN"/>
          <w14:textFill>
            <w14:solidFill>
              <w14:schemeClr w14:val="tx1"/>
            </w14:solidFill>
          </w14:textFill>
        </w:rPr>
        <w:t>分。发现的主要问题及原因：星级村办公经费资金及时拨付有效保障村级日常管理和运行。下一步改进措施：继续保持。</w:t>
      </w:r>
      <w:r>
        <w:rPr>
          <w:rFonts w:hint="eastAsia" w:ascii="仿宋" w:hAnsi="仿宋" w:eastAsia="仿宋" w:cs="仿宋"/>
          <w:color w:val="000000" w:themeColor="text1"/>
          <w:sz w:val="32"/>
          <w:szCs w:val="32"/>
          <w:lang w:val="en-US" w:eastAsia="zh-CN"/>
          <w14:textFill>
            <w14:solidFill>
              <w14:schemeClr w14:val="tx1"/>
            </w14:solidFill>
          </w14:textFill>
        </w:rPr>
        <w:t>红安、红阳社区公共设施日常管理经费</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99.97</w:t>
      </w:r>
      <w:r>
        <w:rPr>
          <w:rFonts w:hint="eastAsia" w:ascii="仿宋" w:hAnsi="仿宋" w:eastAsia="仿宋" w:cs="仿宋"/>
          <w:color w:val="000000" w:themeColor="text1"/>
          <w:sz w:val="32"/>
          <w:szCs w:val="32"/>
          <w:lang w:eastAsia="zh-CN"/>
          <w14:textFill>
            <w14:solidFill>
              <w14:schemeClr w14:val="tx1"/>
            </w14:solidFill>
          </w14:textFill>
        </w:rPr>
        <w:t>分。发现的主要问题及原因：秉持节约原则压低工作经费。下一步改进措施：继续保持。</w:t>
      </w:r>
      <w:r>
        <w:rPr>
          <w:rFonts w:hint="eastAsia"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lang w:eastAsia="zh-CN"/>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lang w:eastAsia="zh-CN"/>
          <w14:textFill>
            <w14:solidFill>
              <w14:schemeClr w14:val="tx1"/>
            </w14:solidFill>
          </w14:textFill>
        </w:rPr>
        <w:t>分。</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lang w:eastAsia="zh-CN"/>
          <w14:textFill>
            <w14:solidFill>
              <w14:schemeClr w14:val="tx1"/>
            </w14:solidFill>
          </w14:textFill>
        </w:rPr>
        <w:t>在规定时间内足额发放给在职干部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继续保持</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default" w:ascii="仿宋" w:hAnsi="仿宋" w:eastAsia="仿宋" w:cs="仿宋"/>
          <w:color w:val="auto"/>
          <w:sz w:val="32"/>
          <w:szCs w:val="32"/>
          <w:highlight w:val="none"/>
          <w:lang w:val="en-US" w:eastAsia="zh-CN"/>
        </w:rPr>
        <w:sectPr>
          <w:pgSz w:w="11906" w:h="16838"/>
          <w:pgMar w:top="1440" w:right="1800" w:bottom="1440" w:left="1800" w:header="851" w:footer="992" w:gutter="0"/>
          <w:cols w:space="0" w:num="1"/>
          <w:docGrid w:type="lines" w:linePitch="312" w:charSpace="0"/>
        </w:sectPr>
      </w:pPr>
      <w:r>
        <w:rPr>
          <w:rFonts w:hint="eastAsia" w:ascii="仿宋" w:hAnsi="仿宋" w:eastAsia="仿宋" w:cs="仿宋"/>
          <w:color w:val="auto"/>
          <w:sz w:val="32"/>
          <w:szCs w:val="32"/>
        </w:rPr>
        <w:t>项目支出绩效自评表</w:t>
      </w:r>
      <w:r>
        <w:rPr>
          <w:rFonts w:hint="eastAsia" w:ascii="仿宋" w:hAnsi="仿宋" w:eastAsia="仿宋" w:cs="仿宋"/>
          <w:color w:val="auto"/>
          <w:sz w:val="32"/>
          <w:szCs w:val="32"/>
          <w:lang w:eastAsia="zh-CN"/>
        </w:rPr>
        <w:t>如</w:t>
      </w:r>
      <w:r>
        <w:rPr>
          <w:rFonts w:hint="eastAsia" w:ascii="仿宋" w:hAnsi="仿宋" w:eastAsia="仿宋" w:cs="仿宋"/>
          <w:color w:val="auto"/>
          <w:sz w:val="32"/>
          <w:szCs w:val="32"/>
          <w:lang w:val="en-US" w:eastAsia="zh-CN"/>
        </w:rPr>
        <w:t>下：</w:t>
      </w:r>
    </w:p>
    <w:p>
      <w:pPr>
        <w:jc w:val="left"/>
        <w:rPr>
          <w:rFonts w:hint="eastAsia" w:ascii="仿宋" w:hAnsi="仿宋" w:eastAsia="仿宋" w:cs="仿宋"/>
          <w:sz w:val="32"/>
          <w:szCs w:val="32"/>
          <w:highlight w:val="none"/>
        </w:rPr>
        <w:sectPr>
          <w:pgSz w:w="16838" w:h="11906" w:orient="landscape"/>
          <w:pgMar w:top="1800" w:right="1440" w:bottom="1800" w:left="1440" w:header="851" w:footer="992" w:gutter="0"/>
          <w:cols w:space="0" w:num="1"/>
          <w:docGrid w:type="lines" w:linePitch="312" w:charSpace="0"/>
        </w:sectPr>
      </w:pPr>
      <w:r>
        <w:rPr>
          <w:rFonts w:hint="eastAsia" w:ascii="仿宋" w:hAnsi="仿宋" w:eastAsia="仿宋" w:cs="仿宋"/>
          <w:sz w:val="32"/>
          <w:szCs w:val="32"/>
          <w:highlight w:val="none"/>
          <w:lang w:eastAsia="zh-CN"/>
        </w:rPr>
        <w:drawing>
          <wp:inline distT="0" distB="0" distL="114300" distR="114300">
            <wp:extent cx="9141460" cy="5514975"/>
            <wp:effectExtent l="0" t="0" r="2540" b="9525"/>
            <wp:docPr id="14" name="图片 14" descr="项目自评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项目自评表1"/>
                    <pic:cNvPicPr>
                      <a:picLocks noChangeAspect="1"/>
                    </pic:cNvPicPr>
                  </pic:nvPicPr>
                  <pic:blipFill>
                    <a:blip r:embed="rId21"/>
                    <a:stretch>
                      <a:fillRect/>
                    </a:stretch>
                  </pic:blipFill>
                  <pic:spPr>
                    <a:xfrm>
                      <a:off x="0" y="0"/>
                      <a:ext cx="9141460" cy="5514975"/>
                    </a:xfrm>
                    <a:prstGeom prst="rect">
                      <a:avLst/>
                    </a:prstGeom>
                  </pic:spPr>
                </pic:pic>
              </a:graphicData>
            </a:graphic>
          </wp:inline>
        </w:drawing>
      </w:r>
      <w:r>
        <w:rPr>
          <w:rFonts w:hint="eastAsia" w:ascii="仿宋" w:hAnsi="仿宋" w:eastAsia="仿宋" w:cs="仿宋"/>
          <w:sz w:val="32"/>
          <w:szCs w:val="32"/>
          <w:highlight w:val="none"/>
          <w:lang w:eastAsia="zh-CN"/>
        </w:rPr>
        <w:drawing>
          <wp:inline distT="0" distB="0" distL="114300" distR="114300">
            <wp:extent cx="8916670" cy="5670550"/>
            <wp:effectExtent l="0" t="0" r="17780" b="6350"/>
            <wp:docPr id="13" name="图片 13" descr="项目自评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项目自评表2"/>
                    <pic:cNvPicPr>
                      <a:picLocks noChangeAspect="1"/>
                    </pic:cNvPicPr>
                  </pic:nvPicPr>
                  <pic:blipFill>
                    <a:blip r:embed="rId22"/>
                    <a:stretch>
                      <a:fillRect/>
                    </a:stretch>
                  </pic:blipFill>
                  <pic:spPr>
                    <a:xfrm>
                      <a:off x="0" y="0"/>
                      <a:ext cx="8916670" cy="5670550"/>
                    </a:xfrm>
                    <a:prstGeom prst="rect">
                      <a:avLst/>
                    </a:prstGeom>
                  </pic:spPr>
                </pic:pic>
              </a:graphicData>
            </a:graphic>
          </wp:inline>
        </w:drawing>
      </w:r>
    </w:p>
    <w:p>
      <w:pPr>
        <w:pStyle w:val="2"/>
        <w:ind w:left="0" w:leftChars="0" w:firstLine="0" w:firstLineChars="0"/>
        <w:rPr>
          <w:rFonts w:hint="eastAsia"/>
        </w:rPr>
      </w:pPr>
    </w:p>
    <w:p>
      <w:pPr>
        <w:jc w:val="cente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default"/>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A75ADE1D"/>
    <w:multiLevelType w:val="singleLevel"/>
    <w:tmpl w:val="A75ADE1D"/>
    <w:lvl w:ilvl="0" w:tentative="0">
      <w:start w:val="1"/>
      <w:numFmt w:val="chineseCounting"/>
      <w:suff w:val="nothing"/>
      <w:lvlText w:val="（%1）"/>
      <w:lvlJc w:val="left"/>
      <w:pPr>
        <w:ind w:left="-10"/>
      </w:pPr>
      <w:rPr>
        <w:rFonts w:hint="eastAsia"/>
        <w:color w:val="auto"/>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hlZjZhY2ViMjcxMzY3ZTJiMTNiNTZiZWUyMDhhNDUifQ=="/>
  </w:docVars>
  <w:rsids>
    <w:rsidRoot w:val="637D7558"/>
    <w:rsid w:val="00002C84"/>
    <w:rsid w:val="00004EEE"/>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011CF"/>
    <w:rsid w:val="00C3279E"/>
    <w:rsid w:val="00C34857"/>
    <w:rsid w:val="00CA2E26"/>
    <w:rsid w:val="00D00918"/>
    <w:rsid w:val="00D14326"/>
    <w:rsid w:val="00D772CC"/>
    <w:rsid w:val="00D84F30"/>
    <w:rsid w:val="00D878A6"/>
    <w:rsid w:val="00DE74BD"/>
    <w:rsid w:val="00DE7D07"/>
    <w:rsid w:val="00EA40E8"/>
    <w:rsid w:val="00EB7822"/>
    <w:rsid w:val="00EC50A9"/>
    <w:rsid w:val="00ED04DB"/>
    <w:rsid w:val="00F21455"/>
    <w:rsid w:val="00F5354B"/>
    <w:rsid w:val="00F95135"/>
    <w:rsid w:val="00F9658C"/>
    <w:rsid w:val="00F978FD"/>
    <w:rsid w:val="00FA738E"/>
    <w:rsid w:val="00FC438B"/>
    <w:rsid w:val="01234E98"/>
    <w:rsid w:val="015F1951"/>
    <w:rsid w:val="01D56F23"/>
    <w:rsid w:val="01F833C6"/>
    <w:rsid w:val="020C171D"/>
    <w:rsid w:val="0216715F"/>
    <w:rsid w:val="025637C0"/>
    <w:rsid w:val="02631E0C"/>
    <w:rsid w:val="02E0291A"/>
    <w:rsid w:val="03434395"/>
    <w:rsid w:val="035B79A0"/>
    <w:rsid w:val="0494065D"/>
    <w:rsid w:val="04BA1B52"/>
    <w:rsid w:val="04E54546"/>
    <w:rsid w:val="05992762"/>
    <w:rsid w:val="05F32C99"/>
    <w:rsid w:val="0631563E"/>
    <w:rsid w:val="07442798"/>
    <w:rsid w:val="07B0770E"/>
    <w:rsid w:val="0942143F"/>
    <w:rsid w:val="099E2A5B"/>
    <w:rsid w:val="0A1352FA"/>
    <w:rsid w:val="0AFD5EAB"/>
    <w:rsid w:val="0AFE71F2"/>
    <w:rsid w:val="0CA37DDA"/>
    <w:rsid w:val="0D100297"/>
    <w:rsid w:val="0D202B45"/>
    <w:rsid w:val="0E855450"/>
    <w:rsid w:val="0E9C5E1E"/>
    <w:rsid w:val="0EBB3B59"/>
    <w:rsid w:val="0F8D4C87"/>
    <w:rsid w:val="10505FAA"/>
    <w:rsid w:val="105F7E7E"/>
    <w:rsid w:val="11E56B5B"/>
    <w:rsid w:val="125C77AB"/>
    <w:rsid w:val="12CE1E35"/>
    <w:rsid w:val="13793B38"/>
    <w:rsid w:val="145859F8"/>
    <w:rsid w:val="14A46636"/>
    <w:rsid w:val="14CB726E"/>
    <w:rsid w:val="17CF0104"/>
    <w:rsid w:val="17E92249"/>
    <w:rsid w:val="18455C50"/>
    <w:rsid w:val="18D304F1"/>
    <w:rsid w:val="19495E63"/>
    <w:rsid w:val="19F32577"/>
    <w:rsid w:val="19F45B80"/>
    <w:rsid w:val="1A08244B"/>
    <w:rsid w:val="1B0C078D"/>
    <w:rsid w:val="1B2B31E2"/>
    <w:rsid w:val="1B4C295A"/>
    <w:rsid w:val="1B973C63"/>
    <w:rsid w:val="1BA1001E"/>
    <w:rsid w:val="1BC93E64"/>
    <w:rsid w:val="1C7D7E46"/>
    <w:rsid w:val="1D317259"/>
    <w:rsid w:val="1E4744D0"/>
    <w:rsid w:val="1E664F5B"/>
    <w:rsid w:val="1EB34BE1"/>
    <w:rsid w:val="1ED02EE2"/>
    <w:rsid w:val="1F5321E4"/>
    <w:rsid w:val="1F574497"/>
    <w:rsid w:val="1F627BB9"/>
    <w:rsid w:val="1FAA3490"/>
    <w:rsid w:val="1FCD30FB"/>
    <w:rsid w:val="205C29AA"/>
    <w:rsid w:val="20992FDD"/>
    <w:rsid w:val="215E639F"/>
    <w:rsid w:val="21D46644"/>
    <w:rsid w:val="21EC3183"/>
    <w:rsid w:val="220D3C83"/>
    <w:rsid w:val="22231C62"/>
    <w:rsid w:val="225E72CD"/>
    <w:rsid w:val="23383FFF"/>
    <w:rsid w:val="23384A54"/>
    <w:rsid w:val="236C05DA"/>
    <w:rsid w:val="246E2F77"/>
    <w:rsid w:val="248A0CA1"/>
    <w:rsid w:val="254B4E2B"/>
    <w:rsid w:val="2593624D"/>
    <w:rsid w:val="259E7CC7"/>
    <w:rsid w:val="261A7E3F"/>
    <w:rsid w:val="26631D58"/>
    <w:rsid w:val="27181100"/>
    <w:rsid w:val="283D7C94"/>
    <w:rsid w:val="28A2416E"/>
    <w:rsid w:val="29480E03"/>
    <w:rsid w:val="2983634D"/>
    <w:rsid w:val="29906D78"/>
    <w:rsid w:val="29AC1FD3"/>
    <w:rsid w:val="2ABB0720"/>
    <w:rsid w:val="2B547157"/>
    <w:rsid w:val="2BB02055"/>
    <w:rsid w:val="2BEC5442"/>
    <w:rsid w:val="2C575A56"/>
    <w:rsid w:val="2CB12FCD"/>
    <w:rsid w:val="2D300825"/>
    <w:rsid w:val="2E293BF2"/>
    <w:rsid w:val="2E6A7D67"/>
    <w:rsid w:val="2EF02962"/>
    <w:rsid w:val="2F257714"/>
    <w:rsid w:val="2F3275E5"/>
    <w:rsid w:val="2FB83480"/>
    <w:rsid w:val="2FFC5ADD"/>
    <w:rsid w:val="30AA08EF"/>
    <w:rsid w:val="30D23D1C"/>
    <w:rsid w:val="31221CF5"/>
    <w:rsid w:val="31400178"/>
    <w:rsid w:val="317E1D05"/>
    <w:rsid w:val="321E3342"/>
    <w:rsid w:val="3239727E"/>
    <w:rsid w:val="32562ADC"/>
    <w:rsid w:val="327759C8"/>
    <w:rsid w:val="32917FB8"/>
    <w:rsid w:val="33185FE3"/>
    <w:rsid w:val="3341340F"/>
    <w:rsid w:val="3364440F"/>
    <w:rsid w:val="336A0DED"/>
    <w:rsid w:val="341E6BA4"/>
    <w:rsid w:val="34BE262A"/>
    <w:rsid w:val="34CC71CA"/>
    <w:rsid w:val="34EE2E36"/>
    <w:rsid w:val="35372F4A"/>
    <w:rsid w:val="36777241"/>
    <w:rsid w:val="36BF5ED2"/>
    <w:rsid w:val="38A951DB"/>
    <w:rsid w:val="38B31605"/>
    <w:rsid w:val="39003F4F"/>
    <w:rsid w:val="39E0784D"/>
    <w:rsid w:val="39EE59F7"/>
    <w:rsid w:val="3A0948D8"/>
    <w:rsid w:val="3A7C32FC"/>
    <w:rsid w:val="3AB968DF"/>
    <w:rsid w:val="3B4A33FA"/>
    <w:rsid w:val="3B753ABB"/>
    <w:rsid w:val="3B9528C7"/>
    <w:rsid w:val="3C07002B"/>
    <w:rsid w:val="3D0D152A"/>
    <w:rsid w:val="3D9E77DB"/>
    <w:rsid w:val="3DF62756"/>
    <w:rsid w:val="3E1249AB"/>
    <w:rsid w:val="3E630599"/>
    <w:rsid w:val="3F1B7587"/>
    <w:rsid w:val="3F803426"/>
    <w:rsid w:val="3F8C2233"/>
    <w:rsid w:val="3FCC2EC7"/>
    <w:rsid w:val="403E11F2"/>
    <w:rsid w:val="407E6D50"/>
    <w:rsid w:val="416074D3"/>
    <w:rsid w:val="41B521B1"/>
    <w:rsid w:val="41E57B4F"/>
    <w:rsid w:val="432F26F6"/>
    <w:rsid w:val="43880F63"/>
    <w:rsid w:val="441C5A6F"/>
    <w:rsid w:val="44C44FCC"/>
    <w:rsid w:val="44CC7369"/>
    <w:rsid w:val="457F5108"/>
    <w:rsid w:val="468974CC"/>
    <w:rsid w:val="46951B6B"/>
    <w:rsid w:val="47F56E2D"/>
    <w:rsid w:val="490C74D4"/>
    <w:rsid w:val="49A34401"/>
    <w:rsid w:val="49FA4758"/>
    <w:rsid w:val="4A3E30AB"/>
    <w:rsid w:val="4A4F6F19"/>
    <w:rsid w:val="4A595408"/>
    <w:rsid w:val="4AC14DAC"/>
    <w:rsid w:val="4BE55611"/>
    <w:rsid w:val="4D036E51"/>
    <w:rsid w:val="4D154C85"/>
    <w:rsid w:val="4D836D46"/>
    <w:rsid w:val="4E121C24"/>
    <w:rsid w:val="4EC8553A"/>
    <w:rsid w:val="4F4A5459"/>
    <w:rsid w:val="508F4E24"/>
    <w:rsid w:val="51420796"/>
    <w:rsid w:val="51461E90"/>
    <w:rsid w:val="51463753"/>
    <w:rsid w:val="523F2594"/>
    <w:rsid w:val="52553A93"/>
    <w:rsid w:val="53521F8B"/>
    <w:rsid w:val="53E22F47"/>
    <w:rsid w:val="54302FD2"/>
    <w:rsid w:val="54522FF8"/>
    <w:rsid w:val="5486075F"/>
    <w:rsid w:val="549C4376"/>
    <w:rsid w:val="54B9526B"/>
    <w:rsid w:val="55450629"/>
    <w:rsid w:val="55770955"/>
    <w:rsid w:val="56692963"/>
    <w:rsid w:val="568B0F48"/>
    <w:rsid w:val="577C030F"/>
    <w:rsid w:val="5786217B"/>
    <w:rsid w:val="57C93BCD"/>
    <w:rsid w:val="57D32355"/>
    <w:rsid w:val="58677A1D"/>
    <w:rsid w:val="58B6473A"/>
    <w:rsid w:val="59337A15"/>
    <w:rsid w:val="59706686"/>
    <w:rsid w:val="59810274"/>
    <w:rsid w:val="5ACA39F2"/>
    <w:rsid w:val="5B8A3673"/>
    <w:rsid w:val="5CA96A00"/>
    <w:rsid w:val="5CC372E6"/>
    <w:rsid w:val="5CE13766"/>
    <w:rsid w:val="5CF730BC"/>
    <w:rsid w:val="5DB76275"/>
    <w:rsid w:val="5DF34A33"/>
    <w:rsid w:val="5E3C6BDC"/>
    <w:rsid w:val="5E5F0DCE"/>
    <w:rsid w:val="5EF77271"/>
    <w:rsid w:val="5FA40A7B"/>
    <w:rsid w:val="5FC064A3"/>
    <w:rsid w:val="5FD56D29"/>
    <w:rsid w:val="5FD7624B"/>
    <w:rsid w:val="5FEC7F3F"/>
    <w:rsid w:val="601D673D"/>
    <w:rsid w:val="60A13804"/>
    <w:rsid w:val="60D91C87"/>
    <w:rsid w:val="60F74BC3"/>
    <w:rsid w:val="617D3BF8"/>
    <w:rsid w:val="61841F6A"/>
    <w:rsid w:val="618A3461"/>
    <w:rsid w:val="62222A47"/>
    <w:rsid w:val="623007A9"/>
    <w:rsid w:val="637D7558"/>
    <w:rsid w:val="63D54A40"/>
    <w:rsid w:val="644F19AC"/>
    <w:rsid w:val="64680B03"/>
    <w:rsid w:val="6537132A"/>
    <w:rsid w:val="658D4991"/>
    <w:rsid w:val="65AA4920"/>
    <w:rsid w:val="67694F1E"/>
    <w:rsid w:val="687B426A"/>
    <w:rsid w:val="69597934"/>
    <w:rsid w:val="6978591B"/>
    <w:rsid w:val="69A1252E"/>
    <w:rsid w:val="6B3D572E"/>
    <w:rsid w:val="6B964DDC"/>
    <w:rsid w:val="6C783074"/>
    <w:rsid w:val="6D003979"/>
    <w:rsid w:val="6D9E65C6"/>
    <w:rsid w:val="6DA81947"/>
    <w:rsid w:val="6E0C4C5F"/>
    <w:rsid w:val="6E6D600F"/>
    <w:rsid w:val="6EA0255E"/>
    <w:rsid w:val="6EB66DE2"/>
    <w:rsid w:val="6ED3075F"/>
    <w:rsid w:val="6F2A2D4B"/>
    <w:rsid w:val="6F6F1BAD"/>
    <w:rsid w:val="6F8A0C1E"/>
    <w:rsid w:val="6FAB72C9"/>
    <w:rsid w:val="703F45D4"/>
    <w:rsid w:val="7057324C"/>
    <w:rsid w:val="712D6ED1"/>
    <w:rsid w:val="715C3FB7"/>
    <w:rsid w:val="715D6546"/>
    <w:rsid w:val="716A52DB"/>
    <w:rsid w:val="71A7236F"/>
    <w:rsid w:val="71BE069E"/>
    <w:rsid w:val="71E11FAC"/>
    <w:rsid w:val="73953409"/>
    <w:rsid w:val="73E069A3"/>
    <w:rsid w:val="75F04612"/>
    <w:rsid w:val="76487F5B"/>
    <w:rsid w:val="76C22929"/>
    <w:rsid w:val="77CA4A29"/>
    <w:rsid w:val="77D84872"/>
    <w:rsid w:val="77D925F0"/>
    <w:rsid w:val="77D93560"/>
    <w:rsid w:val="78104AA8"/>
    <w:rsid w:val="7839055F"/>
    <w:rsid w:val="787D72C1"/>
    <w:rsid w:val="78E257C5"/>
    <w:rsid w:val="794B35BE"/>
    <w:rsid w:val="7A4F66AC"/>
    <w:rsid w:val="7A601D17"/>
    <w:rsid w:val="7A601F90"/>
    <w:rsid w:val="7B0A3A31"/>
    <w:rsid w:val="7B3360ED"/>
    <w:rsid w:val="7B5319F3"/>
    <w:rsid w:val="7BDF037E"/>
    <w:rsid w:val="7BF50948"/>
    <w:rsid w:val="7CE66A78"/>
    <w:rsid w:val="7D23564C"/>
    <w:rsid w:val="7D5E062D"/>
    <w:rsid w:val="7DBB60B7"/>
    <w:rsid w:val="7DF76CD8"/>
    <w:rsid w:val="7E607B7B"/>
    <w:rsid w:val="7F695C26"/>
    <w:rsid w:val="7F8D20CA"/>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71"/>
    <w:basedOn w:val="8"/>
    <w:qFormat/>
    <w:uiPriority w:val="0"/>
    <w:rPr>
      <w:rFonts w:hint="eastAsia" w:ascii="宋体" w:hAnsi="宋体" w:eastAsia="宋体" w:cs="宋体"/>
      <w:color w:val="000000"/>
      <w:sz w:val="18"/>
      <w:szCs w:val="18"/>
      <w:u w:val="none"/>
    </w:rPr>
  </w:style>
  <w:style w:type="character" w:customStyle="1" w:styleId="14">
    <w:name w:val="font81"/>
    <w:basedOn w:val="8"/>
    <w:qFormat/>
    <w:uiPriority w:val="0"/>
    <w:rPr>
      <w:rFonts w:hint="eastAsia" w:ascii="宋体" w:hAnsi="宋体" w:eastAsia="宋体" w:cs="宋体"/>
      <w:color w:val="000000"/>
      <w:sz w:val="18"/>
      <w:szCs w:val="18"/>
      <w:u w:val="none"/>
    </w:rPr>
  </w:style>
  <w:style w:type="character" w:customStyle="1" w:styleId="15">
    <w:name w:val="font6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其他收入</c:v>
                </c:pt>
                <c:pt idx="2">
                  <c:v>国有资本经营预算财政拨款收入</c:v>
                </c:pt>
                <c:pt idx="3">
                  <c:v>事业收入</c:v>
                </c:pt>
                <c:pt idx="4">
                  <c:v>经营收入</c:v>
                </c:pt>
                <c:pt idx="5">
                  <c:v>附属单位上缴收入</c:v>
                </c:pt>
                <c:pt idx="6">
                  <c:v>政府性基金预算财政拨款收入</c:v>
                </c:pt>
              </c:strCache>
            </c:strRef>
          </c:cat>
          <c:val>
            <c:numRef>
              <c:f>Sheet1!$B$2:$B$8</c:f>
              <c:numCache>
                <c:formatCode>General</c:formatCode>
                <c:ptCount val="7"/>
                <c:pt idx="0">
                  <c:v>665.03</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73.72</c:v>
                </c:pt>
                <c:pt idx="1">
                  <c:v>59.54</c:v>
                </c:pt>
                <c:pt idx="2">
                  <c:v>71.33</c:v>
                </c:pt>
                <c:pt idx="3">
                  <c:v>4.4</c:v>
                </c:pt>
                <c:pt idx="4">
                  <c:v>15.62</c:v>
                </c:pt>
                <c:pt idx="5">
                  <c:v>31.16</c:v>
                </c:pt>
                <c:pt idx="6">
                  <c:v>0</c:v>
                </c:pt>
                <c:pt idx="7">
                  <c:v>12.98</c:v>
                </c:pt>
                <c:pt idx="8">
                  <c:v>0</c:v>
                </c:pt>
                <c:pt idx="9">
                  <c:v>1.36</c:v>
                </c:pt>
                <c:pt idx="10">
                  <c:v>23.25</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7.42</c:v>
                </c:pt>
                <c:pt idx="1">
                  <c:v>0</c:v>
                </c:pt>
                <c:pt idx="2">
                  <c:v>0</c:v>
                </c:pt>
                <c:pt idx="3">
                  <c:v>0</c:v>
                </c:pt>
                <c:pt idx="4">
                  <c:v>0.36</c:v>
                </c:pt>
                <c:pt idx="5">
                  <c:v>2.02</c:v>
                </c:pt>
                <c:pt idx="6">
                  <c:v>0.01</c:v>
                </c:pt>
                <c:pt idx="7">
                  <c:v>0</c:v>
                </c:pt>
                <c:pt idx="8">
                  <c:v>0</c:v>
                </c:pt>
                <c:pt idx="9">
                  <c:v>2.05</c:v>
                </c:pt>
                <c:pt idx="10">
                  <c:v>0</c:v>
                </c:pt>
                <c:pt idx="11">
                  <c:v>0</c:v>
                </c:pt>
                <c:pt idx="12">
                  <c:v>0</c:v>
                </c:pt>
                <c:pt idx="13">
                  <c:v>0.55</c:v>
                </c:pt>
                <c:pt idx="15">
                  <c:v>0</c:v>
                </c:pt>
                <c:pt idx="16">
                  <c:v>0</c:v>
                </c:pt>
                <c:pt idx="17">
                  <c:v>0</c:v>
                </c:pt>
                <c:pt idx="18">
                  <c:v>0</c:v>
                </c:pt>
                <c:pt idx="19">
                  <c:v>0</c:v>
                </c:pt>
                <c:pt idx="20">
                  <c:v>0</c:v>
                </c:pt>
                <c:pt idx="21">
                  <c:v>4.05</c:v>
                </c:pt>
                <c:pt idx="22">
                  <c:v>0</c:v>
                </c:pt>
                <c:pt idx="23">
                  <c:v>4.89</c:v>
                </c:pt>
                <c:pt idx="24">
                  <c:v>0</c:v>
                </c:pt>
                <c:pt idx="25">
                  <c:v>0</c:v>
                </c:pt>
                <c:pt idx="26">
                  <c:v>0.17</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69.84</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Sheet1!$A$2:$A$8</c:f>
              <c:strCache>
                <c:ptCount val="7"/>
                <c:pt idx="0">
                  <c:v>一般公共服务支出</c:v>
                </c:pt>
                <c:pt idx="1">
                  <c:v>社会保障和就业支出</c:v>
                </c:pt>
                <c:pt idx="2">
                  <c:v>城乡社区支出</c:v>
                </c:pt>
                <c:pt idx="3">
                  <c:v>农林水支出</c:v>
                </c:pt>
                <c:pt idx="4">
                  <c:v>住房保障支出</c:v>
                </c:pt>
                <c:pt idx="5">
                  <c:v>资源勘探工业信息等支出</c:v>
                </c:pt>
                <c:pt idx="6">
                  <c:v>其他支出</c:v>
                </c:pt>
              </c:strCache>
            </c:strRef>
          </c:cat>
          <c:val>
            <c:numRef>
              <c:f>Sheet1!$B$2:$B$8</c:f>
              <c:numCache>
                <c:formatCode>General</c:formatCode>
                <c:ptCount val="7"/>
                <c:pt idx="0">
                  <c:v>6.35</c:v>
                </c:pt>
                <c:pt idx="1">
                  <c:v>132.33</c:v>
                </c:pt>
                <c:pt idx="2">
                  <c:v>12.01</c:v>
                </c:pt>
                <c:pt idx="3">
                  <c:v>53.63</c:v>
                </c:pt>
                <c:pt idx="4">
                  <c:v>23.83</c:v>
                </c:pt>
                <c:pt idx="5">
                  <c:v>346.47</c:v>
                </c:pt>
                <c:pt idx="6">
                  <c:v>73.76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Sheet1!$A$2:$A$8</c:f>
              <c:strCache>
                <c:ptCount val="7"/>
                <c:pt idx="0">
                  <c:v>一般公共服务支出</c:v>
                </c:pt>
                <c:pt idx="1">
                  <c:v>社会保障和就业支出</c:v>
                </c:pt>
                <c:pt idx="2">
                  <c:v>城乡社区支出</c:v>
                </c:pt>
                <c:pt idx="3">
                  <c:v>农林水支出</c:v>
                </c:pt>
                <c:pt idx="4">
                  <c:v>住房保障支出</c:v>
                </c:pt>
                <c:pt idx="5">
                  <c:v>资源勘探工业信息等支出</c:v>
                </c:pt>
                <c:pt idx="6">
                  <c:v>其他支出</c:v>
                </c:pt>
              </c:strCache>
            </c:strRef>
          </c:cat>
          <c:val>
            <c:numRef>
              <c:f>Sheet1!$C$2:$C$8</c:f>
              <c:numCache>
                <c:formatCode>General</c:formatCode>
                <c:ptCount val="7"/>
                <c:pt idx="0">
                  <c:v>7.27</c:v>
                </c:pt>
                <c:pt idx="1">
                  <c:v>129.95</c:v>
                </c:pt>
                <c:pt idx="2">
                  <c:v>49.63</c:v>
                </c:pt>
                <c:pt idx="3">
                  <c:v>57.39</c:v>
                </c:pt>
                <c:pt idx="4">
                  <c:v>23.25</c:v>
                </c:pt>
                <c:pt idx="5">
                  <c:v>345.2</c:v>
                </c:pt>
                <c:pt idx="6">
                  <c:v>52.33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2010301</c:v>
                </c:pt>
                <c:pt idx="1">
                  <c:v>2012999</c:v>
                </c:pt>
                <c:pt idx="2">
                  <c:v>2013202</c:v>
                </c:pt>
                <c:pt idx="3">
                  <c:v>2013601</c:v>
                </c:pt>
              </c:numCache>
            </c:numRef>
          </c:cat>
          <c:val>
            <c:numRef>
              <c:f>Sheet1!$B$2:$B$5</c:f>
              <c:numCache>
                <c:formatCode>General</c:formatCode>
                <c:ptCount val="4"/>
                <c:pt idx="0">
                  <c:v>0.75</c:v>
                </c:pt>
                <c:pt idx="1">
                  <c:v>4.05</c:v>
                </c:pt>
                <c:pt idx="2">
                  <c:v>1.5</c:v>
                </c:pt>
                <c:pt idx="3">
                  <c:v>0.97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社会保障和就业支出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2080505</c:v>
                </c:pt>
                <c:pt idx="1">
                  <c:v>2089999</c:v>
                </c:pt>
              </c:numCache>
            </c:numRef>
          </c:cat>
          <c:val>
            <c:numRef>
              <c:f>Sheet1!$B$2:$B$3</c:f>
              <c:numCache>
                <c:formatCode>General</c:formatCode>
                <c:ptCount val="2"/>
                <c:pt idx="0">
                  <c:v>31.16</c:v>
                </c:pt>
                <c:pt idx="1">
                  <c:v>98.79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城乡社区支出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2129999</c:v>
                </c:pt>
              </c:numCache>
            </c:numRef>
          </c:cat>
          <c:val>
            <c:numRef>
              <c:f>Sheet1!$B$2</c:f>
              <c:numCache>
                <c:formatCode>General</c:formatCode>
                <c:ptCount val="1"/>
                <c:pt idx="0">
                  <c:v>49.63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农林水</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2130705</c:v>
                </c:pt>
              </c:numCache>
            </c:numRef>
          </c:cat>
          <c:val>
            <c:numRef>
              <c:f>Sheet1!$B$2</c:f>
              <c:numCache>
                <c:formatCode>General</c:formatCode>
                <c:ptCount val="1"/>
                <c:pt idx="0">
                  <c:v>57.39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资源勘探工业信息等</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2150199</c:v>
                </c:pt>
                <c:pt idx="1">
                  <c:v>2159999</c:v>
                </c:pt>
              </c:numCache>
            </c:numRef>
          </c:cat>
          <c:val>
            <c:numRef>
              <c:f>Sheet1!$B$2:$B$3</c:f>
              <c:numCache>
                <c:formatCode>General</c:formatCode>
                <c:ptCount val="2"/>
                <c:pt idx="0">
                  <c:v>215.7</c:v>
                </c:pt>
                <c:pt idx="1">
                  <c:v>129.5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住房保障支出</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23.25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manualLayout>
          <c:xMode val="edge"/>
          <c:yMode val="edge"/>
          <c:x val="0.387186036611324"/>
          <c:y val="0.014810426540284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2299999</c:v>
                </c:pt>
              </c:numCache>
            </c:numRef>
          </c:cat>
          <c:val>
            <c:numRef>
              <c:f>Sheet1!$B$2</c:f>
              <c:numCache>
                <c:formatCode>General</c:formatCode>
                <c:ptCount val="1"/>
                <c:pt idx="0">
                  <c:v>52.33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2023-11-16T10:06:00Z</cp:lastPrinted>
  <dcterms:modified xsi:type="dcterms:W3CDTF">2023-11-23T09:12:02Z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