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bookmarkStart w:id="4" w:name="_GoBack"/>
      <w:r>
        <w:rPr>
          <w:rFonts w:hint="eastAsia" w:ascii="黑体" w:hAnsi="黑体" w:eastAsia="黑体" w:cs="黑体"/>
          <w:b/>
          <w:bCs/>
          <w:sz w:val="52"/>
          <w:szCs w:val="52"/>
          <w:highlight w:val="none"/>
          <w:lang w:eastAsia="zh-CN"/>
        </w:rPr>
        <w:t>环江毛南族自治县人力资源和社会保障局</w:t>
      </w:r>
      <w:bookmarkEnd w:id="4"/>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环江毛南族自治县人力资源和社会保障局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（一）贯彻落实国家、省有关人力资源和社会保障的政策、规定，监督检查落实情况；拟订全县人力资源和社会保障事业发展规划及措施，负责全县人力资源和社会保障的宣传和舆情研究。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（二）拟订人力资源市场发展规划和人力资源流动办法，建立统一规范的人力资源市场，促进人力资源合理流动、有效配置；拟订机构改革人员定岗和分流措施并组织实施。</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负责促进就业工作，拟订统筹城乡的就业发展规划和管理办法，完善公共就业服务体系；拟订就业援助制度，完善职业资格制度，统筹建立面向城乡劳动者的职业培训制度；牵头拟订高校毕业生就业措施，负责中专以上毕业生的就业指导、服务工作。</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统筹建立覆盖城乡的社会保障体系。执行城乡社会保险及其补充保险政策和标准，组织拟订全县统一的社会保险关系转续办法和基金统筹办法，统筹拟订机关企事业单位社会保险办法并逐步提高基金统筹层次；会同有关部门拟订社会保险及其补充保险基金管理和监督制度，编制全县社会保险基金预决算草案。</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（五）会同有关部门拟订全县机关企事业单位人员工资收入分配实施办法，建立全县机关事业单位人员工资正常增长和支付保障机制；执行机关企事业单位人员福利和离退休政策。</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会同有关部门拟订全县人才工作总体目标，参与人才管理。会同有关部门指导全县事业单位人事制度改革，拟订全县事业单位人员和机关工勤人员管理办法；负责全县人事考试工作；制定全县专业技术人员管理和继续教育办法，综合管理全县职称工作；负责高层次专业技术人才选拔和培养。</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）会同有关部门落实农民工工作的综合性政策和规定，协调解决重点难点问题，维护农民工合法权益。</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rPr>
        <w:t>）贯彻执行劳动、人事争议调解仲裁制度和劳动关系政策，完善劳动关系协调机制；执行消除非法使用童工政策和女工、未成年工的特殊劳动保护政策，组织实施劳动监察，协调劳动者维权工作，依法查处重大案件。</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九</w:t>
      </w:r>
      <w:r>
        <w:rPr>
          <w:rFonts w:hint="eastAsia" w:ascii="仿宋_GB2312" w:hAnsi="仿宋_GB2312" w:eastAsia="仿宋_GB2312" w:cs="仿宋_GB2312"/>
          <w:sz w:val="32"/>
          <w:szCs w:val="32"/>
          <w:highlight w:val="none"/>
        </w:rPr>
        <w:t>）承办县政府交办的其他事项。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环江毛南族自治县人力资源和社会保障局内设办公室、</w:t>
      </w:r>
      <w:r>
        <w:rPr>
          <w:rFonts w:hint="eastAsia" w:ascii="仿宋_GB2312" w:hAnsi="仿宋_GB2312" w:eastAsia="仿宋_GB2312" w:cs="仿宋_GB2312"/>
          <w:sz w:val="32"/>
          <w:szCs w:val="32"/>
          <w:highlight w:val="none"/>
          <w:lang w:eastAsia="zh-CN"/>
        </w:rPr>
        <w:t>事业</w:t>
      </w:r>
      <w:r>
        <w:rPr>
          <w:rFonts w:hint="eastAsia" w:ascii="仿宋_GB2312" w:hAnsi="仿宋_GB2312" w:eastAsia="仿宋_GB2312" w:cs="仿宋_GB2312"/>
          <w:sz w:val="32"/>
          <w:szCs w:val="32"/>
          <w:highlight w:val="none"/>
        </w:rPr>
        <w:t>管理股、工资福利与退休股、档案室、基金监督股、仲裁院、劳动</w:t>
      </w:r>
      <w:r>
        <w:rPr>
          <w:rFonts w:hint="eastAsia" w:ascii="仿宋_GB2312" w:hAnsi="仿宋_GB2312" w:eastAsia="仿宋_GB2312" w:cs="仿宋_GB2312"/>
          <w:sz w:val="32"/>
          <w:szCs w:val="32"/>
          <w:highlight w:val="none"/>
          <w:lang w:eastAsia="zh-CN"/>
        </w:rPr>
        <w:t>监察</w:t>
      </w:r>
      <w:r>
        <w:rPr>
          <w:rFonts w:hint="eastAsia" w:ascii="仿宋_GB2312" w:hAnsi="仿宋_GB2312" w:eastAsia="仿宋_GB2312" w:cs="仿宋_GB2312"/>
          <w:sz w:val="32"/>
          <w:szCs w:val="32"/>
          <w:highlight w:val="none"/>
        </w:rPr>
        <w:t>大队、人才交流服务中心。</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环江毛南族自治县人力资源和社会保障局</w:t>
      </w:r>
      <w:r>
        <w:rPr>
          <w:rFonts w:hint="eastAsia" w:ascii="黑体" w:hAnsi="黑体" w:eastAsia="黑体" w:cs="黑体"/>
          <w:sz w:val="32"/>
          <w:szCs w:val="32"/>
          <w:highlight w:val="none"/>
        </w:rPr>
        <w:t>2022年度部门决算报表</w:t>
      </w:r>
    </w:p>
    <w:tbl>
      <w:tblPr>
        <w:tblStyle w:val="6"/>
        <w:tblW w:w="14070" w:type="dxa"/>
        <w:tblInd w:w="93" w:type="dxa"/>
        <w:tblLayout w:type="fixed"/>
        <w:tblCellMar>
          <w:top w:w="0" w:type="dxa"/>
          <w:left w:w="108" w:type="dxa"/>
          <w:bottom w:w="0" w:type="dxa"/>
          <w:right w:w="108" w:type="dxa"/>
        </w:tblCellMar>
      </w:tblPr>
      <w:tblGrid>
        <w:gridCol w:w="3"/>
        <w:gridCol w:w="2543"/>
        <w:gridCol w:w="2393"/>
        <w:gridCol w:w="2231"/>
        <w:gridCol w:w="2669"/>
        <w:gridCol w:w="2202"/>
        <w:gridCol w:w="1902"/>
        <w:gridCol w:w="127"/>
      </w:tblGrid>
      <w:tr>
        <w:tblPrEx>
          <w:tblCellMar>
            <w:top w:w="0" w:type="dxa"/>
            <w:left w:w="108" w:type="dxa"/>
            <w:bottom w:w="0" w:type="dxa"/>
            <w:right w:w="108" w:type="dxa"/>
          </w:tblCellMar>
        </w:tblPrEx>
        <w:trPr>
          <w:gridBefore w:val="1"/>
          <w:gridAfter w:val="1"/>
          <w:wBefore w:w="3" w:type="dxa"/>
          <w:wAfter w:w="127" w:type="dxa"/>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gridBefore w:val="1"/>
          <w:gridAfter w:val="1"/>
          <w:wBefore w:w="3" w:type="dxa"/>
          <w:wAfter w:w="127" w:type="dxa"/>
          <w:trHeight w:val="301" w:hRule="atLeast"/>
        </w:trPr>
        <w:tc>
          <w:tcPr>
            <w:tcW w:w="2543"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部门：环江毛南族自治县人力资源和社会保障局</w:t>
            </w:r>
          </w:p>
        </w:tc>
        <w:tc>
          <w:tcPr>
            <w:tcW w:w="239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231"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gridBefore w:val="1"/>
          <w:gridAfter w:val="1"/>
          <w:wBefore w:w="3" w:type="dxa"/>
          <w:wAfter w:w="127" w:type="dxa"/>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1,882.95</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181.72</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19.18</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51.61</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0"/>
                <w:szCs w:val="20"/>
                <w:u w:val="none"/>
                <w:lang w:val="en-US" w:eastAsia="zh-CN"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Before w:val="1"/>
          <w:gridAfter w:val="1"/>
          <w:wBefore w:w="3" w:type="dxa"/>
          <w:wAfter w:w="127" w:type="dxa"/>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0"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70" w:type="dxa"/>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283"/>
        <w:gridCol w:w="301"/>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2,138.88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2,138.88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1,882.95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1,882.95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329.83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329.83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2080101</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2080104</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2080105</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2080112</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劳动人事争议调解仲裁</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2080199</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就业补助</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1,526.60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1,526.60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2080701</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26.13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26.13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2080702</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134.99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134.99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2080704</w:t>
            </w:r>
          </w:p>
        </w:tc>
        <w:tc>
          <w:tcPr>
            <w:tcW w:w="267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422.59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422.59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3"/>
            <w:tcBorders>
              <w:top w:val="single" w:color="auto" w:sz="4" w:space="0"/>
              <w:left w:val="nil"/>
              <w:bottom w:val="nil"/>
              <w:right w:val="nil"/>
            </w:tcBorders>
            <w:shd w:val="clear" w:color="auto" w:fill="auto"/>
            <w:noWrap/>
            <w:vAlign w:val="center"/>
          </w:tcPr>
          <w:tbl>
            <w:tblPr>
              <w:tblStyle w:val="6"/>
              <w:tblW w:w="13944"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3"/>
              <w:gridCol w:w="2634"/>
              <w:gridCol w:w="1566"/>
              <w:gridCol w:w="1450"/>
              <w:gridCol w:w="1384"/>
              <w:gridCol w:w="1450"/>
              <w:gridCol w:w="1466"/>
              <w:gridCol w:w="1434"/>
              <w:gridCol w:w="1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743.90</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2080711</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就业见习补贴</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112.73</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112.73</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79.52</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79.52</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6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5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38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3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107"/>
        <w:gridCol w:w="130"/>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9"/>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456" w:hRule="atLeast"/>
        </w:trPr>
        <w:tc>
          <w:tcPr>
            <w:tcW w:w="390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2,138.88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291.15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1,847.74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1,882.95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220.30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1,662.65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329.83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136.05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2080101</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2080104</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2080105</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2080112</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劳动人事争议调解仲裁</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0.16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2080199</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114.20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就业补助</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1,526.60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1,526.60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2080701</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26.13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2080702</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134.99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134.99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24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2080704</w:t>
            </w:r>
          </w:p>
        </w:tc>
        <w:tc>
          <w:tcPr>
            <w:tcW w:w="26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422.59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422.59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2"/>
            <w:tcBorders>
              <w:top w:val="single" w:color="auto" w:sz="4" w:space="0"/>
              <w:left w:val="nil"/>
              <w:bottom w:val="nil"/>
              <w:right w:val="nil"/>
            </w:tcBorders>
            <w:shd w:val="clear" w:color="auto" w:fill="auto"/>
            <w:noWrap/>
            <w:vAlign w:val="center"/>
          </w:tcPr>
          <w:tbl>
            <w:tblPr>
              <w:tblStyle w:val="6"/>
              <w:tblW w:w="14000"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4"/>
              <w:gridCol w:w="2683"/>
              <w:gridCol w:w="1617"/>
              <w:gridCol w:w="1683"/>
              <w:gridCol w:w="1733"/>
              <w:gridCol w:w="1650"/>
              <w:gridCol w:w="170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743.90</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743.90</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2080711</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就业见习补贴</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112.73</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112.73</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79.52</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79.52</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168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17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0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9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5376" w:type="pct"/>
        <w:tblInd w:w="0" w:type="dxa"/>
        <w:tblLayout w:type="fixed"/>
        <w:tblCellMar>
          <w:top w:w="0" w:type="dxa"/>
          <w:left w:w="108" w:type="dxa"/>
          <w:bottom w:w="0" w:type="dxa"/>
          <w:right w:w="108" w:type="dxa"/>
        </w:tblCellMar>
      </w:tblPr>
      <w:tblGrid>
        <w:gridCol w:w="2376"/>
        <w:gridCol w:w="904"/>
        <w:gridCol w:w="626"/>
        <w:gridCol w:w="1320"/>
        <w:gridCol w:w="1903"/>
        <w:gridCol w:w="1491"/>
        <w:gridCol w:w="685"/>
        <w:gridCol w:w="71"/>
        <w:gridCol w:w="1165"/>
        <w:gridCol w:w="728"/>
        <w:gridCol w:w="745"/>
        <w:gridCol w:w="1181"/>
        <w:gridCol w:w="460"/>
        <w:gridCol w:w="1585"/>
      </w:tblGrid>
      <w:tr>
        <w:trPr>
          <w:trHeight w:val="277" w:hRule="atLeast"/>
        </w:trPr>
        <w:tc>
          <w:tcPr>
            <w:tcW w:w="5000" w:type="pct"/>
            <w:gridSpan w:val="1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139" w:hRule="atLeast"/>
        </w:trPr>
        <w:tc>
          <w:tcPr>
            <w:tcW w:w="7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8"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31"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0"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139" w:hRule="atLeast"/>
        </w:trPr>
        <w:tc>
          <w:tcPr>
            <w:tcW w:w="3076" w:type="pct"/>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621"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31"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0"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143" w:hRule="atLeast"/>
        </w:trPr>
        <w:tc>
          <w:tcPr>
            <w:tcW w:w="171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收     入</w:t>
            </w:r>
          </w:p>
        </w:tc>
        <w:tc>
          <w:tcPr>
            <w:tcW w:w="3285"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28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金额</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行次</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CellMar>
            <w:top w:w="0" w:type="dxa"/>
            <w:left w:w="108" w:type="dxa"/>
            <w:bottom w:w="0" w:type="dxa"/>
            <w:right w:w="108" w:type="dxa"/>
          </w:tblCellMar>
        </w:tblPrEx>
        <w:trPr>
          <w:trHeight w:val="166"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2,138.88</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3.41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3.41</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9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36</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38</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39</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73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40</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1,882.95</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1,882.95</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5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181.72</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181.72</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46</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47</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48</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6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19.18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19.18</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52</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46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55</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51.61</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51.61</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57</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55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27</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2,138.88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7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60</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43"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143"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62</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143"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63</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rPr>
            </w:pP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732" w:hRule="atLeast"/>
        </w:trPr>
        <w:tc>
          <w:tcPr>
            <w:tcW w:w="107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w:t>
            </w:r>
          </w:p>
        </w:tc>
        <w:tc>
          <w:tcPr>
            <w:tcW w:w="4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c>
          <w:tcPr>
            <w:tcW w:w="111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w:t>
            </w:r>
          </w:p>
        </w:tc>
        <w:tc>
          <w:tcPr>
            <w:tcW w:w="40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2,138.88</w:t>
            </w:r>
          </w:p>
        </w:tc>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2,138.88</w:t>
            </w:r>
          </w:p>
        </w:tc>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143" w:hRule="atLeast"/>
        </w:trPr>
        <w:tc>
          <w:tcPr>
            <w:tcW w:w="1714"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收     入</w:t>
            </w:r>
          </w:p>
        </w:tc>
        <w:tc>
          <w:tcPr>
            <w:tcW w:w="3285"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558" w:hRule="atLeast"/>
        </w:trPr>
        <w:tc>
          <w:tcPr>
            <w:tcW w:w="4329" w:type="pct"/>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0" w:type="pct"/>
            <w:gridSpan w:val="2"/>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13980" w:type="dxa"/>
            <w:gridSpan w:val="7"/>
            <w:tcBorders>
              <w:top w:val="single" w:color="auto" w:sz="4" w:space="0"/>
              <w:left w:val="nil"/>
              <w:bottom w:val="nil"/>
              <w:right w:val="nil"/>
            </w:tcBorders>
            <w:shd w:val="clear" w:color="auto" w:fill="auto"/>
            <w:noWrap/>
            <w:vAlign w:val="center"/>
          </w:tcPr>
          <w:tbl>
            <w:tblPr>
              <w:tblStyle w:val="6"/>
              <w:tblW w:w="1377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0"/>
              <w:gridCol w:w="4933"/>
              <w:gridCol w:w="2650"/>
              <w:gridCol w:w="2467"/>
              <w:gridCol w:w="2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43"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34"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933"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1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51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33"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6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1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933"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6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1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43"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5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443"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2,138.88</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291.15</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1,882.95</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329.83</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193.78</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193.87</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193.62</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2080104</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综合业务管理</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2080112</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劳动人事争议调解仲裁</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114.20</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1,526.60</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就业创业服务补贴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2080702</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职业培训补贴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134.99</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社会保险补贴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422.59</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公益性岗位补贴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743.90</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职业技能鉴定补贴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就业见习补贴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112.73</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2080713</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促进创业补贴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79.52</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1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9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51.61</w:t>
                  </w:r>
                </w:p>
              </w:tc>
              <w:tc>
                <w:tcPr>
                  <w:tcW w:w="246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48.25</w:t>
                  </w:r>
                </w:p>
              </w:tc>
              <w:tc>
                <w:tcPr>
                  <w:tcW w:w="221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r>
          </w:tbl>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916"/>
        <w:gridCol w:w="191"/>
        <w:gridCol w:w="2371"/>
        <w:gridCol w:w="1106"/>
        <w:gridCol w:w="882"/>
        <w:gridCol w:w="398"/>
        <w:gridCol w:w="1652"/>
        <w:gridCol w:w="695"/>
        <w:gridCol w:w="417"/>
        <w:gridCol w:w="743"/>
        <w:gridCol w:w="162"/>
        <w:gridCol w:w="1011"/>
        <w:gridCol w:w="2147"/>
        <w:gridCol w:w="192"/>
        <w:gridCol w:w="1117"/>
      </w:tblGrid>
      <w:tr>
        <w:tblPrEx>
          <w:tblCellMar>
            <w:top w:w="0" w:type="dxa"/>
            <w:left w:w="108" w:type="dxa"/>
            <w:bottom w:w="0" w:type="dxa"/>
            <w:right w:w="108" w:type="dxa"/>
          </w:tblCellMar>
        </w:tblPrEx>
        <w:trPr>
          <w:trHeight w:val="338" w:hRule="atLeast"/>
        </w:trPr>
        <w:tc>
          <w:tcPr>
            <w:tcW w:w="14000" w:type="dxa"/>
            <w:gridSpan w:val="1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169" w:hRule="atLeast"/>
        </w:trPr>
        <w:tc>
          <w:tcPr>
            <w:tcW w:w="1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308" w:hRule="atLeast"/>
        </w:trPr>
        <w:tc>
          <w:tcPr>
            <w:tcW w:w="8211" w:type="dxa"/>
            <w:gridSpan w:val="8"/>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16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3"/>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179" w:hRule="atLeast"/>
        </w:trPr>
        <w:tc>
          <w:tcPr>
            <w:tcW w:w="45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941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681"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科目代码</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675" w:hRule="atLeas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250.53</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24.13</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3"/>
            <w:bookmarkStart w:id="1" w:name="OLE_LINK4"/>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66.12</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40.61</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30702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82.53</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26.53</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31003</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2.53</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31005</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11.09</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31006</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31007</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0.35</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31008</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19.34</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31009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0.25</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31010</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3.96</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16.48</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31013</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31019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31021</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31022</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16.48</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31099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0.03</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39907</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3.41</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39908</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39909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39910</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13.59</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39999</w:t>
            </w: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0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9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rPr>
            </w:pPr>
          </w:p>
        </w:tc>
        <w:tc>
          <w:tcPr>
            <w:tcW w:w="335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4" w:hRule="atLeast"/>
        </w:trPr>
        <w:tc>
          <w:tcPr>
            <w:tcW w:w="347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267.02</w:t>
            </w:r>
          </w:p>
        </w:tc>
        <w:tc>
          <w:tcPr>
            <w:tcW w:w="8299"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24.13</w:t>
            </w:r>
          </w:p>
        </w:tc>
      </w:tr>
      <w:bookmarkEnd w:id="0"/>
      <w:bookmarkEnd w:id="1"/>
      <w:tr>
        <w:tblPrEx>
          <w:tblCellMar>
            <w:top w:w="0" w:type="dxa"/>
            <w:left w:w="108" w:type="dxa"/>
            <w:bottom w:w="0" w:type="dxa"/>
            <w:right w:w="108" w:type="dxa"/>
          </w:tblCellMar>
        </w:tblPrEx>
        <w:trPr>
          <w:trHeight w:val="344" w:hRule="atLeast"/>
        </w:trPr>
        <w:tc>
          <w:tcPr>
            <w:tcW w:w="458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人员经费</w:t>
            </w:r>
          </w:p>
        </w:tc>
        <w:tc>
          <w:tcPr>
            <w:tcW w:w="9416"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179" w:hRule="atLeast"/>
        </w:trPr>
        <w:tc>
          <w:tcPr>
            <w:tcW w:w="14000" w:type="dxa"/>
            <w:gridSpan w:val="15"/>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highlight w:val="none"/>
              </w:rPr>
            </w:pP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i w:val="0"/>
                <w:iCs w:val="0"/>
                <w:color w:val="000000"/>
                <w:kern w:val="0"/>
                <w:sz w:val="20"/>
                <w:szCs w:val="20"/>
                <w:u w:val="none"/>
                <w:lang w:val="en-US" w:eastAsia="zh-CN" w:bidi="ar"/>
              </w:rPr>
              <w:t>环江毛南族自治县人力资源和社会保障局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0.54</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0.54</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0.54</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0.54</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环江毛南族自治县人力资源和社会保障局</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2138.88</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564.65</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35.87</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2138.88</w:t>
      </w:r>
      <w:r>
        <w:rPr>
          <w:rFonts w:hint="eastAsia" w:ascii="仿宋" w:hAnsi="仿宋" w:eastAsia="仿宋" w:cs="仿宋"/>
          <w:sz w:val="32"/>
          <w:szCs w:val="32"/>
          <w:highlight w:val="none"/>
        </w:rPr>
        <w:t>万元。收入具体情况如下。</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2138.88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564.65</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35.87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0"/>
          <w:sz w:val="32"/>
          <w:szCs w:val="32"/>
          <w:lang w:eastAsia="zh-CN"/>
        </w:rPr>
        <w:t>就业收入增加，就业专项资金收入增加。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8.其他收入0万元,为预算单位在“财政拨款收入”“事业收入”“经营收入”之外取得的收入。较2021年度决算数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14325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2138.88</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2138.88</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564.65</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35.87</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eastAsia="zh-CN"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3.41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，主要用于本部门为保证日常运转发生的基本支出和为完成各项工作任务、保障单位事业发展而发生的项目支出。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3.15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48.02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主要原因是：2022年年中有人员退休及调离，相关经费减少。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1882.95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其他人力资源和社会保障事务支出、机关事业单位基本养老保险缴费支出、就业补助支出（含职业培训、社会保险、公益性岗位、职业鉴定及见习补贴等）。</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419.3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28.65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主要原因是：就业补助专项资金支出增加。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u w:color="auto"/>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181.72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：粤桂协作就业技能培训、脱贫劳动力县内就业劳务补助、“点对点”输送农民工赴粤务工交通费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181.72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增长</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2021年无相关支出。</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19.18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_GB2312"/>
          <w:kern w:val="0"/>
          <w:sz w:val="32"/>
          <w:szCs w:val="32"/>
        </w:rPr>
        <w:t>按照国家政策规定向职工发放的住房公积金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19.24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主要原因是：2022年年内有职工退休及调出，职工总人数较2021年减少。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ind w:firstLine="640" w:firstLineChars="200"/>
        <w:jc w:val="both"/>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80585" cy="2794000"/>
            <wp:effectExtent l="4445" t="4445" r="20320"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2138.88</w:t>
      </w:r>
      <w:r>
        <w:rPr>
          <w:rFonts w:hint="eastAsia" w:ascii="仿宋" w:hAnsi="仿宋" w:eastAsia="仿宋" w:cs="仿宋"/>
          <w:sz w:val="32"/>
          <w:szCs w:val="32"/>
          <w:highlight w:val="none"/>
        </w:rPr>
        <w:t>万元，较2021年度决算数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u w:color="auto"/>
          <w:lang w:val="en-US" w:eastAsia="zh-CN"/>
        </w:rPr>
        <w:t>564.65</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增长</w:t>
      </w:r>
      <w:r>
        <w:rPr>
          <w:rFonts w:hint="eastAsia" w:ascii="仿宋" w:hAnsi="仿宋" w:eastAsia="仿宋" w:cs="仿宋"/>
          <w:sz w:val="32"/>
          <w:u w:color="auto"/>
          <w:lang w:val="en-US" w:eastAsia="zh-CN"/>
        </w:rPr>
        <w:t>35.87</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291.15</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1847.74</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lang w:val="en-US" w:eastAsia="zh-CN"/>
        </w:rPr>
        <w:t>305.45</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2138.88</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700.24</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3.41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2429"/>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2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本部门为保证日常运转发生的基本支出和为完成各项工作任务、保障单位事业发展而发生的项目支出。</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3.41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281.55</w:t>
      </w:r>
      <w:r>
        <w:rPr>
          <w:rFonts w:hint="eastAsia" w:ascii="仿宋" w:hAnsi="仿宋" w:eastAsia="仿宋"/>
          <w:sz w:val="32"/>
          <w:szCs w:val="32"/>
          <w:highlight w:val="none"/>
        </w:rPr>
        <w:t>万元，支出决算为</w:t>
      </w:r>
      <w:r>
        <w:rPr>
          <w:rFonts w:hint="eastAsia" w:ascii="仿宋" w:hAnsi="仿宋" w:eastAsia="仿宋" w:cs="仿宋"/>
          <w:sz w:val="32"/>
          <w:szCs w:val="32"/>
          <w:highlight w:val="none"/>
          <w:lang w:val="en-US" w:eastAsia="zh-CN" w:bidi="ar"/>
        </w:rPr>
        <w:t>1882.95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668.78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大部分就业补助资金为年中中央及自治区直达资金指标，不纳入年初预算。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1082"/>
        <w:gridCol w:w="821"/>
        <w:gridCol w:w="1912"/>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人力资源和社会保障管理事务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252.83</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329.83</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130.46</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人力资源和社会保障事务支出</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年中追加部分项目资金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行政事业单位养老支出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28.72</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26.53</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92.37</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机关事业单位基本养老保险缴费支出</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年中有人员退休及调出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就业补助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1526.6</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 w:hAnsi="仿宋" w:eastAsia="仿宋" w:cs="仿宋"/>
                <w:color w:val="auto"/>
                <w:sz w:val="21"/>
                <w:szCs w:val="21"/>
                <w:highlight w:val="none"/>
                <w:lang w:val="en-US" w:eastAsia="zh-CN"/>
              </w:rPr>
              <w:t>就业补助支出</w:t>
            </w: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就业补助资金多为中央及自治区直达资金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281.55</w:t>
            </w:r>
          </w:p>
        </w:tc>
        <w:tc>
          <w:tcPr>
            <w:tcW w:w="10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1882.95</w:t>
            </w:r>
          </w:p>
        </w:tc>
        <w:tc>
          <w:tcPr>
            <w:tcW w:w="8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181.72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该项资金为自治区年中下达资金，不纳入年初预算。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粤桂协作就业技能培训、脱贫劳动力县内就业劳务补助、“点对点”输送农民工赴粤务工交通费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2021年无相关支出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7812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20.49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19.18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93.61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原因是：2022年年内有职工退休及调出，职工总人数较2021年减少。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93.61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按照国家政策规定向职工发放的住房公积金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2022年年内有职工退休及调出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291.15</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267.02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24.13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250.53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120.94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年中存在人员职级晋升与其他相关工资调整。</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66.12万元，30102津贴补贴40.61万元，30103奖金82.53万元，30106伙食补助费0万元，30107绩效工资0万元，30108机关事业单位基本养老保险缴费26.53万元，30110职工基本医疗保险缴费11.09万元，30111公务员医疗补助缴费0万元，30112其他社会保障缴费0.35万元，30113住房公积金19.34万元，30199其他工资福利支出3.96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69210"/>
            <wp:effectExtent l="4445" t="4445" r="16510" b="1714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24.13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90.85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年中有人员调出及退休，其他交通补助费用减少。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30201办公费4.3万元，30207邮电费2.53万元，30213维修费0.25万元，30226劳务费0.03万元，30228工会经费3.41万元，30239其他交通费用13.59万元。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379345"/>
            <wp:effectExtent l="4445" t="4445" r="16510" b="1651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16.48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122.99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年中有2人在职转退休，退休补助增加。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lang w:val="en-US" w:eastAsia="zh-CN"/>
        </w:rPr>
        <w:t>30305生活补助16.48万元。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4889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4889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cs="仿宋"/>
          <w:sz w:val="32"/>
          <w:szCs w:val="32"/>
          <w:highlight w:val="none"/>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4480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0.54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0.12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主要原因是：是认真贯彻落实中央“八项规定”精神和厉行节约要求，严控和压缩“三公”经费相关支出。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0.54</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eastAsia="zh-CN"/>
        </w:rPr>
        <w:t>环江毛南族自治县人力资源和社会保障局</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0.54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主要原因是：是认真贯彻落实中央“八项规定”精神和厉行节约要求，严控和压缩“三公”经费相关支出。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55</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24.13</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2.43</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9.15</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3.98</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主要原因是：人员编制数量减少、落实过紧日子要求压减</w:t>
      </w:r>
      <w:r>
        <w:rPr>
          <w:rFonts w:hint="eastAsia" w:ascii="仿宋" w:hAnsi="仿宋" w:eastAsia="仿宋" w:cs="仿宋"/>
          <w:color w:val="auto"/>
          <w:sz w:val="32"/>
          <w:szCs w:val="32"/>
          <w:highlight w:val="none"/>
          <w:lang w:eastAsia="zh-CN"/>
        </w:rPr>
        <w:t>各项</w:t>
      </w:r>
      <w:r>
        <w:rPr>
          <w:rFonts w:hint="eastAsia" w:ascii="仿宋" w:hAnsi="仿宋" w:eastAsia="仿宋" w:cs="仿宋"/>
          <w:color w:val="auto"/>
          <w:sz w:val="32"/>
          <w:szCs w:val="32"/>
          <w:highlight w:val="none"/>
        </w:rPr>
        <w:t>支出</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1.83</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1.83</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1.83</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1.83</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1762.88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95.41</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组织对“就业补助资金”等</w:t>
      </w:r>
      <w:r>
        <w:rPr>
          <w:rFonts w:hint="eastAsia" w:ascii="仿宋" w:hAnsi="仿宋" w:eastAsia="仿宋" w:cs="仿宋"/>
          <w:color w:val="000000" w:themeColor="text1"/>
          <w:sz w:val="32"/>
          <w:szCs w:val="32"/>
          <w:lang w:val="en-US" w:eastAsia="zh-CN"/>
          <w14:textFill>
            <w14:solidFill>
              <w14:schemeClr w14:val="tx1"/>
            </w14:solidFill>
          </w14:textFill>
        </w:rPr>
        <w:t>26</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1762.88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2022年基本完成全部项目绩效目标，部分项目因本年未发生或未开展相关业务无支出，未达到绩效目标。</w:t>
      </w:r>
    </w:p>
    <w:p>
      <w:pPr>
        <w:ind w:firstLine="640" w:firstLineChars="200"/>
        <w:jc w:val="left"/>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部门</w:t>
      </w:r>
      <w:r>
        <w:rPr>
          <w:rFonts w:hint="eastAsia" w:ascii="仿宋" w:hAnsi="仿宋" w:eastAsia="仿宋" w:cs="仿宋"/>
          <w:color w:val="000000" w:themeColor="text1"/>
          <w:sz w:val="32"/>
          <w:szCs w:val="32"/>
          <w14:textFill>
            <w14:solidFill>
              <w14:schemeClr w14:val="tx1"/>
            </w14:solidFill>
          </w14:textFill>
        </w:rPr>
        <w:t>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18146.78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853</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2022年基本完成全部项目绩效目标，部分项目因本年未发生或未开展相关业务无支出，未达到绩效目标。</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人力资源和社会保障日常工作经费项目自评得分为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桂财社〔2020〕189号2021年自治区财政“服务惠民”专项活动项目自评得分为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项目开展实施进度慢，</w:t>
      </w:r>
      <w:r>
        <w:rPr>
          <w:rFonts w:hint="eastAsia" w:ascii="仿宋" w:hAnsi="仿宋" w:eastAsia="仿宋" w:cs="仿宋"/>
          <w:color w:val="000000" w:themeColor="text1"/>
          <w:sz w:val="32"/>
          <w:szCs w:val="32"/>
          <w:lang w:val="en-US" w:eastAsia="zh-CN"/>
          <w14:textFill>
            <w14:solidFill>
              <w14:schemeClr w14:val="tx1"/>
            </w14:solidFill>
          </w14:textFill>
        </w:rPr>
        <w:t>2022年未开展相关业务</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3、企业薪酬调查项目经费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分。发现的主要问题及原因：已完成企业薪酬调查项目，但为节省开支，先支取往年结余经费，当年经费未开支。下一步改进措施：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4、脱贫劳动力稳就业点对点服务保障及务工补助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绩效目标值设置不够合理</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合理设置项目绩效目标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5、农民工工资应急周转金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该项目具有不确定性，因年内未发生农民工工资引起的突发性事件，未有支出，无法达到设定的目标值</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6、2022年自治区财政县域就业和社会保障服务设施改善提升项目建设资金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项目开展实施进度慢，</w:t>
      </w:r>
      <w:r>
        <w:rPr>
          <w:rFonts w:hint="eastAsia" w:ascii="仿宋" w:hAnsi="仿宋" w:eastAsia="仿宋" w:cs="仿宋"/>
          <w:color w:val="000000" w:themeColor="text1"/>
          <w:sz w:val="32"/>
          <w:szCs w:val="32"/>
          <w:lang w:val="en-US" w:eastAsia="zh-CN"/>
          <w14:textFill>
            <w14:solidFill>
              <w14:schemeClr w14:val="tx1"/>
            </w14:solidFill>
          </w14:textFill>
        </w:rPr>
        <w:t>2022年未开展相关业务</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7、乡村振兴村级协理员招用工作经费项目自评得分为94.15分。发现的主要问题及原因：项目已完成，但是未及时拨付资金。下一步改进措施：加快支出进度。8、干部人事档案管理工作经费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9、劳动仲裁办案工作经费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90.09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年初设定的项目绩效目标不够精准合理</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合理设定项目绩效目标。</w:t>
      </w:r>
      <w:r>
        <w:rPr>
          <w:rFonts w:hint="eastAsia" w:ascii="仿宋" w:hAnsi="仿宋" w:eastAsia="仿宋" w:cs="仿宋"/>
          <w:color w:val="000000" w:themeColor="text1"/>
          <w:sz w:val="32"/>
          <w:szCs w:val="32"/>
          <w:lang w:val="en-US" w:eastAsia="zh-CN"/>
          <w14:textFill>
            <w14:solidFill>
              <w14:schemeClr w14:val="tx1"/>
            </w14:solidFill>
          </w14:textFill>
        </w:rPr>
        <w:t>10、人才中心档案管理经费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11、粤桂协作就业技能培训</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99.8</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原测算补贴标准不够精确</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合理设定项目绩效目标。</w:t>
      </w:r>
      <w:r>
        <w:rPr>
          <w:rFonts w:hint="eastAsia" w:ascii="仿宋" w:hAnsi="仿宋" w:eastAsia="仿宋" w:cs="仿宋"/>
          <w:color w:val="000000" w:themeColor="text1"/>
          <w:sz w:val="32"/>
          <w:szCs w:val="32"/>
          <w:lang w:val="en-US" w:eastAsia="zh-CN"/>
          <w14:textFill>
            <w14:solidFill>
              <w14:schemeClr w14:val="tx1"/>
            </w14:solidFill>
          </w14:textFill>
        </w:rPr>
        <w:t>12、自治区就业补助资金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13、2021年企业薪酬调查项目经费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14、劳动监察工作经费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年初设定的项目绩效目标不够精准合理</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合理设定项目绩效目标。</w:t>
      </w:r>
      <w:r>
        <w:rPr>
          <w:rFonts w:hint="eastAsia" w:ascii="仿宋" w:hAnsi="仿宋" w:eastAsia="仿宋" w:cs="仿宋"/>
          <w:color w:val="000000" w:themeColor="text1"/>
          <w:sz w:val="32"/>
          <w:szCs w:val="32"/>
          <w:lang w:val="en-US" w:eastAsia="zh-CN"/>
          <w14:textFill>
            <w14:solidFill>
              <w14:schemeClr w14:val="tx1"/>
            </w14:solidFill>
          </w14:textFill>
        </w:rPr>
        <w:t>15、党员活动经费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97.42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16、奖励性补贴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97.42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17、县内务工补助</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99.69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18、电信电路业务服务费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19、工伤认定工作经费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90.2</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年初设定的项目绩效目标不够精准合理</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合理设定项目绩效目标。</w:t>
      </w:r>
      <w:r>
        <w:rPr>
          <w:rFonts w:hint="eastAsia" w:ascii="仿宋" w:hAnsi="仿宋" w:eastAsia="仿宋" w:cs="仿宋"/>
          <w:color w:val="000000" w:themeColor="text1"/>
          <w:sz w:val="32"/>
          <w:szCs w:val="32"/>
          <w:lang w:val="en-US" w:eastAsia="zh-CN"/>
          <w14:textFill>
            <w14:solidFill>
              <w14:schemeClr w14:val="tx1"/>
            </w14:solidFill>
          </w14:textFill>
        </w:rPr>
        <w:t>20、自治区财政人力资源和社会保障专项资金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项目开展实施进度慢，</w:t>
      </w:r>
      <w:r>
        <w:rPr>
          <w:rFonts w:hint="eastAsia" w:ascii="仿宋" w:hAnsi="仿宋" w:eastAsia="仿宋" w:cs="仿宋"/>
          <w:color w:val="000000" w:themeColor="text1"/>
          <w:sz w:val="32"/>
          <w:szCs w:val="32"/>
          <w:lang w:val="en-US" w:eastAsia="zh-CN"/>
          <w14:textFill>
            <w14:solidFill>
              <w14:schemeClr w14:val="tx1"/>
            </w14:solidFill>
          </w14:textFill>
        </w:rPr>
        <w:t>2022年未开展相关业务</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21、公开招聘事业单位工作人员和事业单位紧缺人才工作经费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22、保障农民工工资工作经费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lang w:val="en-US" w:eastAsia="zh-CN"/>
          <w14:textFill>
            <w14:solidFill>
              <w14:schemeClr w14:val="tx1"/>
            </w14:solidFill>
          </w14:textFill>
        </w:rPr>
        <w:t>23、2022年自治区财政“服务惠民”专项活动项目建设资金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93.61</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项目开展实施进度慢</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24、就业补助资金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年中预算调整数据有变动</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合理设定项目绩效目标。</w:t>
      </w:r>
      <w:r>
        <w:rPr>
          <w:rFonts w:hint="eastAsia" w:ascii="仿宋" w:hAnsi="仿宋" w:eastAsia="仿宋" w:cs="仿宋"/>
          <w:color w:val="000000" w:themeColor="text1"/>
          <w:sz w:val="32"/>
          <w:szCs w:val="32"/>
          <w:lang w:val="en-US" w:eastAsia="zh-CN"/>
          <w14:textFill>
            <w14:solidFill>
              <w14:schemeClr w14:val="tx1"/>
            </w14:solidFill>
          </w14:textFill>
        </w:rPr>
        <w:t>25、服务大厅建设经费项目建设资金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项目已开展资金未支付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加快各个项目实施进度及资金使用效率</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26、中央就业补助资金费</w:t>
      </w:r>
      <w:r>
        <w:rPr>
          <w:rFonts w:hint="eastAsia" w:ascii="仿宋" w:hAnsi="仿宋" w:eastAsia="仿宋" w:cs="仿宋"/>
          <w:color w:val="000000" w:themeColor="text1"/>
          <w:sz w:val="32"/>
          <w:szCs w:val="32"/>
          <w14:textFill>
            <w14:solidFill>
              <w14:schemeClr w14:val="tx1"/>
            </w14:solidFill>
          </w14:textFill>
        </w:rPr>
        <w:t>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无</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无。</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8D04455"/>
    <w:rsid w:val="0942143F"/>
    <w:rsid w:val="0D100297"/>
    <w:rsid w:val="0D202B45"/>
    <w:rsid w:val="0F8D4C87"/>
    <w:rsid w:val="10505FAA"/>
    <w:rsid w:val="105F7E7E"/>
    <w:rsid w:val="11E56B5B"/>
    <w:rsid w:val="125C77AB"/>
    <w:rsid w:val="14CB726E"/>
    <w:rsid w:val="170E4165"/>
    <w:rsid w:val="17E92249"/>
    <w:rsid w:val="18D304F1"/>
    <w:rsid w:val="19F32577"/>
    <w:rsid w:val="19F45B80"/>
    <w:rsid w:val="1B0C078D"/>
    <w:rsid w:val="1B2B31E2"/>
    <w:rsid w:val="1B4C295A"/>
    <w:rsid w:val="1B973C63"/>
    <w:rsid w:val="1BA1001E"/>
    <w:rsid w:val="1D317259"/>
    <w:rsid w:val="1D6334B4"/>
    <w:rsid w:val="1E664F5B"/>
    <w:rsid w:val="1E966EBA"/>
    <w:rsid w:val="1EB34BE1"/>
    <w:rsid w:val="1F695F97"/>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D800AA"/>
    <w:rsid w:val="38A951DB"/>
    <w:rsid w:val="38B31605"/>
    <w:rsid w:val="39003F4F"/>
    <w:rsid w:val="399417AF"/>
    <w:rsid w:val="3C07002B"/>
    <w:rsid w:val="3D0D152A"/>
    <w:rsid w:val="3DF62756"/>
    <w:rsid w:val="3F1B7587"/>
    <w:rsid w:val="40D60B65"/>
    <w:rsid w:val="41E57B4F"/>
    <w:rsid w:val="432F26F6"/>
    <w:rsid w:val="43577787"/>
    <w:rsid w:val="43880F63"/>
    <w:rsid w:val="441C5A6F"/>
    <w:rsid w:val="44C44FCC"/>
    <w:rsid w:val="44CC7369"/>
    <w:rsid w:val="457F5108"/>
    <w:rsid w:val="45950036"/>
    <w:rsid w:val="468C1777"/>
    <w:rsid w:val="46951B6B"/>
    <w:rsid w:val="49A34401"/>
    <w:rsid w:val="4A3E30AB"/>
    <w:rsid w:val="4A6079EA"/>
    <w:rsid w:val="4AC14DAC"/>
    <w:rsid w:val="4D154C85"/>
    <w:rsid w:val="4EC8553A"/>
    <w:rsid w:val="508F4E24"/>
    <w:rsid w:val="51461E90"/>
    <w:rsid w:val="51463753"/>
    <w:rsid w:val="52553A93"/>
    <w:rsid w:val="533E5686"/>
    <w:rsid w:val="53521F8B"/>
    <w:rsid w:val="53E22F47"/>
    <w:rsid w:val="54522FF8"/>
    <w:rsid w:val="55450629"/>
    <w:rsid w:val="56692963"/>
    <w:rsid w:val="568B0F48"/>
    <w:rsid w:val="5786217B"/>
    <w:rsid w:val="59337A15"/>
    <w:rsid w:val="59810274"/>
    <w:rsid w:val="5CA96A00"/>
    <w:rsid w:val="5CF730BC"/>
    <w:rsid w:val="5E19246F"/>
    <w:rsid w:val="5E5F0DCE"/>
    <w:rsid w:val="5FA40A7B"/>
    <w:rsid w:val="5FD56D29"/>
    <w:rsid w:val="5FEC7F3F"/>
    <w:rsid w:val="60F74BC3"/>
    <w:rsid w:val="617D3BF8"/>
    <w:rsid w:val="61841F6A"/>
    <w:rsid w:val="622B0AFA"/>
    <w:rsid w:val="623007A9"/>
    <w:rsid w:val="62575CE7"/>
    <w:rsid w:val="634F29FC"/>
    <w:rsid w:val="637D7558"/>
    <w:rsid w:val="644F19AC"/>
    <w:rsid w:val="65AA4920"/>
    <w:rsid w:val="67694F1E"/>
    <w:rsid w:val="67DD06AF"/>
    <w:rsid w:val="687C2679"/>
    <w:rsid w:val="69597934"/>
    <w:rsid w:val="6978691E"/>
    <w:rsid w:val="6B720CAA"/>
    <w:rsid w:val="6B964DDC"/>
    <w:rsid w:val="6C783074"/>
    <w:rsid w:val="6D9E65C6"/>
    <w:rsid w:val="6DA81947"/>
    <w:rsid w:val="6EB66DE2"/>
    <w:rsid w:val="6ED3075F"/>
    <w:rsid w:val="6F2A2D4B"/>
    <w:rsid w:val="6F8A0C1E"/>
    <w:rsid w:val="703F45D4"/>
    <w:rsid w:val="715D6546"/>
    <w:rsid w:val="71BE069E"/>
    <w:rsid w:val="73953409"/>
    <w:rsid w:val="73BE49C2"/>
    <w:rsid w:val="73E069A3"/>
    <w:rsid w:val="78104AA8"/>
    <w:rsid w:val="78116312"/>
    <w:rsid w:val="78E257C5"/>
    <w:rsid w:val="7922554C"/>
    <w:rsid w:val="794B35BE"/>
    <w:rsid w:val="7A245D94"/>
    <w:rsid w:val="7B0A3A31"/>
    <w:rsid w:val="7B3360ED"/>
    <w:rsid w:val="7B5319F3"/>
    <w:rsid w:val="7BDF037E"/>
    <w:rsid w:val="7BF50948"/>
    <w:rsid w:val="7CE66A78"/>
    <w:rsid w:val="7D23564C"/>
    <w:rsid w:val="7D5E062D"/>
    <w:rsid w:val="7DF76CD8"/>
    <w:rsid w:val="7F3A2E37"/>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2138.88</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6.56</c:v>
                </c:pt>
                <c:pt idx="1">
                  <c:v>1463.65</c:v>
                </c:pt>
                <c:pt idx="2">
                  <c:v>0</c:v>
                </c:pt>
                <c:pt idx="3">
                  <c:v>23.75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Sheet1!$C$2:$C$5</c:f>
              <c:numCache>
                <c:formatCode>General</c:formatCode>
                <c:ptCount val="4"/>
                <c:pt idx="0">
                  <c:v>3.41</c:v>
                </c:pt>
                <c:pt idx="1">
                  <c:v>1882.95</c:v>
                </c:pt>
                <c:pt idx="2">
                  <c:v>181.72</c:v>
                </c:pt>
                <c:pt idx="3">
                  <c:v>19.18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205x</c:v>
                </c:pt>
              </c:strCache>
            </c:strRef>
          </c:cat>
          <c:val>
            <c:numRef>
              <c:f>Sheet1!$B$2:$B$3</c:f>
              <c:numCache>
                <c:formatCode>General</c:formatCode>
                <c:ptCount val="2"/>
                <c:pt idx="0">
                  <c:v>3.41</c:v>
                </c:pt>
                <c:pt idx="1">
                  <c:v>3.41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20801</c:v>
                </c:pt>
                <c:pt idx="1">
                  <c:v>20805</c:v>
                </c:pt>
                <c:pt idx="2">
                  <c:v>20807</c:v>
                </c:pt>
              </c:numCache>
            </c:numRef>
          </c:cat>
          <c:val>
            <c:numRef>
              <c:f>Sheet1!$B$2:$B$4</c:f>
              <c:numCache>
                <c:formatCode>General</c:formatCode>
                <c:ptCount val="3"/>
                <c:pt idx="0">
                  <c:v>329.83</c:v>
                </c:pt>
                <c:pt idx="1">
                  <c:v>26.53</c:v>
                </c:pt>
                <c:pt idx="2">
                  <c:v>1526.6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2130599</c:v>
                </c:pt>
                <c:pt idx="1">
                  <c:v>213x</c:v>
                </c:pt>
              </c:strCache>
            </c:strRef>
          </c:cat>
          <c:val>
            <c:numRef>
              <c:f>Sheet1!$B$2:$B$3</c:f>
              <c:numCache>
                <c:formatCode>General</c:formatCode>
                <c:ptCount val="2"/>
                <c:pt idx="0">
                  <c:v>181.72</c:v>
                </c:pt>
                <c:pt idx="1">
                  <c:v>181.72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19.18</c:v>
                </c:pt>
                <c:pt idx="1">
                  <c:v>19.18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66.12</c:v>
                </c:pt>
                <c:pt idx="1">
                  <c:v>40.61</c:v>
                </c:pt>
                <c:pt idx="2">
                  <c:v>82.53</c:v>
                </c:pt>
                <c:pt idx="3">
                  <c:v>0</c:v>
                </c:pt>
                <c:pt idx="4">
                  <c:v>0</c:v>
                </c:pt>
                <c:pt idx="5">
                  <c:v>26.53</c:v>
                </c:pt>
                <c:pt idx="6">
                  <c:v>0</c:v>
                </c:pt>
                <c:pt idx="7">
                  <c:v>11.09</c:v>
                </c:pt>
                <c:pt idx="8">
                  <c:v>0</c:v>
                </c:pt>
                <c:pt idx="9">
                  <c:v>0.35</c:v>
                </c:pt>
                <c:pt idx="10">
                  <c:v>19.34</c:v>
                </c:pt>
                <c:pt idx="11">
                  <c:v>0</c:v>
                </c:pt>
                <c:pt idx="12">
                  <c:v>3.96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4.3</c:v>
                </c:pt>
                <c:pt idx="1">
                  <c:v>0</c:v>
                </c:pt>
                <c:pt idx="2">
                  <c:v>0</c:v>
                </c:pt>
                <c:pt idx="3">
                  <c:v>0</c:v>
                </c:pt>
                <c:pt idx="4">
                  <c:v>0</c:v>
                </c:pt>
                <c:pt idx="5">
                  <c:v>0</c:v>
                </c:pt>
                <c:pt idx="6">
                  <c:v>2.53</c:v>
                </c:pt>
                <c:pt idx="7">
                  <c:v>0</c:v>
                </c:pt>
                <c:pt idx="8">
                  <c:v>0</c:v>
                </c:pt>
                <c:pt idx="9">
                  <c:v>0</c:v>
                </c:pt>
                <c:pt idx="10">
                  <c:v>0</c:v>
                </c:pt>
                <c:pt idx="11">
                  <c:v>0.25</c:v>
                </c:pt>
                <c:pt idx="12">
                  <c:v>0</c:v>
                </c:pt>
                <c:pt idx="13">
                  <c:v>0</c:v>
                </c:pt>
                <c:pt idx="14">
                  <c:v>0</c:v>
                </c:pt>
                <c:pt idx="15">
                  <c:v>0</c:v>
                </c:pt>
                <c:pt idx="16">
                  <c:v>0</c:v>
                </c:pt>
                <c:pt idx="17">
                  <c:v>0</c:v>
                </c:pt>
                <c:pt idx="18">
                  <c:v>0</c:v>
                </c:pt>
                <c:pt idx="19">
                  <c:v>0.03</c:v>
                </c:pt>
                <c:pt idx="20">
                  <c:v>0</c:v>
                </c:pt>
                <c:pt idx="21">
                  <c:v>3.41</c:v>
                </c:pt>
                <c:pt idx="22">
                  <c:v>0</c:v>
                </c:pt>
                <c:pt idx="23">
                  <c:v>0</c:v>
                </c:pt>
                <c:pt idx="24">
                  <c:v>13.59</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manualLayout>
          <c:layoutTarget val="inner"/>
          <c:xMode val="edge"/>
          <c:yMode val="edge"/>
          <c:x val="0.0612459202497517"/>
          <c:y val="0.169431279620853"/>
          <c:w val="0.895683022686188"/>
          <c:h val="0.59881516587677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16.48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2023-11-24T08:10:04Z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