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kern w:val="0"/>
          <w:sz w:val="52"/>
          <w:szCs w:val="52"/>
        </w:rPr>
        <w:t>环江</w:t>
      </w:r>
      <w:r>
        <w:rPr>
          <w:rFonts w:hint="eastAsia" w:ascii="黑体" w:hAnsi="黑体" w:eastAsia="黑体" w:cs="黑体"/>
          <w:b/>
          <w:bCs/>
          <w:kern w:val="0"/>
          <w:sz w:val="52"/>
          <w:szCs w:val="52"/>
          <w:lang w:eastAsia="zh-CN"/>
        </w:rPr>
        <w:t>毛南族自治</w:t>
      </w:r>
      <w:r>
        <w:rPr>
          <w:rFonts w:hint="eastAsia" w:ascii="黑体" w:hAnsi="黑体" w:eastAsia="黑体" w:cs="黑体"/>
          <w:b/>
          <w:bCs/>
          <w:kern w:val="0"/>
          <w:sz w:val="52"/>
          <w:szCs w:val="52"/>
        </w:rPr>
        <w:t>县</w:t>
      </w:r>
      <w:r>
        <w:rPr>
          <w:rFonts w:hint="eastAsia" w:ascii="黑体" w:hAnsi="黑体" w:eastAsia="黑体" w:cs="黑体"/>
          <w:b/>
          <w:bCs/>
          <w:kern w:val="0"/>
          <w:sz w:val="52"/>
          <w:szCs w:val="52"/>
          <w:lang w:eastAsia="zh-CN"/>
        </w:rPr>
        <w:t>社会保险事业管理中心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eastAsia="zh-CN"/>
        </w:rPr>
        <w:t>环江县社保中心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负责全县</w:t>
      </w:r>
      <w:r>
        <w:rPr>
          <w:rFonts w:hint="eastAsia" w:ascii="仿宋" w:hAnsi="仿宋" w:eastAsia="仿宋" w:cs="仿宋"/>
          <w:color w:val="333333"/>
          <w:sz w:val="32"/>
          <w:szCs w:val="32"/>
          <w:shd w:val="clear" w:color="auto" w:fill="FFFFFF"/>
          <w:lang w:eastAsia="zh-CN"/>
        </w:rPr>
        <w:t>企事业、机关单位和居民社会</w:t>
      </w:r>
      <w:r>
        <w:rPr>
          <w:rFonts w:hint="eastAsia" w:ascii="仿宋" w:hAnsi="仿宋" w:eastAsia="仿宋" w:cs="仿宋"/>
          <w:color w:val="333333"/>
          <w:sz w:val="32"/>
          <w:szCs w:val="32"/>
          <w:shd w:val="clear" w:color="auto" w:fill="FFFFFF"/>
        </w:rPr>
        <w:t>保险登记、基金缴费申报、征缴、建账及管理、关系转移、退休人员待遇核定和支付等工作。</w:t>
      </w:r>
    </w:p>
    <w:p>
      <w:pPr>
        <w:ind w:firstLine="646"/>
        <w:rPr>
          <w:rFonts w:hint="eastAsia" w:ascii="仿宋_GB2312" w:hAnsi="Verdana" w:eastAsia="仿宋_GB2312"/>
          <w:color w:val="333333"/>
          <w:sz w:val="30"/>
          <w:szCs w:val="30"/>
        </w:rPr>
      </w:pPr>
      <w:r>
        <w:rPr>
          <w:rFonts w:hint="eastAsia" w:ascii="仿宋" w:hAnsi="仿宋" w:eastAsia="仿宋" w:cs="仿宋"/>
          <w:color w:val="333333"/>
          <w:sz w:val="32"/>
          <w:szCs w:val="32"/>
          <w:shd w:val="clear" w:color="auto" w:fill="FFFFFF"/>
        </w:rPr>
        <w:t>内设综合股、基金征缴股、待遇发放股</w:t>
      </w:r>
      <w:r>
        <w:rPr>
          <w:rFonts w:hint="eastAsia" w:ascii="仿宋" w:hAnsi="仿宋" w:eastAsia="仿宋" w:cs="仿宋"/>
          <w:color w:val="333333"/>
          <w:sz w:val="32"/>
          <w:szCs w:val="32"/>
          <w:shd w:val="clear" w:color="auto" w:fill="FFFFFF"/>
          <w:lang w:val="en-US" w:eastAsia="zh-CN"/>
        </w:rPr>
        <w:t>,财务股等股室，人</w:t>
      </w:r>
      <w:r>
        <w:rPr>
          <w:rFonts w:hint="eastAsia" w:ascii="仿宋" w:hAnsi="仿宋" w:eastAsia="仿宋" w:cs="仿宋"/>
          <w:color w:val="333333"/>
          <w:sz w:val="32"/>
          <w:szCs w:val="32"/>
        </w:rPr>
        <w:t>员编制总数为</w:t>
      </w:r>
      <w:r>
        <w:rPr>
          <w:rFonts w:hint="eastAsia" w:ascii="仿宋" w:hAnsi="仿宋" w:eastAsia="仿宋" w:cs="仿宋"/>
          <w:color w:val="333333"/>
          <w:sz w:val="32"/>
          <w:szCs w:val="32"/>
          <w:lang w:val="en-US" w:eastAsia="zh-CN"/>
        </w:rPr>
        <w:t>38</w:t>
      </w:r>
      <w:r>
        <w:rPr>
          <w:rFonts w:hint="eastAsia" w:ascii="仿宋" w:hAnsi="仿宋" w:eastAsia="仿宋" w:cs="仿宋"/>
          <w:color w:val="333333"/>
          <w:sz w:val="32"/>
          <w:szCs w:val="32"/>
        </w:rPr>
        <w:t>人</w:t>
      </w:r>
      <w:r>
        <w:rPr>
          <w:rFonts w:hint="eastAsia" w:ascii="仿宋" w:hAnsi="仿宋" w:eastAsia="仿宋" w:cs="仿宋"/>
          <w:color w:val="333333"/>
          <w:sz w:val="32"/>
          <w:szCs w:val="32"/>
          <w:lang w:eastAsia="zh-CN"/>
        </w:rPr>
        <w:t>，年末</w:t>
      </w:r>
      <w:r>
        <w:rPr>
          <w:rFonts w:hint="eastAsia" w:ascii="仿宋" w:hAnsi="仿宋" w:eastAsia="仿宋" w:cs="仿宋"/>
          <w:color w:val="333333"/>
          <w:sz w:val="32"/>
          <w:szCs w:val="32"/>
        </w:rPr>
        <w:t>实有财政供养人数</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5"/>
        <w:rPr>
          <w:rFonts w:hint="eastAsia" w:ascii="仿宋" w:hAnsi="仿宋" w:eastAsia="仿宋" w:cs="仿宋"/>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333333"/>
          <w:sz w:val="32"/>
          <w:szCs w:val="32"/>
          <w:shd w:val="clear" w:color="auto" w:fill="FFFFFF"/>
        </w:rPr>
        <w:t>内设综合股、基金征缴股、待遇发放股</w:t>
      </w:r>
      <w:r>
        <w:rPr>
          <w:rFonts w:hint="eastAsia" w:ascii="仿宋" w:hAnsi="仿宋" w:eastAsia="仿宋" w:cs="仿宋"/>
          <w:color w:val="333333"/>
          <w:sz w:val="32"/>
          <w:szCs w:val="32"/>
          <w:shd w:val="clear" w:color="auto" w:fill="FFFFFF"/>
          <w:lang w:val="en-US" w:eastAsia="zh-CN"/>
        </w:rPr>
        <w:t>,财务股等股室，人</w:t>
      </w:r>
      <w:r>
        <w:rPr>
          <w:rFonts w:hint="eastAsia" w:ascii="仿宋" w:hAnsi="仿宋" w:eastAsia="仿宋" w:cs="仿宋"/>
          <w:color w:val="333333"/>
          <w:sz w:val="32"/>
          <w:szCs w:val="32"/>
        </w:rPr>
        <w:t>员编制总数为</w:t>
      </w:r>
      <w:r>
        <w:rPr>
          <w:rFonts w:hint="eastAsia" w:ascii="仿宋" w:hAnsi="仿宋" w:eastAsia="仿宋" w:cs="仿宋"/>
          <w:color w:val="333333"/>
          <w:sz w:val="32"/>
          <w:szCs w:val="32"/>
          <w:lang w:val="en-US" w:eastAsia="zh-CN"/>
        </w:rPr>
        <w:t>38</w:t>
      </w:r>
      <w:r>
        <w:rPr>
          <w:rFonts w:hint="eastAsia" w:ascii="仿宋" w:hAnsi="仿宋" w:eastAsia="仿宋" w:cs="仿宋"/>
          <w:color w:val="333333"/>
          <w:sz w:val="32"/>
          <w:szCs w:val="32"/>
        </w:rPr>
        <w:t>人</w:t>
      </w:r>
      <w:r>
        <w:rPr>
          <w:rFonts w:hint="eastAsia" w:ascii="仿宋" w:hAnsi="仿宋" w:eastAsia="仿宋" w:cs="仿宋"/>
          <w:color w:val="333333"/>
          <w:sz w:val="32"/>
          <w:szCs w:val="32"/>
          <w:lang w:eastAsia="zh-CN"/>
        </w:rPr>
        <w:t>，年末</w:t>
      </w:r>
      <w:r>
        <w:rPr>
          <w:rFonts w:hint="eastAsia" w:ascii="仿宋" w:hAnsi="仿宋" w:eastAsia="仿宋" w:cs="仿宋"/>
          <w:color w:val="333333"/>
          <w:sz w:val="32"/>
          <w:szCs w:val="32"/>
        </w:rPr>
        <w:t>实有财政供养人数</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人</w:t>
      </w: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3340"/>
        <w:gridCol w:w="1596"/>
        <w:gridCol w:w="1690"/>
        <w:gridCol w:w="3210"/>
        <w:gridCol w:w="2202"/>
        <w:gridCol w:w="1902"/>
      </w:tblGrid>
      <w:tr>
        <w:tblPrEx>
          <w:tblCellMar>
            <w:top w:w="0" w:type="dxa"/>
            <w:left w:w="108" w:type="dxa"/>
            <w:bottom w:w="0" w:type="dxa"/>
            <w:right w:w="108" w:type="dxa"/>
          </w:tblCellMar>
        </w:tblPrEx>
        <w:trPr>
          <w:trHeight w:val="711"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3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rPr>
          <w:trHeight w:val="301" w:hRule="atLeast"/>
        </w:trPr>
        <w:tc>
          <w:tcPr>
            <w:tcW w:w="6626"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321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6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31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15,726.50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235.13</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15,401.43</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16,579.50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16,579.50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16,579.50</w:t>
            </w:r>
          </w:p>
        </w:tc>
        <w:tc>
          <w:tcPr>
            <w:tcW w:w="3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16,579.50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2726"/>
        <w:gridCol w:w="1698"/>
        <w:gridCol w:w="1721"/>
        <w:gridCol w:w="1095"/>
        <w:gridCol w:w="806"/>
        <w:gridCol w:w="750"/>
        <w:gridCol w:w="934"/>
        <w:gridCol w:w="796"/>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9579"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109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6"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7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8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9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7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4576"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76"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76"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rPr>
          <w:trHeight w:val="961"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16,579.50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16,579.50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235.13</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235.13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15,401.43</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15,401.43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111.33</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111.33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111.33</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111.33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7,292.53</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7,292.53</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35.04</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35.04</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2080506</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582.20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582.20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2080507</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对机关事业单位基本养老保险基金的补助</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6,670.00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6,670.00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5.28</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5.28</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20826</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7,959.32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7,959.32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2082602</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财政对城乡居民基本养老保险基金的补助</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7,959.32</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7,959.32</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20830</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2083001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财政代缴城乡居民基本养老保险费支出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2089999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2120805</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45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4413"/>
        <w:gridCol w:w="1338"/>
        <w:gridCol w:w="1383"/>
        <w:gridCol w:w="1298"/>
        <w:gridCol w:w="1408"/>
        <w:gridCol w:w="1170"/>
        <w:gridCol w:w="1288"/>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1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3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8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0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8"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10114"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1408"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0"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8"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60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3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4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44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2" w:hRule="atLeast"/>
        </w:trPr>
        <w:tc>
          <w:tcPr>
            <w:tcW w:w="60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60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16,579.50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398.68</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16,180.82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235.13</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235.13</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15,401.43</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73.61</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15,327.82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111.33</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38.56</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72.76</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111.33</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38.56</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72.76</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7,292.53</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35.04</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7,257.48</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35.04</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35.04</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2080506</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582.20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582.20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2080507</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对机关事业单位基本养老保险基金的补助</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6,670.00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6,670.00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5.28</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5.28</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20826</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7,959.32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7,959.32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2082602</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财政对城乡居民基本养老保险基金的补助</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7,959.32</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7,959.32</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20830</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2083001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财政代缴城乡居民基本养老保险费支出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19.70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18.56</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2089999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18.56</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2120805</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44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3242"/>
        <w:gridCol w:w="625"/>
        <w:gridCol w:w="1209"/>
        <w:gridCol w:w="3478"/>
        <w:gridCol w:w="721"/>
        <w:gridCol w:w="1235"/>
        <w:gridCol w:w="1257"/>
        <w:gridCol w:w="1036"/>
        <w:gridCol w:w="1273"/>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15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733"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44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80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196"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11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2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rPr>
          <w:trHeight w:val="536" w:hRule="atLeast"/>
        </w:trPr>
        <w:tc>
          <w:tcPr>
            <w:tcW w:w="11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15,726.50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235.13</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235.13</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15,401.43</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15,401.43</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29.17</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60.76</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16579.5</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16,579.50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15,726.50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16579.5</w:t>
            </w:r>
          </w:p>
        </w:tc>
        <w:tc>
          <w:tcPr>
            <w:tcW w:w="12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16,579.50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15,726.50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54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45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3839"/>
        <w:gridCol w:w="2583"/>
        <w:gridCol w:w="2802"/>
        <w:gridCol w:w="1997"/>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9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9181"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28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97"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65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4587"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5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28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9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65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65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15,726.50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398.68</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15,327.82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235.13</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235.13</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230.54</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15,401.43</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73.61</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15,327.82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111.33</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38.56</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72.76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111.33</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38.56</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72.76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7,292.53</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35.04</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7,257.48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35.04</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35.04</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2080506</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582.20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582.20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2080507</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对机关事业单位基本养老保险基金的补助</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6,670.00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6,670.00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5.28</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20826</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7,959.32</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7,959.32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2082602</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财政对城乡居民基本养老保险基金的补助</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7,959.32</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7,959.32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20830</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19.70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2083001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财政代缴城乡居民基本养老保险费支出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19.70</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2089999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29.17</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29.17</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29.17</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29.17</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29.17</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29.17</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60.76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60.76</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60.76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60.76</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60.76</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60.76</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974"/>
        <w:gridCol w:w="919"/>
        <w:gridCol w:w="864"/>
        <w:gridCol w:w="2526"/>
        <w:gridCol w:w="981"/>
        <w:gridCol w:w="798"/>
        <w:gridCol w:w="2912"/>
        <w:gridCol w:w="91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390"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98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9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1"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50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5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7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9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371.31</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13.44</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95.17</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70.72</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89.30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41.25</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0.03</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0.71</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29.17</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23.69</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13.92</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13.91</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0.85</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9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385.24</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13.44</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2368"/>
        <w:gridCol w:w="1523"/>
        <w:gridCol w:w="1360"/>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414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60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414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414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26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21208</w:t>
            </w:r>
          </w:p>
        </w:tc>
        <w:tc>
          <w:tcPr>
            <w:tcW w:w="26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2120805</w:t>
            </w:r>
          </w:p>
        </w:tc>
        <w:tc>
          <w:tcPr>
            <w:tcW w:w="26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853.00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本部门2022年度没有国有资本经营预算财政拨款收入，也没有国有资本经营预算财政拨款安排的支出，故本表无数据。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环江毛南族自治县社会保险事业管理中心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环江县社保中心</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szCs w:val="32"/>
          <w:u w:color="auto"/>
        </w:rPr>
        <w:t>16579.5</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u w:color="auto"/>
          <w:lang w:eastAsia="zh-CN"/>
        </w:rPr>
        <w:t>增加</w:t>
      </w:r>
      <w:r>
        <w:rPr>
          <w:rFonts w:hint="eastAsia" w:ascii="仿宋" w:hAnsi="仿宋" w:eastAsia="仿宋" w:cs="仿宋"/>
          <w:sz w:val="32"/>
          <w:szCs w:val="32"/>
          <w:u w:color="auto"/>
          <w:lang w:val="en-US" w:eastAsia="zh-CN"/>
        </w:rPr>
        <w:t>982.63</w:t>
      </w:r>
      <w:r>
        <w:rPr>
          <w:rFonts w:hint="eastAsia" w:ascii="仿宋" w:hAnsi="仿宋" w:eastAsia="仿宋" w:cs="仿宋"/>
          <w:sz w:val="32"/>
          <w:szCs w:val="32"/>
          <w:highlight w:val="none"/>
        </w:rPr>
        <w:t>万元，</w:t>
      </w:r>
      <w:r>
        <w:rPr>
          <w:rFonts w:hint="eastAsia" w:ascii="仿宋" w:hAnsi="仿宋" w:eastAsia="仿宋" w:cs="仿宋"/>
          <w:sz w:val="32"/>
          <w:szCs w:val="32"/>
          <w:u w:color="auto"/>
          <w:lang w:eastAsia="zh-CN"/>
        </w:rPr>
        <w:t>上升</w:t>
      </w:r>
      <w:r>
        <w:rPr>
          <w:rFonts w:hint="eastAsia" w:ascii="仿宋" w:hAnsi="仿宋" w:eastAsia="仿宋" w:cs="仿宋"/>
          <w:sz w:val="32"/>
          <w:szCs w:val="32"/>
          <w:u w:color="auto"/>
          <w:lang w:val="en-US" w:eastAsia="zh-CN"/>
        </w:rPr>
        <w:t>6.3</w:t>
      </w:r>
      <w:r>
        <w:rPr>
          <w:rFonts w:hint="eastAsia" w:ascii="仿宋" w:hAnsi="仿宋" w:eastAsia="仿宋" w:cs="仿宋"/>
          <w:sz w:val="32"/>
          <w:szCs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szCs w:val="32"/>
          <w:u w:color="auto"/>
        </w:rPr>
        <w:t>16579.5</w:t>
      </w:r>
      <w:r>
        <w:rPr>
          <w:rFonts w:hint="eastAsia" w:ascii="仿宋" w:hAnsi="仿宋" w:eastAsia="仿宋" w:cs="仿宋"/>
          <w:sz w:val="32"/>
          <w:szCs w:val="32"/>
          <w:highlight w:val="none"/>
        </w:rPr>
        <w:t>万元。收入具体情况如下。</w:t>
      </w:r>
    </w:p>
    <w:p>
      <w:pPr>
        <w:autoSpaceDE w:val="0"/>
        <w:autoSpaceDN w:val="0"/>
        <w:adjustRightInd w:val="0"/>
        <w:spacing w:line="560" w:lineRule="exact"/>
        <w:ind w:firstLine="627" w:firstLineChars="196"/>
        <w:jc w:val="left"/>
        <w:rPr>
          <w:rFonts w:hint="eastAsia" w:ascii="仿宋" w:hAnsi="仿宋" w:eastAsia="仿宋" w:cs="仿宋"/>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szCs w:val="32"/>
          <w:u w:color="auto"/>
        </w:rPr>
        <w:t>15726.5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szCs w:val="32"/>
          <w:u w:color="auto"/>
          <w:lang w:eastAsia="zh-CN"/>
        </w:rPr>
        <w:t>增加</w:t>
      </w:r>
      <w:r>
        <w:rPr>
          <w:rFonts w:hint="eastAsia" w:ascii="仿宋" w:hAnsi="仿宋" w:eastAsia="仿宋" w:cs="仿宋"/>
          <w:sz w:val="32"/>
          <w:szCs w:val="32"/>
          <w:u w:color="auto"/>
          <w:lang w:val="en-US" w:eastAsia="zh-CN"/>
        </w:rPr>
        <w:t>155.63</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u w:color="auto"/>
          <w:lang w:eastAsia="zh-CN"/>
        </w:rPr>
        <w:t>上升</w:t>
      </w:r>
      <w:r>
        <w:rPr>
          <w:rFonts w:hint="eastAsia" w:ascii="仿宋" w:hAnsi="仿宋" w:eastAsia="仿宋" w:cs="仿宋"/>
          <w:sz w:val="32"/>
          <w:szCs w:val="32"/>
          <w:u w:color="auto"/>
          <w:lang w:val="en-US" w:eastAsia="zh-CN"/>
        </w:rPr>
        <w:t>1</w:t>
      </w:r>
      <w:r>
        <w:rPr>
          <w:rFonts w:hint="eastAsia" w:ascii="仿宋" w:hAnsi="仿宋" w:eastAsia="仿宋" w:cs="仿宋"/>
          <w:sz w:val="32"/>
          <w:szCs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0"/>
          <w:sz w:val="32"/>
          <w:szCs w:val="32"/>
          <w:lang w:eastAsia="zh-CN"/>
        </w:rPr>
        <w:t>本年度社保基金财政补助增加</w:t>
      </w:r>
      <w:r>
        <w:rPr>
          <w:rFonts w:hint="eastAsia" w:ascii="仿宋" w:hAnsi="仿宋" w:eastAsia="仿宋" w:cs="仿宋"/>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szCs w:val="32"/>
          <w:u w:color="auto"/>
        </w:rPr>
        <w:t>853</w:t>
      </w:r>
      <w:r>
        <w:rPr>
          <w:rFonts w:hint="eastAsia" w:ascii="仿宋" w:hAnsi="仿宋" w:eastAsia="仿宋" w:cs="仿宋"/>
          <w:kern w:val="2"/>
          <w:sz w:val="32"/>
          <w:szCs w:val="32"/>
          <w:highlight w:val="none"/>
          <w:lang w:val="en-US" w:eastAsia="zh-CN" w:bidi="ar"/>
        </w:rPr>
        <w:t>万元，为县本级财政当年拨付的资金。较2021年度决算数</w:t>
      </w:r>
      <w:r>
        <w:rPr>
          <w:rFonts w:hint="eastAsia" w:ascii="仿宋" w:hAnsi="仿宋" w:eastAsia="仿宋" w:cs="仿宋"/>
          <w:sz w:val="32"/>
          <w:szCs w:val="32"/>
          <w:u w:color="auto"/>
        </w:rPr>
        <w:t>增加853</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u w:color="auto"/>
        </w:rPr>
        <w:t>增长</w:t>
      </w:r>
      <w:r>
        <w:rPr>
          <w:rFonts w:hint="eastAsia" w:ascii="仿宋" w:hAnsi="仿宋" w:eastAsia="仿宋" w:cs="仿宋"/>
          <w:sz w:val="32"/>
          <w:szCs w:val="32"/>
          <w:u w:color="auto"/>
          <w:lang w:val="en-US" w:eastAsia="zh-CN"/>
        </w:rPr>
        <w:t>100</w:t>
      </w:r>
      <w:r>
        <w:rPr>
          <w:rFonts w:hint="eastAsia" w:ascii="仿宋" w:hAnsi="仿宋" w:eastAsia="仿宋" w:cs="仿宋"/>
          <w:sz w:val="32"/>
          <w:szCs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主要原因：该笔资金均为本年度新增的被征地农民养老保险补助资金。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w:t>
      </w:r>
      <w:r>
        <w:rPr>
          <w:rFonts w:hint="eastAsia" w:ascii="仿宋" w:hAnsi="仿宋" w:eastAsia="仿宋" w:cs="仿宋"/>
          <w:color w:val="auto"/>
          <w:kern w:val="2"/>
          <w:sz w:val="32"/>
          <w:szCs w:val="32"/>
          <w:highlight w:val="none"/>
          <w:lang w:val="en-US" w:eastAsia="zh-CN" w:bidi="ar"/>
        </w:rPr>
        <w:t>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szCs w:val="32"/>
          <w:u w:color="auto"/>
        </w:rPr>
        <w:t>16579.5</w:t>
      </w:r>
      <w:r>
        <w:rPr>
          <w:rFonts w:hint="eastAsia" w:ascii="仿宋" w:hAnsi="仿宋" w:eastAsia="仿宋" w:cs="仿宋"/>
          <w:sz w:val="32"/>
          <w:szCs w:val="32"/>
          <w:highlight w:val="none"/>
        </w:rPr>
        <w:t>万元，其中本年支出</w:t>
      </w:r>
      <w:r>
        <w:rPr>
          <w:rFonts w:hint="eastAsia" w:ascii="仿宋" w:hAnsi="仿宋" w:eastAsia="仿宋" w:cs="仿宋"/>
          <w:sz w:val="32"/>
          <w:szCs w:val="32"/>
          <w:u w:color="auto"/>
        </w:rPr>
        <w:t>4715.66</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u w:color="auto"/>
        </w:rPr>
        <w:t>减少75.30</w:t>
      </w:r>
      <w:r>
        <w:rPr>
          <w:rFonts w:hint="eastAsia" w:ascii="仿宋" w:hAnsi="仿宋" w:eastAsia="仿宋" w:cs="仿宋"/>
          <w:sz w:val="32"/>
          <w:szCs w:val="32"/>
          <w:highlight w:val="none"/>
        </w:rPr>
        <w:t>万元，</w:t>
      </w:r>
      <w:r>
        <w:rPr>
          <w:rFonts w:hint="eastAsia" w:ascii="仿宋" w:hAnsi="仿宋" w:eastAsia="仿宋" w:cs="仿宋"/>
          <w:sz w:val="32"/>
          <w:szCs w:val="32"/>
          <w:u w:color="auto"/>
        </w:rPr>
        <w:t>下降1.28%</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hint="eastAsia" w:ascii="仿宋" w:hAnsi="仿宋" w:eastAsia="仿宋" w:cs="仿宋"/>
          <w:sz w:val="32"/>
          <w:szCs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 xml:space="preserve">208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15636.56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lang w:eastAsia="zh-CN"/>
        </w:rPr>
        <w:t>社会保障管理事务、行政事业单位离退休、最低生活保障、财政对基本养老保险基金的补助及其他社会保障和就业支出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176.73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1.14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lang w:eastAsia="zh-CN"/>
        </w:rPr>
        <w:t>本年度社保基金财政补助支出增加。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：发放我县被征地农民养老保险补助</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853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主要原因是：该笔支出为本年新增项目支出。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29.17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0.21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主要原因是：本年度公积金基数较上年有所增加。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eastAsia="zh-CN" w:bidi="ar"/>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w:t>
      </w:r>
      <w:r>
        <w:rPr>
          <w:rFonts w:hint="eastAsia" w:ascii="仿宋_GB2312" w:eastAsia="仿宋_GB2312" w:cs="仿宋_GB2312"/>
          <w:kern w:val="0"/>
          <w:sz w:val="32"/>
          <w:szCs w:val="32"/>
          <w:lang w:val="en-US" w:eastAsia="zh-CN"/>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rPr>
        <w:t>类）60.76</w:t>
      </w:r>
      <w:r>
        <w:rPr>
          <w:rFonts w:hint="eastAsia" w:ascii="仿宋" w:hAnsi="仿宋" w:eastAsia="仿宋" w:cs="仿宋"/>
          <w:sz w:val="32"/>
          <w:szCs w:val="32"/>
          <w:highlight w:val="none"/>
          <w:lang w:eastAsia="zh-CN"/>
        </w:rPr>
        <w:t>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发放绩效</w:t>
      </w:r>
      <w:r>
        <w:rPr>
          <w:rFonts w:hint="eastAsia" w:ascii="仿宋_GB2312" w:eastAsia="仿宋_GB2312" w:cs="仿宋_GB2312"/>
          <w:kern w:val="0"/>
          <w:sz w:val="32"/>
          <w:szCs w:val="32"/>
          <w:lang w:eastAsia="zh-CN"/>
        </w:rPr>
        <w:t>。</w:t>
      </w:r>
      <w:r>
        <w:rPr>
          <w:rFonts w:hint="eastAsia" w:ascii="仿宋" w:hAnsi="仿宋" w:eastAsia="仿宋" w:cs="仿宋"/>
          <w:kern w:val="0"/>
          <w:sz w:val="32"/>
          <w:szCs w:val="32"/>
        </w:rPr>
        <w:t>较</w:t>
      </w:r>
      <w:r>
        <w:rPr>
          <w:rFonts w:hint="eastAsia" w:ascii="仿宋" w:hAnsi="仿宋" w:eastAsia="仿宋" w:cs="仿宋"/>
          <w:kern w:val="0"/>
          <w:sz w:val="32"/>
          <w:szCs w:val="32"/>
          <w:lang w:eastAsia="zh-CN"/>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47.17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下降</w:t>
      </w:r>
      <w:r>
        <w:rPr>
          <w:rFonts w:hint="eastAsia" w:ascii="仿宋" w:hAnsi="仿宋" w:eastAsia="仿宋" w:cs="仿宋"/>
          <w:kern w:val="0"/>
          <w:sz w:val="32"/>
          <w:szCs w:val="32"/>
          <w:lang w:val="en-US" w:eastAsia="zh-CN"/>
        </w:rPr>
        <w:t>43.7</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：上年其他支出里包含</w:t>
      </w:r>
      <w:r>
        <w:rPr>
          <w:rFonts w:hint="eastAsia" w:ascii="仿宋" w:hAnsi="仿宋" w:eastAsia="仿宋" w:cs="仿宋"/>
          <w:bCs/>
          <w:kern w:val="0"/>
          <w:sz w:val="32"/>
          <w:szCs w:val="32"/>
          <w:lang w:eastAsia="zh-CN"/>
        </w:rPr>
        <w:t>预发当年度绩效奖金</w:t>
      </w:r>
      <w:r>
        <w:rPr>
          <w:rFonts w:hint="eastAsia" w:ascii="仿宋" w:hAnsi="仿宋" w:eastAsia="仿宋" w:cs="仿宋"/>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环江县社保中心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15726.5</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129.63</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上升</w:t>
      </w:r>
      <w:r>
        <w:rPr>
          <w:rFonts w:hint="eastAsia" w:ascii="仿宋" w:hAnsi="仿宋" w:eastAsia="仿宋" w:cs="仿宋"/>
          <w:sz w:val="32"/>
          <w:u w:color="auto"/>
          <w:lang w:val="en-US" w:eastAsia="zh-CN"/>
        </w:rPr>
        <w:t>0.83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398.68</w:t>
      </w:r>
      <w:r>
        <w:rPr>
          <w:rFonts w:hint="eastAsia" w:ascii="仿宋" w:hAnsi="仿宋" w:eastAsia="仿宋" w:cs="仿宋"/>
          <w:sz w:val="32"/>
          <w:szCs w:val="32"/>
          <w:highlight w:val="none"/>
        </w:rPr>
        <w:t>万元，项目支出</w:t>
      </w:r>
      <w:r>
        <w:rPr>
          <w:rFonts w:hint="eastAsia" w:ascii="仿宋" w:hAnsi="仿宋" w:eastAsia="仿宋" w:cs="仿宋"/>
          <w:sz w:val="32"/>
          <w:u w:color="auto"/>
        </w:rPr>
        <w:t>15327.82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环江县社保中心</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993.23</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15726.5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1583.37</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ind w:firstLine="320" w:firstLineChars="100"/>
        <w:jc w:val="left"/>
        <w:rPr>
          <w:rFonts w:ascii="仿宋" w:hAnsi="仿宋" w:eastAsia="仿宋"/>
          <w:sz w:val="32"/>
          <w:szCs w:val="32"/>
          <w:highlight w:val="none"/>
        </w:rPr>
      </w:pPr>
      <w:r>
        <w:rPr>
          <w:rFonts w:hint="eastAsia" w:ascii="仿宋" w:hAnsi="仿宋" w:eastAsia="仿宋"/>
          <w:sz w:val="32"/>
          <w:szCs w:val="32"/>
          <w:highlight w:val="none"/>
          <w:lang w:eastAsia="zh-CN"/>
        </w:rPr>
        <w:t>（一）</w:t>
      </w: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4.6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eastAsia="zh-CN"/>
          <w14:textFill>
            <w14:solidFill>
              <w14:schemeClr w14:val="tx1"/>
            </w14:solidFill>
          </w14:textFill>
        </w:rPr>
        <w:t>支出数</w:t>
      </w:r>
      <w:r>
        <w:rPr>
          <w:rFonts w:hint="eastAsia" w:ascii="仿宋" w:hAnsi="仿宋" w:eastAsia="仿宋"/>
          <w:sz w:val="32"/>
          <w:szCs w:val="32"/>
          <w:highlight w:val="none"/>
          <w:lang w:eastAsia="zh-CN"/>
        </w:rPr>
        <w:t>无差异</w:t>
      </w:r>
      <w:r>
        <w:rPr>
          <w:rFonts w:hint="eastAsia" w:ascii="仿宋" w:hAnsi="仿宋" w:eastAsia="仿宋"/>
          <w:sz w:val="32"/>
          <w:szCs w:val="32"/>
          <w:highlight w:val="none"/>
        </w:rPr>
        <w:t>。</w:t>
      </w:r>
    </w:p>
    <w:p>
      <w:pPr>
        <w:keepNext w:val="0"/>
        <w:keepLines w:val="0"/>
        <w:widowControl w:val="0"/>
        <w:numPr>
          <w:ilvl w:val="0"/>
          <w:numId w:val="0"/>
        </w:numPr>
        <w:suppressLineNumbers w:val="0"/>
        <w:spacing w:before="0" w:beforeAutospacing="0" w:after="0" w:afterAutospacing="0"/>
        <w:ind w:right="0" w:rightChars="0" w:firstLine="320" w:firstLineChars="100"/>
        <w:jc w:val="both"/>
        <w:rPr>
          <w:rFonts w:hint="eastAsia" w:eastAsia="仿宋"/>
          <w:color w:val="FF0000"/>
          <w:highlight w:val="none"/>
          <w:lang w:val="en-US" w:eastAsia="zh-CN"/>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社会保障和就业支出</w:t>
      </w:r>
      <w:r>
        <w:rPr>
          <w:rFonts w:ascii="仿宋" w:hAnsi="仿宋" w:eastAsia="仿宋"/>
          <w:sz w:val="32"/>
          <w:u w:color="auto"/>
        </w:rPr>
        <w:t>（2</w:t>
      </w:r>
      <w:r>
        <w:rPr>
          <w:rFonts w:hint="eastAsia" w:ascii="仿宋" w:hAnsi="仿宋" w:eastAsia="仿宋"/>
          <w:sz w:val="32"/>
          <w:u w:color="auto"/>
          <w:lang w:val="en-US" w:eastAsia="zh-CN"/>
        </w:rPr>
        <w:t>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961.05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15631.97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1626.55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kern w:val="0"/>
          <w:sz w:val="32"/>
          <w:szCs w:val="32"/>
          <w:lang w:eastAsia="zh-CN"/>
        </w:rPr>
        <w:t>本年度财政追加对城乡居民基本养老保险基金的补助，确保我县建档立卡贫困户符合参保条件的人员均获得补贴等。</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8"/>
        <w:gridCol w:w="1522"/>
        <w:gridCol w:w="882"/>
        <w:gridCol w:w="1037"/>
        <w:gridCol w:w="1074"/>
        <w:gridCol w:w="1912"/>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2080109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社会保险经办机构</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318.39</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341.87</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107.37%</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kern w:val="0"/>
                <w:sz w:val="20"/>
                <w:szCs w:val="20"/>
                <w:lang w:eastAsia="zh-CN"/>
              </w:rPr>
              <w:t>社会保障管理事务</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增资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2080505</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36.77</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35.04</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95.30%</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缴纳职工养老保险</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人员退休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2080506</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0</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u w:val="none"/>
                <w:lang w:val="en-US" w:eastAsia="zh-CN" w:bidi="ar"/>
              </w:rPr>
              <w:t>582.20</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我县退休人员职业年金做实</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2080507</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对机关事业单位基本养老保险基金的补助</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0</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u w:val="none"/>
                <w:lang w:val="en-US" w:eastAsia="zh-CN" w:bidi="ar"/>
              </w:rPr>
              <w:t>6,670.00</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机关养老单位退休人员基础养老金缺口县级补助</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2080599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其他行政事业单位养老支出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5.28</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5.28</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发放企业离退休、镇南关人员护理费</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2082602</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财政对城乡居民基本养老保险基金的补助</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562.32</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7959.32</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1415.44%</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城乡居民退休人员基础养老金补助</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中央、自治区下达财政补助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2083001</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财政代缴城乡居民基本养老保险费支出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19.7</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19.7</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代缴特殊人群城乡居民基本养老保险费</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2089999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其他社会保障和就业支出</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18.6</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18.56</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99.78%</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发放企业离退休、生活补助、边远津贴等</w:t>
            </w: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死亡一人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sz w:val="20"/>
                <w:szCs w:val="20"/>
                <w:highlight w:val="none"/>
                <w:lang w:val="en-US" w:eastAsia="zh-CN"/>
              </w:rPr>
              <w:t>961.05</w:t>
            </w:r>
          </w:p>
        </w:tc>
        <w:tc>
          <w:tcPr>
            <w:tcW w:w="10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仿宋" w:hAnsi="仿宋" w:eastAsia="仿宋"/>
                <w:sz w:val="20"/>
                <w:szCs w:val="20"/>
                <w:highlight w:val="none"/>
                <w:lang w:val="en-US" w:eastAsia="zh-CN"/>
              </w:rPr>
              <w:t>15631.97</w:t>
            </w:r>
          </w:p>
        </w:tc>
        <w:tc>
          <w:tcPr>
            <w:tcW w:w="10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1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27.58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29.17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105.77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原因是：公积金基数较年初预算时有所调整。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27.58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sz w:val="20"/>
                <w:szCs w:val="20"/>
                <w:highlight w:val="none"/>
                <w:lang w:val="en-US" w:eastAsia="zh-CN"/>
              </w:rPr>
              <w:t>29.17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105.77</w:t>
            </w:r>
            <w:r>
              <w:rPr>
                <w:rFonts w:hint="eastAsia" w:ascii="仿宋" w:hAnsi="仿宋" w:eastAsia="仿宋" w:cs="仿宋"/>
                <w:sz w:val="20"/>
                <w:szCs w:val="20"/>
                <w:highlight w:val="none"/>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kern w:val="0"/>
                <w:sz w:val="20"/>
                <w:szCs w:val="20"/>
                <w:highlight w:val="none"/>
              </w:rPr>
              <w:t>按照国家政策规定向职工发放的住房公积金、提租补贴、购房补贴等住房改革方</w:t>
            </w:r>
            <w:r>
              <w:rPr>
                <w:rFonts w:hint="eastAsia" w:ascii="仿宋" w:hAnsi="仿宋" w:eastAsia="仿宋" w:cs="仿宋"/>
                <w:spacing w:val="-3"/>
                <w:kern w:val="0"/>
                <w:sz w:val="20"/>
                <w:szCs w:val="20"/>
                <w:highlight w:val="none"/>
              </w:rPr>
              <w:t>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公积金基数较年初预算时有所调整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27.58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sz w:val="20"/>
                <w:szCs w:val="20"/>
                <w:highlight w:val="none"/>
                <w:lang w:val="en-US" w:eastAsia="zh-CN"/>
              </w:rPr>
              <w:t>29.17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其他支出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60.76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原因是：年中追加。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sz w:val="20"/>
                <w:szCs w:val="20"/>
                <w:highlight w:val="none"/>
                <w:lang w:val="en-US" w:eastAsia="zh-CN"/>
              </w:rPr>
              <w:t>60.76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100</w:t>
            </w:r>
            <w:r>
              <w:rPr>
                <w:rFonts w:hint="eastAsia" w:ascii="仿宋" w:hAnsi="仿宋" w:eastAsia="仿宋" w:cs="仿宋"/>
                <w:sz w:val="20"/>
                <w:szCs w:val="20"/>
                <w:highlight w:val="none"/>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kern w:val="0"/>
                <w:sz w:val="20"/>
                <w:szCs w:val="20"/>
                <w:highlight w:val="none"/>
                <w:lang w:eastAsia="zh-CN"/>
              </w:rPr>
              <w:t>发放绩效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sz w:val="20"/>
                <w:szCs w:val="20"/>
                <w:highlight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sz w:val="20"/>
                <w:szCs w:val="20"/>
                <w:highlight w:val="none"/>
                <w:lang w:val="en-US" w:eastAsia="zh-CN"/>
              </w:rPr>
              <w:t>60.76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0"/>
                <w:szCs w:val="20"/>
                <w:highlight w:val="none"/>
                <w:u w:val="none"/>
                <w:lang w:val="en-US" w:eastAsia="zh-CN"/>
              </w:rPr>
            </w:pPr>
          </w:p>
        </w:tc>
      </w:tr>
    </w:tbl>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环江县社保中心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u w:color="auto"/>
          <w:lang w:val="en-US" w:eastAsia="zh-CN"/>
        </w:rPr>
        <w:t>398.68</w:t>
      </w:r>
      <w:r>
        <w:rPr>
          <w:rFonts w:hint="eastAsia" w:ascii="仿宋" w:hAnsi="仿宋" w:eastAsia="仿宋" w:cs="仿宋"/>
          <w:sz w:val="32"/>
          <w:szCs w:val="32"/>
          <w:highlight w:val="none"/>
        </w:rPr>
        <w:t>万元，</w:t>
      </w:r>
      <w:r>
        <w:rPr>
          <w:rFonts w:hint="eastAsia" w:ascii="仿宋" w:hAnsi="仿宋" w:eastAsia="仿宋" w:cs="仿宋"/>
          <w:i w:val="0"/>
          <w:iCs w:val="0"/>
          <w:caps w:val="0"/>
          <w:color w:val="000000"/>
          <w:spacing w:val="0"/>
          <w:sz w:val="32"/>
          <w:szCs w:val="32"/>
          <w:highlight w:val="none"/>
          <w:shd w:val="clear" w:color="auto" w:fill="FFFFFF"/>
        </w:rPr>
        <w:t>其中：人员经费支出</w:t>
      </w:r>
      <w:r>
        <w:rPr>
          <w:rFonts w:hint="eastAsia" w:ascii="仿宋" w:hAnsi="仿宋" w:eastAsia="仿宋" w:cs="仿宋"/>
          <w:sz w:val="32"/>
          <w:szCs w:val="32"/>
          <w:highlight w:val="none"/>
        </w:rPr>
        <w:t>385.24</w:t>
      </w:r>
      <w:r>
        <w:rPr>
          <w:rFonts w:hint="eastAsia" w:ascii="仿宋" w:hAnsi="仿宋" w:eastAsia="仿宋" w:cs="仿宋"/>
          <w:i w:val="0"/>
          <w:iCs w:val="0"/>
          <w:caps w:val="0"/>
          <w:color w:val="000000"/>
          <w:spacing w:val="0"/>
          <w:sz w:val="32"/>
          <w:szCs w:val="32"/>
          <w:highlight w:val="none"/>
          <w:shd w:val="clear" w:color="auto" w:fill="FFFFFF"/>
        </w:rPr>
        <w:t>万元，公用经费支出</w:t>
      </w:r>
      <w:r>
        <w:rPr>
          <w:rFonts w:hint="eastAsia" w:ascii="仿宋" w:hAnsi="仿宋" w:eastAsia="仿宋" w:cs="仿宋"/>
          <w:sz w:val="32"/>
          <w:szCs w:val="32"/>
          <w:highlight w:val="none"/>
        </w:rPr>
        <w:t>13.44</w:t>
      </w:r>
      <w:r>
        <w:rPr>
          <w:rFonts w:hint="eastAsia" w:ascii="仿宋" w:hAnsi="仿宋" w:eastAsia="仿宋" w:cs="仿宋"/>
          <w:i w:val="0"/>
          <w:iCs w:val="0"/>
          <w:caps w:val="0"/>
          <w:color w:val="000000"/>
          <w:spacing w:val="0"/>
          <w:sz w:val="32"/>
          <w:szCs w:val="32"/>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u w:color="auto"/>
        </w:rPr>
        <w:t>371.31万元，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27.00</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color w:val="auto"/>
          <w:kern w:val="0"/>
          <w:sz w:val="32"/>
          <w:szCs w:val="32"/>
          <w:lang w:eastAsia="zh-CN"/>
        </w:rPr>
        <w:t>人员增资。</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95.17万元，30102津贴补贴70.72万元，30103奖金89.3万元，30106伙食补助费4.4万元，30108机关事业单位基本养老保险缴费41.25万元，30110职工基本医疗保险缴费16.9万元，30112其他社会保障缴费0.71万元，30113住房公积金29.17万元，30199其他工资福利支出23.69万元。</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u w:color="auto"/>
        </w:rPr>
        <w:t>13.44万元，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lang w:val="en-US" w:eastAsia="zh-CN"/>
        </w:rPr>
        <w:t>39.44</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主要原因是：我县财力不足无法安排支付。</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30201办公费4.4万元，30206电费0.03万元，30207邮电费3.57万元，30226劳务费0.85万元，30228工会经费4.6万元。</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u w:color="auto"/>
        </w:rPr>
        <w:t>13.92万元，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i w:val="0"/>
          <w:iCs w:val="0"/>
          <w:caps w:val="0"/>
          <w:color w:val="000000"/>
          <w:spacing w:val="0"/>
          <w:sz w:val="32"/>
          <w:szCs w:val="32"/>
          <w:highlight w:val="none"/>
          <w:shd w:val="clear" w:color="auto" w:fill="FFFFFF"/>
          <w:lang w:val="en-US" w:eastAsia="zh-CN"/>
        </w:rPr>
        <w:t>43.97</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原享受补助的离退休人员死亡一人。</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30305生活补助13.91万元，30309奖励金0.01万元。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环江县社保中心</w:t>
      </w:r>
      <w:r>
        <w:rPr>
          <w:rFonts w:hint="eastAsia" w:ascii="仿宋" w:hAnsi="仿宋" w:eastAsia="仿宋" w:cs="仿宋"/>
          <w:sz w:val="32"/>
          <w:szCs w:val="32"/>
          <w:highlight w:val="none"/>
        </w:rPr>
        <w:t>2022年度政府性基金支出853万元，较2021年度决算数</w:t>
      </w:r>
      <w:r>
        <w:rPr>
          <w:rFonts w:ascii="仿宋" w:hAnsi="仿宋" w:eastAsia="仿宋" w:cs="仿宋"/>
          <w:sz w:val="32"/>
          <w:szCs w:val="32"/>
          <w:highlight w:val="none"/>
        </w:rPr>
        <w:t>增加</w:t>
      </w:r>
      <w:r>
        <w:rPr>
          <w:rFonts w:hint="eastAsia" w:ascii="仿宋" w:hAnsi="仿宋" w:eastAsia="仿宋" w:cs="仿宋"/>
          <w:sz w:val="32"/>
          <w:szCs w:val="32"/>
          <w:highlight w:val="none"/>
        </w:rPr>
        <w:t>853万元，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万元，项目支出853万元。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环江县社保中心</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万元，支出决算为853万元，完成年初预算的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hint="eastAsia" w:ascii="仿宋" w:hAnsi="仿宋" w:eastAsia="仿宋" w:cs="仿宋"/>
          <w:color w:val="auto"/>
          <w:sz w:val="32"/>
          <w:szCs w:val="32"/>
          <w:highlight w:val="none"/>
          <w:lang w:eastAsia="zh-CN"/>
        </w:rPr>
      </w:pPr>
      <w:r>
        <w:rPr>
          <w:rFonts w:hint="eastAsia" w:ascii="黑体" w:hAnsi="黑体" w:eastAsia="黑体" w:cs="黑体"/>
          <w:sz w:val="32"/>
          <w:szCs w:val="32"/>
          <w:highlight w:val="none"/>
        </w:rPr>
        <w:t>五、2022年度国有资本经营预算支出决算情况</w:t>
      </w:r>
      <w:bookmarkStart w:id="4" w:name="PO_part3A5B1C1DiffReason1"/>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我单位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lang w:eastAsia="zh-CN"/>
        </w:rPr>
        <w:t>我单位</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eastAsia="zh-CN"/>
        </w:rPr>
        <w:t>环江县社保中心</w:t>
      </w:r>
      <w:r>
        <w:rPr>
          <w:rFonts w:hint="eastAsia" w:ascii="仿宋" w:hAnsi="仿宋" w:eastAsia="仿宋" w:cs="仿宋"/>
          <w:color w:val="auto"/>
          <w:sz w:val="32"/>
          <w:szCs w:val="32"/>
          <w:u w:color="auto"/>
        </w:rPr>
        <w:t>没有国有资本经营预算收入，也没有国有资本经营预算</w:t>
      </w:r>
      <w:r>
        <w:rPr>
          <w:rFonts w:hint="eastAsia" w:ascii="仿宋" w:hAnsi="仿宋" w:eastAsia="仿宋" w:cs="仿宋"/>
          <w:color w:val="auto"/>
          <w:sz w:val="32"/>
          <w:szCs w:val="32"/>
          <w:u w:color="auto"/>
          <w:lang w:eastAsia="zh-CN"/>
        </w:rPr>
        <w:t>支出</w:t>
      </w:r>
      <w:r>
        <w:rPr>
          <w:rFonts w:hint="eastAsia" w:ascii="仿宋" w:hAnsi="仿宋" w:eastAsia="仿宋" w:cs="仿宋"/>
          <w:color w:val="auto"/>
          <w:sz w:val="32"/>
          <w:szCs w:val="32"/>
          <w:lang w:eastAsia="zh-CN"/>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w:t>
      </w:r>
      <w:r>
        <w:rPr>
          <w:rFonts w:hint="eastAsia" w:ascii="仿宋" w:hAnsi="仿宋" w:eastAsia="仿宋" w:cs="仿宋"/>
          <w:color w:val="auto"/>
          <w:sz w:val="32"/>
          <w:szCs w:val="32"/>
          <w:u w:color="auto"/>
        </w:rPr>
        <w:t>没有</w:t>
      </w:r>
      <w:r>
        <w:rPr>
          <w:rFonts w:hint="eastAsia" w:ascii="仿宋" w:hAnsi="仿宋" w:eastAsia="仿宋" w:cs="仿宋"/>
          <w:color w:val="auto"/>
          <w:sz w:val="32"/>
          <w:szCs w:val="32"/>
          <w:u w:color="auto"/>
          <w:lang w:eastAsia="zh-CN"/>
        </w:rPr>
        <w:t>产生</w:t>
      </w:r>
      <w:r>
        <w:rPr>
          <w:rFonts w:hint="eastAsia" w:ascii="仿宋" w:hAnsi="仿宋" w:eastAsia="仿宋" w:cs="仿宋"/>
          <w:sz w:val="32"/>
          <w:szCs w:val="32"/>
          <w:highlight w:val="none"/>
        </w:rPr>
        <w:t>“三公”经费支出</w:t>
      </w:r>
      <w:r>
        <w:rPr>
          <w:rFonts w:hint="eastAsia" w:ascii="仿宋" w:hAnsi="仿宋" w:eastAsia="仿宋" w:cs="仿宋"/>
          <w:color w:val="auto"/>
          <w:sz w:val="32"/>
          <w:szCs w:val="32"/>
          <w:u w:color="auto"/>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原因是：本年度我单位</w:t>
      </w:r>
      <w:r>
        <w:rPr>
          <w:rFonts w:hint="eastAsia" w:ascii="仿宋" w:hAnsi="仿宋" w:eastAsia="仿宋" w:cs="仿宋"/>
          <w:color w:val="auto"/>
          <w:sz w:val="32"/>
          <w:szCs w:val="32"/>
          <w:u w:color="auto"/>
        </w:rPr>
        <w:t>没有</w:t>
      </w:r>
      <w:r>
        <w:rPr>
          <w:rFonts w:hint="eastAsia" w:ascii="仿宋" w:hAnsi="仿宋" w:eastAsia="仿宋" w:cs="仿宋"/>
          <w:color w:val="auto"/>
          <w:sz w:val="32"/>
          <w:szCs w:val="32"/>
          <w:u w:color="auto"/>
          <w:lang w:eastAsia="zh-CN"/>
        </w:rPr>
        <w:t>安排</w:t>
      </w:r>
      <w:r>
        <w:rPr>
          <w:rFonts w:hint="eastAsia" w:ascii="仿宋" w:hAnsi="仿宋" w:eastAsia="仿宋" w:cs="仿宋"/>
          <w:sz w:val="32"/>
          <w:szCs w:val="32"/>
          <w:highlight w:val="none"/>
        </w:rPr>
        <w:t>因公出国（境）费支出</w:t>
      </w:r>
      <w:r>
        <w:rPr>
          <w:rFonts w:hint="eastAsia" w:ascii="仿宋" w:hAnsi="仿宋" w:eastAsia="仿宋" w:cs="仿宋"/>
          <w:color w:val="auto"/>
          <w:sz w:val="32"/>
          <w:szCs w:val="32"/>
          <w:u w:color="auto"/>
          <w:lang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我单位</w:t>
      </w:r>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eastAsia="zh-CN"/>
        </w:rPr>
        <w:t>我单位无公务用车。</w:t>
      </w:r>
      <w:r>
        <w:rPr>
          <w:rFonts w:hint="eastAsia" w:ascii="仿宋" w:hAnsi="仿宋" w:eastAsia="仿宋" w:cs="仿宋"/>
          <w:sz w:val="32"/>
          <w:szCs w:val="32"/>
          <w:highlight w:val="none"/>
        </w:rPr>
        <w:t>2022年，</w:t>
      </w:r>
      <w:r>
        <w:rPr>
          <w:rFonts w:hint="eastAsia" w:ascii="仿宋" w:hAnsi="仿宋" w:eastAsia="仿宋" w:cs="仿宋"/>
          <w:sz w:val="32"/>
          <w:u w:color="auto"/>
          <w:lang w:eastAsia="zh-CN"/>
        </w:rPr>
        <w:t>我</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主要原因是：本年度我单位无公务接待费支出。</w:t>
      </w:r>
      <w:r>
        <w:rPr>
          <w:rFonts w:hint="eastAsia" w:ascii="仿宋" w:hAnsi="仿宋" w:eastAsia="仿宋" w:cs="仿宋"/>
          <w:color w:val="auto"/>
          <w:sz w:val="32"/>
          <w:szCs w:val="32"/>
          <w:highlight w:val="none"/>
        </w:rPr>
        <w:t>国</w:t>
      </w:r>
      <w:r>
        <w:rPr>
          <w:rFonts w:hint="eastAsia" w:ascii="仿宋" w:hAnsi="仿宋" w:eastAsia="仿宋" w:cs="仿宋"/>
          <w:color w:val="000000" w:themeColor="text1"/>
          <w:sz w:val="32"/>
          <w:szCs w:val="32"/>
          <w:highlight w:val="none"/>
          <w14:textFill>
            <w14:solidFill>
              <w14:schemeClr w14:val="tx1"/>
            </w14:solidFill>
          </w14:textFill>
        </w:rPr>
        <w:t>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u w:color="auto"/>
        </w:rPr>
        <w:t>13.44</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20.64</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60.56</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5.45</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68.21</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：邮电费和劳务费较上年有所增加。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8971.77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54.11</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853</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5.14</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组织对“城乡基本养老基础养老金县级补助”等</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8971.77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853</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kern w:val="0"/>
          <w:sz w:val="32"/>
          <w:szCs w:val="32"/>
          <w:highlight w:val="none"/>
        </w:rPr>
        <w:t>从评价情况来看</w:t>
      </w:r>
      <w:r>
        <w:rPr>
          <w:rFonts w:hint="eastAsia" w:ascii="仿宋" w:hAnsi="仿宋" w:eastAsia="仿宋" w:cs="仿宋"/>
          <w:kern w:val="0"/>
          <w:sz w:val="32"/>
          <w:szCs w:val="32"/>
          <w:highlight w:val="none"/>
          <w:lang w:eastAsia="zh-CN"/>
        </w:rPr>
        <w:t>，</w:t>
      </w:r>
      <w:r>
        <w:rPr>
          <w:rFonts w:hint="eastAsia" w:ascii="仿宋" w:hAnsi="仿宋" w:eastAsia="仿宋" w:cs="仿宋"/>
          <w:color w:val="auto"/>
          <w:sz w:val="32"/>
          <w:szCs w:val="32"/>
          <w:highlight w:val="none"/>
          <w:u w:val="none"/>
        </w:rPr>
        <w:t>经费及时落实到位，保证了各项工作的按时、有序开展</w:t>
      </w:r>
      <w:r>
        <w:rPr>
          <w:rFonts w:hint="eastAsia" w:ascii="仿宋" w:hAnsi="仿宋" w:eastAsia="仿宋" w:cs="仿宋"/>
          <w:color w:val="auto"/>
          <w:sz w:val="32"/>
          <w:szCs w:val="32"/>
          <w:highlight w:val="none"/>
          <w:u w:val="none"/>
          <w:lang w:eastAsia="zh-CN"/>
        </w:rPr>
        <w:t>，</w:t>
      </w:r>
      <w:r>
        <w:rPr>
          <w:rFonts w:hint="eastAsia" w:ascii="仿宋" w:hAnsi="仿宋" w:eastAsia="仿宋" w:cs="仿宋"/>
          <w:kern w:val="0"/>
          <w:sz w:val="32"/>
          <w:szCs w:val="32"/>
          <w:highlight w:val="none"/>
          <w:lang w:eastAsia="zh-CN"/>
        </w:rPr>
        <w:t>统筹推进城乡社会保障体系建设，保障城乡居民年老后的基本生活，提高生活质量，维护社会和谐</w:t>
      </w:r>
      <w:r>
        <w:rPr>
          <w:rFonts w:hint="eastAsia" w:ascii="仿宋" w:hAnsi="仿宋" w:eastAsia="仿宋" w:cs="仿宋"/>
          <w:sz w:val="32"/>
          <w:szCs w:val="32"/>
          <w:lang w:eastAsia="zh-CN"/>
        </w:rPr>
        <w:t>，</w:t>
      </w:r>
      <w:r>
        <w:rPr>
          <w:rFonts w:hint="eastAsia" w:ascii="仿宋" w:hAnsi="仿宋" w:eastAsia="仿宋" w:cs="仿宋"/>
          <w:color w:val="auto"/>
          <w:kern w:val="0"/>
          <w:sz w:val="32"/>
          <w:szCs w:val="32"/>
          <w:highlight w:val="none"/>
          <w:u w:val="none"/>
        </w:rPr>
        <w:t>整体支出绩效评价效果较好，达到了预期</w:t>
      </w:r>
      <w:r>
        <w:rPr>
          <w:rFonts w:hint="eastAsia" w:ascii="仿宋" w:hAnsi="仿宋" w:eastAsia="仿宋" w:cs="仿宋"/>
          <w:color w:val="auto"/>
          <w:sz w:val="32"/>
          <w:szCs w:val="32"/>
          <w:highlight w:val="none"/>
          <w:u w:val="none"/>
        </w:rPr>
        <w:t>目标</w:t>
      </w:r>
      <w:r>
        <w:rPr>
          <w:rFonts w:hint="eastAsia" w:ascii="仿宋" w:hAnsi="仿宋" w:eastAsia="仿宋" w:cs="仿宋"/>
          <w:color w:val="auto"/>
          <w:sz w:val="32"/>
          <w:szCs w:val="32"/>
          <w:highlight w:val="none"/>
          <w:u w:val="none"/>
          <w:lang w:eastAsia="zh-CN"/>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我部门为环江毛南族自治县人力资源与社会保障局二层附属单位，无需开展整体支出绩效评价。</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部门决算中项目绩效自评结果</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城乡居民养老保险特殊人群政府代缴个人保险费项目自评得分为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89.6</w:t>
      </w:r>
      <w:r>
        <w:rPr>
          <w:rFonts w:hint="eastAsia" w:ascii="仿宋" w:hAnsi="仿宋" w:eastAsia="仿宋" w:cs="仿宋"/>
          <w:color w:val="000000" w:themeColor="text1"/>
          <w:sz w:val="32"/>
          <w:szCs w:val="32"/>
          <w14:textFill>
            <w14:solidFill>
              <w14:schemeClr w14:val="tx1"/>
            </w14:solidFill>
          </w14:textFill>
        </w:rPr>
        <w:t>分。发现的主要问题及原因：一是存在部分未能解决遗留问题；二是代缴人员人数为实时动态人数，与预算人数略有不同均在正常范围内。下一步改进措施：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档案整理项目自评得分为</w:t>
      </w:r>
      <w:r>
        <w:rPr>
          <w:rFonts w:hint="eastAsia" w:ascii="仿宋" w:hAnsi="仿宋" w:eastAsia="仿宋" w:cs="仿宋"/>
          <w:color w:val="000000" w:themeColor="text1"/>
          <w:sz w:val="32"/>
          <w:szCs w:val="32"/>
          <w:lang w:val="en-US" w:eastAsia="zh-CN"/>
          <w14:textFill>
            <w14:solidFill>
              <w14:schemeClr w14:val="tx1"/>
            </w14:solidFill>
          </w14:textFill>
        </w:rPr>
        <w:t>87.7</w:t>
      </w:r>
      <w:r>
        <w:rPr>
          <w:rFonts w:hint="eastAsia" w:ascii="仿宋" w:hAnsi="仿宋" w:eastAsia="仿宋" w:cs="仿宋"/>
          <w:color w:val="000000" w:themeColor="text1"/>
          <w:sz w:val="32"/>
          <w:szCs w:val="32"/>
          <w14:textFill>
            <w14:solidFill>
              <w14:schemeClr w14:val="tx1"/>
            </w14:solidFill>
          </w14:textFill>
        </w:rPr>
        <w:t>分。发现的主要问题及原因：部分档案未能及时整理。下一步改进措施：及时整理</w:t>
      </w:r>
      <w:r>
        <w:rPr>
          <w:rFonts w:hint="eastAsia" w:ascii="仿宋" w:hAnsi="仿宋" w:eastAsia="仿宋" w:cs="仿宋"/>
          <w:color w:val="000000" w:themeColor="text1"/>
          <w:sz w:val="32"/>
          <w:szCs w:val="32"/>
          <w:lang w:eastAsia="zh-CN"/>
          <w14:textFill>
            <w14:solidFill>
              <w14:schemeClr w14:val="tx1"/>
            </w14:solidFill>
          </w14:textFill>
        </w:rPr>
        <w:t>社保档案。</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被征地农民开展工作经费项目自评得分为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89.47</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机关事业单位伙食补助费项目自评得分为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城乡基本养老个人缴费县级补助项目自评得分为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87.51</w:t>
      </w:r>
      <w:r>
        <w:rPr>
          <w:rFonts w:hint="eastAsia" w:ascii="仿宋" w:hAnsi="仿宋" w:eastAsia="仿宋" w:cs="仿宋"/>
          <w:color w:val="000000" w:themeColor="text1"/>
          <w:sz w:val="32"/>
          <w:szCs w:val="32"/>
          <w14:textFill>
            <w14:solidFill>
              <w14:schemeClr w14:val="tx1"/>
            </w14:solidFill>
          </w14:textFill>
        </w:rPr>
        <w:t>分。发现的主要问题及原因：一是存在部分未能解决遗留问题；二是年初预算填报绩效指标时忘记修改指标值，保留了上年度指标值。下一步改进措施：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）企业职工基本养老保险工作激励奖励资金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本级财力不足，结转至下年使用</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下一年度使用完毕</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自治区财政厅下达城乡居民基本养老保险财政补助资金项目自评得分为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89.41</w:t>
      </w:r>
      <w:r>
        <w:rPr>
          <w:rFonts w:hint="eastAsia" w:ascii="仿宋" w:hAnsi="仿宋" w:eastAsia="仿宋" w:cs="仿宋"/>
          <w:color w:val="000000" w:themeColor="text1"/>
          <w:sz w:val="32"/>
          <w:szCs w:val="32"/>
          <w14:textFill>
            <w14:solidFill>
              <w14:schemeClr w14:val="tx1"/>
            </w14:solidFill>
          </w14:textFill>
        </w:rPr>
        <w:t>分。发现的主要问题及原因：部分居民对于养老金待遇较职工养老金待遇低有意见。下一步改进措施：</w:t>
      </w:r>
      <w:r>
        <w:rPr>
          <w:rFonts w:hint="eastAsia" w:ascii="仿宋" w:hAnsi="仿宋" w:eastAsia="仿宋" w:cs="仿宋"/>
          <w:color w:val="000000" w:themeColor="text1"/>
          <w:sz w:val="32"/>
          <w:szCs w:val="32"/>
          <w:lang w:eastAsia="zh-CN"/>
          <w14:textFill>
            <w14:solidFill>
              <w14:schemeClr w14:val="tx1"/>
            </w14:solidFill>
          </w14:textFill>
        </w:rPr>
        <w:t>与群众解释好有关城乡养老和职工养老待遇政策的区别，争取消除群众由于政策不了解而产生的问题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社会保险基金征缴任务工作经费项目自评得分为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97.47</w:t>
      </w:r>
      <w:r>
        <w:rPr>
          <w:rFonts w:hint="eastAsia" w:ascii="仿宋" w:hAnsi="仿宋" w:eastAsia="仿宋" w:cs="仿宋"/>
          <w:color w:val="000000" w:themeColor="text1"/>
          <w:sz w:val="32"/>
          <w:szCs w:val="32"/>
          <w14:textFill>
            <w14:solidFill>
              <w14:schemeClr w14:val="tx1"/>
            </w14:solidFill>
          </w14:textFill>
        </w:rPr>
        <w:t>分。发现的主要问题及原因：年初预算填报绩效指标时忘记修改指标值，保留了上年度指标值。下一步改进措施：</w:t>
      </w:r>
      <w:r>
        <w:rPr>
          <w:rFonts w:hint="eastAsia" w:ascii="仿宋" w:hAnsi="仿宋" w:eastAsia="仿宋" w:cs="仿宋"/>
          <w:color w:val="000000" w:themeColor="text1"/>
          <w:sz w:val="32"/>
          <w:szCs w:val="32"/>
          <w:lang w:eastAsia="zh-CN"/>
          <w14:textFill>
            <w14:solidFill>
              <w14:schemeClr w14:val="tx1"/>
            </w14:solidFill>
          </w14:textFill>
        </w:rPr>
        <w:t>仔细工作，注意修改指标值</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被征地农民养老保险补贴资金项目自评得分为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85.76</w:t>
      </w:r>
      <w:r>
        <w:rPr>
          <w:rFonts w:hint="eastAsia" w:ascii="仿宋" w:hAnsi="仿宋" w:eastAsia="仿宋" w:cs="仿宋"/>
          <w:color w:val="000000" w:themeColor="text1"/>
          <w:sz w:val="32"/>
          <w:szCs w:val="32"/>
          <w14:textFill>
            <w14:solidFill>
              <w14:schemeClr w14:val="tx1"/>
            </w14:solidFill>
          </w14:textFill>
        </w:rPr>
        <w:t>分。发现的主要问题及原因：县级财政困难，未能</w:t>
      </w:r>
      <w:r>
        <w:rPr>
          <w:rFonts w:hint="eastAsia" w:ascii="仿宋" w:hAnsi="仿宋" w:eastAsia="仿宋" w:cs="仿宋"/>
          <w:color w:val="000000" w:themeColor="text1"/>
          <w:sz w:val="32"/>
          <w:szCs w:val="32"/>
          <w:lang w:eastAsia="zh-CN"/>
          <w14:textFill>
            <w14:solidFill>
              <w14:schemeClr w14:val="tx1"/>
            </w14:solidFill>
          </w14:textFill>
        </w:rPr>
        <w:t>安排</w:t>
      </w:r>
      <w:r>
        <w:rPr>
          <w:rFonts w:hint="eastAsia" w:ascii="仿宋" w:hAnsi="仿宋" w:eastAsia="仿宋" w:cs="仿宋"/>
          <w:color w:val="000000" w:themeColor="text1"/>
          <w:sz w:val="32"/>
          <w:szCs w:val="32"/>
          <w14:textFill>
            <w14:solidFill>
              <w14:schemeClr w14:val="tx1"/>
            </w14:solidFill>
          </w14:textFill>
        </w:rPr>
        <w:t>全额补助。下一步改进措施：</w:t>
      </w:r>
      <w:r>
        <w:rPr>
          <w:rFonts w:hint="eastAsia" w:ascii="仿宋" w:hAnsi="仿宋" w:eastAsia="仿宋" w:cs="仿宋"/>
          <w:color w:val="000000" w:themeColor="text1"/>
          <w:sz w:val="32"/>
          <w:szCs w:val="32"/>
          <w:lang w:eastAsia="zh-CN"/>
          <w14:textFill>
            <w14:solidFill>
              <w14:schemeClr w14:val="tx1"/>
            </w14:solidFill>
          </w14:textFill>
        </w:rPr>
        <w:t>剩余部分结转至下年支付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改革后退休人员职业年金项目自评得分为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92.8</w:t>
      </w:r>
      <w:r>
        <w:rPr>
          <w:rFonts w:hint="eastAsia" w:ascii="仿宋" w:hAnsi="仿宋" w:eastAsia="仿宋" w:cs="仿宋"/>
          <w:color w:val="000000" w:themeColor="text1"/>
          <w:sz w:val="32"/>
          <w:szCs w:val="32"/>
          <w14:textFill>
            <w14:solidFill>
              <w14:schemeClr w14:val="tx1"/>
            </w14:solidFill>
          </w14:textFill>
        </w:rPr>
        <w:t>分。发现的主要问题及原因：我县财政困难，仅能承担部分后退休人员及在职停保人员职业年金做实补助资金，而年初预算中还包含在职人员职业年金单位做实补助资金，这部分资金占该项预算90%以上，我县财政无力承担，故本年度未能全部完成。下一步改进措施：</w:t>
      </w:r>
      <w:r>
        <w:rPr>
          <w:rFonts w:hint="eastAsia" w:ascii="仿宋" w:hAnsi="仿宋" w:eastAsia="仿宋" w:cs="仿宋"/>
          <w:color w:val="000000" w:themeColor="text1"/>
          <w:sz w:val="32"/>
          <w:szCs w:val="32"/>
          <w:lang w:eastAsia="zh-CN"/>
          <w14:textFill>
            <w14:solidFill>
              <w14:schemeClr w14:val="tx1"/>
            </w14:solidFill>
          </w14:textFill>
        </w:rPr>
        <w:t>待我县财力充足后再行安排</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乡镇社保开展城乡养老保险工作经费项目自评得分为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89.18</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城乡基本养老基础养老金县级补助项目自评得分为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89.09</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建国初期参加革命工作部分退休干部护理费项目自评得分为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99.09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本年度新增一人死亡，故实际支付金额较年初预算数有所减少</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退休职工生存认证、工伤保险待遇支付调查工作专项经费项目自评得分为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90.66</w:t>
      </w:r>
      <w:r>
        <w:rPr>
          <w:rFonts w:hint="eastAsia" w:ascii="仿宋" w:hAnsi="仿宋" w:eastAsia="仿宋" w:cs="仿宋"/>
          <w:color w:val="000000" w:themeColor="text1"/>
          <w:sz w:val="32"/>
          <w:szCs w:val="32"/>
          <w14:textFill>
            <w14:solidFill>
              <w14:schemeClr w14:val="tx1"/>
            </w14:solidFill>
          </w14:textFill>
        </w:rPr>
        <w:t>分。发现的主要问题及原因：一部分工伤待遇认定和发放工作处于法院审理阶段。下一步改进措施：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城乡居民基本养老保险补助资金项目自评得分为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88.64</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日常工作经费项目自评得分为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85.46</w:t>
      </w:r>
      <w:r>
        <w:rPr>
          <w:rFonts w:hint="eastAsia" w:ascii="仿宋" w:hAnsi="仿宋" w:eastAsia="仿宋" w:cs="仿宋"/>
          <w:color w:val="000000" w:themeColor="text1"/>
          <w:sz w:val="32"/>
          <w:szCs w:val="32"/>
          <w14:textFill>
            <w14:solidFill>
              <w14:schemeClr w14:val="tx1"/>
            </w14:solidFill>
          </w14:textFill>
        </w:rPr>
        <w:t>分。发现的主要问题及原因：我县财政困难</w:t>
      </w:r>
      <w:r>
        <w:rPr>
          <w:rFonts w:hint="eastAsia" w:ascii="仿宋" w:hAnsi="仿宋" w:eastAsia="仿宋" w:cs="仿宋"/>
          <w:color w:val="000000" w:themeColor="text1"/>
          <w:sz w:val="32"/>
          <w:szCs w:val="32"/>
          <w:lang w:eastAsia="zh-CN"/>
          <w14:textFill>
            <w14:solidFill>
              <w14:schemeClr w14:val="tx1"/>
            </w14:solidFill>
          </w14:textFill>
        </w:rPr>
        <w:t>，无法安排全部项目资金投入使用</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待我县财力充足后再行安排。</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中央财政机关事业单位养老保险制度改革补助经费项目自评得分为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85</w:t>
      </w:r>
      <w:r>
        <w:rPr>
          <w:rFonts w:hint="eastAsia" w:ascii="仿宋" w:hAnsi="仿宋" w:eastAsia="仿宋" w:cs="仿宋"/>
          <w:color w:val="000000" w:themeColor="text1"/>
          <w:sz w:val="32"/>
          <w:szCs w:val="32"/>
          <w14:textFill>
            <w14:solidFill>
              <w14:schemeClr w14:val="tx1"/>
            </w14:solidFill>
          </w14:textFill>
        </w:rPr>
        <w:t>分。发现的主要问题及原因：依然存在遗留问题待处理。下一步改进措施：</w:t>
      </w:r>
      <w:r>
        <w:rPr>
          <w:rFonts w:hint="eastAsia" w:ascii="仿宋" w:hAnsi="仿宋" w:eastAsia="仿宋" w:cs="仿宋"/>
          <w:color w:val="000000" w:themeColor="text1"/>
          <w:sz w:val="32"/>
          <w:szCs w:val="32"/>
          <w:lang w:eastAsia="zh-CN"/>
          <w14:textFill>
            <w14:solidFill>
              <w14:schemeClr w14:val="tx1"/>
            </w14:solidFill>
          </w14:textFill>
        </w:rPr>
        <w:t>争取</w:t>
      </w:r>
      <w:r>
        <w:rPr>
          <w:rFonts w:hint="eastAsia" w:ascii="仿宋" w:hAnsi="仿宋" w:eastAsia="仿宋" w:cs="仿宋"/>
          <w:color w:val="000000" w:themeColor="text1"/>
          <w:sz w:val="32"/>
          <w:szCs w:val="32"/>
          <w14:textFill>
            <w14:solidFill>
              <w14:schemeClr w14:val="tx1"/>
            </w14:solidFill>
          </w14:textFill>
        </w:rPr>
        <w:t>解决遗留问题</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6" w:name="_GoBack"/>
      <w:bookmarkEnd w:id="6"/>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1B228C77"/>
    <w:multiLevelType w:val="singleLevel"/>
    <w:tmpl w:val="1B228C7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MjgwMjY1MjRkYWRiNTA0MzU0OTU5NDQzYWJlMT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12DCD"/>
    <w:rsid w:val="00F21455"/>
    <w:rsid w:val="00F5354B"/>
    <w:rsid w:val="00F95135"/>
    <w:rsid w:val="00F9658C"/>
    <w:rsid w:val="00F978FD"/>
    <w:rsid w:val="00FA738E"/>
    <w:rsid w:val="00FC438B"/>
    <w:rsid w:val="01234E98"/>
    <w:rsid w:val="015F1951"/>
    <w:rsid w:val="020C171D"/>
    <w:rsid w:val="0216715F"/>
    <w:rsid w:val="02E0291A"/>
    <w:rsid w:val="03C84489"/>
    <w:rsid w:val="04E54546"/>
    <w:rsid w:val="05992762"/>
    <w:rsid w:val="06B74A9B"/>
    <w:rsid w:val="07B0770E"/>
    <w:rsid w:val="0942143F"/>
    <w:rsid w:val="0BE37935"/>
    <w:rsid w:val="0D100297"/>
    <w:rsid w:val="0D202B45"/>
    <w:rsid w:val="0F8D4C87"/>
    <w:rsid w:val="10505FAA"/>
    <w:rsid w:val="105F7E7E"/>
    <w:rsid w:val="11E56B5B"/>
    <w:rsid w:val="125C77AB"/>
    <w:rsid w:val="13CC730A"/>
    <w:rsid w:val="147300B2"/>
    <w:rsid w:val="149B3D56"/>
    <w:rsid w:val="14CB726E"/>
    <w:rsid w:val="170E4165"/>
    <w:rsid w:val="17E92249"/>
    <w:rsid w:val="18D304F1"/>
    <w:rsid w:val="19F32577"/>
    <w:rsid w:val="19F45B80"/>
    <w:rsid w:val="1AC73074"/>
    <w:rsid w:val="1B0C078D"/>
    <w:rsid w:val="1B2B31E2"/>
    <w:rsid w:val="1B4C295A"/>
    <w:rsid w:val="1B973C63"/>
    <w:rsid w:val="1BA1001E"/>
    <w:rsid w:val="1D317259"/>
    <w:rsid w:val="1D6334B4"/>
    <w:rsid w:val="1E664F5B"/>
    <w:rsid w:val="1EB34BE1"/>
    <w:rsid w:val="1EC117B6"/>
    <w:rsid w:val="1F2F1732"/>
    <w:rsid w:val="215E639F"/>
    <w:rsid w:val="21EC3183"/>
    <w:rsid w:val="225E72CD"/>
    <w:rsid w:val="22981548"/>
    <w:rsid w:val="23260E04"/>
    <w:rsid w:val="246E2F77"/>
    <w:rsid w:val="254B4E2B"/>
    <w:rsid w:val="283D7C94"/>
    <w:rsid w:val="29480E03"/>
    <w:rsid w:val="2983634D"/>
    <w:rsid w:val="2A0D18E3"/>
    <w:rsid w:val="2BB02055"/>
    <w:rsid w:val="2C575A56"/>
    <w:rsid w:val="2F257714"/>
    <w:rsid w:val="2F3275E5"/>
    <w:rsid w:val="30AA08EF"/>
    <w:rsid w:val="30D23D1C"/>
    <w:rsid w:val="31221CF5"/>
    <w:rsid w:val="31400178"/>
    <w:rsid w:val="321E3342"/>
    <w:rsid w:val="327759C8"/>
    <w:rsid w:val="33185FE3"/>
    <w:rsid w:val="33DE5CBC"/>
    <w:rsid w:val="349A0CEE"/>
    <w:rsid w:val="34EE2E36"/>
    <w:rsid w:val="36777241"/>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9FC5C1D"/>
    <w:rsid w:val="4A3E30AB"/>
    <w:rsid w:val="4AC14DAC"/>
    <w:rsid w:val="4C8D287D"/>
    <w:rsid w:val="4D154C85"/>
    <w:rsid w:val="4EC8553A"/>
    <w:rsid w:val="4EFF5B7A"/>
    <w:rsid w:val="4F3D0E54"/>
    <w:rsid w:val="4FF736F9"/>
    <w:rsid w:val="508F4E24"/>
    <w:rsid w:val="51461E90"/>
    <w:rsid w:val="51463753"/>
    <w:rsid w:val="52553A93"/>
    <w:rsid w:val="5308126D"/>
    <w:rsid w:val="53521F8B"/>
    <w:rsid w:val="53E22F47"/>
    <w:rsid w:val="54522FF8"/>
    <w:rsid w:val="55450629"/>
    <w:rsid w:val="56692963"/>
    <w:rsid w:val="568B0F48"/>
    <w:rsid w:val="56BF6BDC"/>
    <w:rsid w:val="5786217B"/>
    <w:rsid w:val="59337A15"/>
    <w:rsid w:val="59810274"/>
    <w:rsid w:val="5A13112F"/>
    <w:rsid w:val="5C941E0E"/>
    <w:rsid w:val="5CA96A00"/>
    <w:rsid w:val="5CF730BC"/>
    <w:rsid w:val="5E5F0DCE"/>
    <w:rsid w:val="5F0D0843"/>
    <w:rsid w:val="5F3D27AA"/>
    <w:rsid w:val="5FA40A7B"/>
    <w:rsid w:val="5FD56D29"/>
    <w:rsid w:val="5FEC7F3F"/>
    <w:rsid w:val="5FFF1BBB"/>
    <w:rsid w:val="60F74BC3"/>
    <w:rsid w:val="61497A41"/>
    <w:rsid w:val="617D3BF8"/>
    <w:rsid w:val="61841F6A"/>
    <w:rsid w:val="61E454F5"/>
    <w:rsid w:val="623007A9"/>
    <w:rsid w:val="637D7558"/>
    <w:rsid w:val="644F19AC"/>
    <w:rsid w:val="65AA4920"/>
    <w:rsid w:val="66753787"/>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5319F3"/>
    <w:rsid w:val="7BDF037E"/>
    <w:rsid w:val="7BF50948"/>
    <w:rsid w:val="7C8C3F1D"/>
    <w:rsid w:val="7CE66A78"/>
    <w:rsid w:val="7D23564C"/>
    <w:rsid w:val="7D5E062D"/>
    <w:rsid w:val="7DF76CD8"/>
    <w:rsid w:val="7F695C26"/>
    <w:rsid w:val="7F7C2A79"/>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2023-11-17T01:32:00Z</cp:lastPrinted>
  <dcterms:modified xsi:type="dcterms:W3CDTF">2023-11-24T08:27:30Z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53410D9B91894464AB27E392F2B192D5_13</vt:lpwstr>
  </property>
</Properties>
</file>