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环江毛南族自治县川山镇中心卫生院</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川山镇中心卫生院</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川山镇中心卫生院</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川山镇中心卫生院</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val="en-US" w:eastAsia="zh-CN"/>
        </w:rPr>
        <w:t>川山镇中心卫生院</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kinsoku/>
        <w:wordWrap/>
        <w:overflowPunct/>
        <w:topLinePunct w:val="0"/>
        <w:bidi w:val="0"/>
        <w:spacing w:line="560" w:lineRule="exact"/>
        <w:ind w:firstLine="645"/>
        <w:textAlignment w:val="auto"/>
        <w:rPr>
          <w:rFonts w:hint="eastAsia" w:ascii="宋体" w:hAnsi="宋体" w:eastAsia="宋体" w:cs="宋体"/>
          <w:b/>
          <w:bCs w:val="0"/>
          <w:sz w:val="28"/>
          <w:szCs w:val="28"/>
          <w:highlight w:val="none"/>
          <w:lang w:eastAsia="zh-CN"/>
        </w:rPr>
      </w:pPr>
      <w:r>
        <w:rPr>
          <w:rFonts w:hint="eastAsia" w:ascii="宋体" w:hAnsi="宋体" w:eastAsia="宋体" w:cs="宋体"/>
          <w:b/>
          <w:bCs w:val="0"/>
          <w:sz w:val="28"/>
          <w:szCs w:val="28"/>
          <w:highlight w:val="none"/>
        </w:rPr>
        <w:t>一、</w:t>
      </w:r>
      <w:r>
        <w:rPr>
          <w:rFonts w:hint="eastAsia" w:ascii="宋体" w:hAnsi="宋体" w:eastAsia="宋体" w:cs="宋体"/>
          <w:sz w:val="28"/>
          <w:szCs w:val="28"/>
        </w:rPr>
        <w:t>根据《环江毛南族自治县人民政府办公室关于印发环江毛南族自治县卫生和计划生育委员会主要职责内设机构和人员编制规定的通知》（环政办发[2015]168</w:t>
      </w:r>
      <w:r>
        <w:rPr>
          <w:rFonts w:hint="eastAsia" w:ascii="宋体" w:hAnsi="宋体" w:eastAsia="宋体" w:cs="宋体"/>
          <w:sz w:val="28"/>
          <w:szCs w:val="28"/>
          <w:lang w:eastAsia="zh-CN"/>
        </w:rPr>
        <w:t>号</w:t>
      </w:r>
      <w:r>
        <w:rPr>
          <w:rFonts w:hint="eastAsia" w:ascii="宋体" w:hAnsi="宋体" w:eastAsia="宋体" w:cs="宋体"/>
          <w:sz w:val="28"/>
          <w:szCs w:val="28"/>
        </w:rPr>
        <w:t>）文件规定，</w:t>
      </w:r>
      <w:r>
        <w:rPr>
          <w:rFonts w:hint="eastAsia" w:ascii="宋体" w:hAnsi="宋体" w:eastAsia="宋体" w:cs="宋体"/>
          <w:sz w:val="28"/>
          <w:szCs w:val="28"/>
          <w:highlight w:val="none"/>
          <w:lang w:val="en-US" w:eastAsia="zh-CN"/>
        </w:rPr>
        <w:t>本单位</w:t>
      </w:r>
      <w:r>
        <w:rPr>
          <w:rFonts w:hint="eastAsia" w:ascii="宋体" w:hAnsi="宋体" w:eastAsia="宋体" w:cs="宋体"/>
          <w:b w:val="0"/>
          <w:bCs/>
          <w:sz w:val="28"/>
          <w:szCs w:val="28"/>
          <w:highlight w:val="none"/>
        </w:rPr>
        <w:t>主要职能</w:t>
      </w:r>
      <w:r>
        <w:rPr>
          <w:rFonts w:hint="eastAsia" w:ascii="宋体" w:hAnsi="宋体" w:eastAsia="宋体" w:cs="宋体"/>
          <w:b w:val="0"/>
          <w:bCs/>
          <w:sz w:val="28"/>
          <w:szCs w:val="28"/>
          <w:highlight w:val="none"/>
          <w:lang w:eastAsia="zh-CN"/>
        </w:rPr>
        <w:t>：</w:t>
      </w:r>
    </w:p>
    <w:p>
      <w:pPr>
        <w:numPr>
          <w:ilvl w:val="0"/>
          <w:numId w:val="0"/>
        </w:numPr>
        <w:rPr>
          <w:rFonts w:hint="eastAsia" w:cs="Times New Roman"/>
          <w:kern w:val="2"/>
          <w:sz w:val="28"/>
          <w:szCs w:val="28"/>
          <w:vertAlign w:val="baseline"/>
          <w:lang w:val="en-US" w:eastAsia="zh-CN" w:bidi="ar-SA"/>
        </w:rPr>
      </w:pP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1、</w:t>
      </w:r>
      <w:r>
        <w:rPr>
          <w:rFonts w:hint="eastAsia" w:ascii="宋体" w:hAnsi="宋体" w:eastAsia="宋体" w:cs="宋体"/>
          <w:i w:val="0"/>
          <w:caps w:val="0"/>
          <w:color w:val="333333"/>
          <w:spacing w:val="0"/>
          <w:kern w:val="0"/>
          <w:sz w:val="28"/>
          <w:szCs w:val="28"/>
          <w:shd w:val="clear" w:color="auto" w:fill="FFFFFF"/>
          <w:lang w:val="en-US" w:eastAsia="zh-CN" w:bidi="ar"/>
        </w:rPr>
        <w:t>提供基本医疗服务：按照</w:t>
      </w:r>
      <w:r>
        <w:rPr>
          <w:rFonts w:hint="eastAsia" w:cs="Times New Roman"/>
          <w:kern w:val="2"/>
          <w:sz w:val="28"/>
          <w:szCs w:val="28"/>
          <w:vertAlign w:val="baseline"/>
          <w:lang w:val="en-US" w:eastAsia="zh-CN" w:bidi="ar-SA"/>
        </w:rPr>
        <w:t>广西壮族自治区乡镇卫生院管理办法；建立门诊、住院科室；开展急诊急救、</w:t>
      </w:r>
      <w:r>
        <w:rPr>
          <w:rFonts w:hint="default" w:cs="Times New Roman"/>
          <w:kern w:val="2"/>
          <w:sz w:val="28"/>
          <w:szCs w:val="28"/>
          <w:vertAlign w:val="baseline"/>
          <w:lang w:val="en-US" w:eastAsia="zh-CN" w:bidi="ar-SA"/>
        </w:rPr>
        <w:t>内科</w:t>
      </w:r>
      <w:r>
        <w:rPr>
          <w:rFonts w:hint="eastAsia" w:cs="Times New Roman"/>
          <w:kern w:val="2"/>
          <w:sz w:val="28"/>
          <w:szCs w:val="28"/>
          <w:vertAlign w:val="baseline"/>
          <w:lang w:val="en-US" w:eastAsia="zh-CN" w:bidi="ar-SA"/>
        </w:rPr>
        <w:t>、外科、儿科、妇科、中医科、检查、检验等等基础</w:t>
      </w:r>
      <w:r>
        <w:rPr>
          <w:rFonts w:hint="default" w:cs="Times New Roman"/>
          <w:kern w:val="2"/>
          <w:sz w:val="28"/>
          <w:szCs w:val="28"/>
          <w:vertAlign w:val="baseline"/>
          <w:lang w:val="en-US" w:eastAsia="zh-CN" w:bidi="ar-SA"/>
        </w:rPr>
        <w:t>医疗</w:t>
      </w:r>
      <w:r>
        <w:rPr>
          <w:rFonts w:hint="eastAsia" w:cs="Times New Roman"/>
          <w:kern w:val="2"/>
          <w:sz w:val="28"/>
          <w:szCs w:val="28"/>
          <w:vertAlign w:val="baseline"/>
          <w:lang w:val="en-US" w:eastAsia="zh-CN" w:bidi="ar-SA"/>
        </w:rPr>
        <w:t>业务</w:t>
      </w:r>
      <w:r>
        <w:rPr>
          <w:rFonts w:hint="eastAsia" w:cs="Times New Roman"/>
          <w:kern w:val="2"/>
          <w:sz w:val="21"/>
          <w:szCs w:val="24"/>
          <w:vertAlign w:val="baseline"/>
          <w:lang w:val="en-US" w:eastAsia="zh-CN" w:bidi="ar-SA"/>
        </w:rPr>
        <w:t>；</w:t>
      </w:r>
      <w:r>
        <w:rPr>
          <w:rFonts w:hint="eastAsia" w:cs="Times New Roman"/>
          <w:kern w:val="2"/>
          <w:sz w:val="28"/>
          <w:szCs w:val="28"/>
          <w:vertAlign w:val="baseline"/>
          <w:lang w:val="en-US" w:eastAsia="zh-CN" w:bidi="ar-SA"/>
        </w:rPr>
        <w:t>服务于当地人民群众。</w:t>
      </w:r>
    </w:p>
    <w:p>
      <w:pPr>
        <w:numPr>
          <w:ilvl w:val="0"/>
          <w:numId w:val="0"/>
        </w:numPr>
        <w:rPr>
          <w:rFonts w:hint="eastAsia" w:cs="Times New Roman"/>
          <w:kern w:val="2"/>
          <w:sz w:val="28"/>
          <w:szCs w:val="28"/>
          <w:vertAlign w:val="baseline"/>
          <w:lang w:val="en-US" w:eastAsia="zh-CN" w:bidi="ar-SA"/>
        </w:rPr>
      </w:pPr>
      <w:r>
        <w:rPr>
          <w:rFonts w:hint="eastAsia" w:cs="Times New Roman"/>
          <w:kern w:val="2"/>
          <w:sz w:val="28"/>
          <w:szCs w:val="28"/>
          <w:vertAlign w:val="baseline"/>
          <w:lang w:val="en-US" w:eastAsia="zh-CN" w:bidi="ar-SA"/>
        </w:rPr>
        <w:t xml:space="preserve">   2、</w:t>
      </w:r>
      <w:r>
        <w:rPr>
          <w:rFonts w:hint="eastAsia" w:ascii="宋体" w:hAnsi="宋体" w:eastAsia="宋体" w:cs="宋体"/>
          <w:i w:val="0"/>
          <w:caps w:val="0"/>
          <w:color w:val="333333"/>
          <w:spacing w:val="0"/>
          <w:kern w:val="0"/>
          <w:sz w:val="24"/>
          <w:szCs w:val="24"/>
          <w:shd w:val="clear" w:color="auto" w:fill="FFFFFF"/>
          <w:lang w:val="en-US" w:eastAsia="zh-CN" w:bidi="ar"/>
        </w:rPr>
        <w:t>.</w:t>
      </w:r>
      <w:r>
        <w:rPr>
          <w:rFonts w:hint="eastAsia" w:ascii="宋体" w:hAnsi="宋体" w:eastAsia="宋体" w:cs="宋体"/>
          <w:i w:val="0"/>
          <w:caps w:val="0"/>
          <w:color w:val="333333"/>
          <w:spacing w:val="0"/>
          <w:kern w:val="0"/>
          <w:sz w:val="28"/>
          <w:szCs w:val="28"/>
          <w:shd w:val="clear" w:color="auto" w:fill="FFFFFF"/>
          <w:lang w:val="en-US" w:eastAsia="zh-CN" w:bidi="ar"/>
        </w:rPr>
        <w:t>提供预防保健服务</w:t>
      </w:r>
      <w:r>
        <w:rPr>
          <w:rFonts w:hint="eastAsia" w:hAnsi="宋体" w:eastAsia="宋体" w:cs="宋体"/>
          <w:i w:val="0"/>
          <w:caps w:val="0"/>
          <w:color w:val="333333"/>
          <w:spacing w:val="0"/>
          <w:kern w:val="0"/>
          <w:sz w:val="28"/>
          <w:szCs w:val="28"/>
          <w:shd w:val="clear" w:color="auto" w:fill="FFFFFF"/>
          <w:lang w:val="en-US" w:eastAsia="zh-CN" w:bidi="ar"/>
        </w:rPr>
        <w:t>：开展</w:t>
      </w:r>
      <w:r>
        <w:rPr>
          <w:rFonts w:hint="eastAsia" w:cs="Times New Roman"/>
          <w:kern w:val="2"/>
          <w:sz w:val="28"/>
          <w:szCs w:val="28"/>
          <w:vertAlign w:val="baseline"/>
          <w:lang w:val="en-US" w:eastAsia="zh-CN" w:bidi="ar-SA"/>
        </w:rPr>
        <w:t>健康教育、预防接种服务，执行</w:t>
      </w:r>
      <w:r>
        <w:rPr>
          <w:rFonts w:hint="default" w:cs="Times New Roman"/>
          <w:kern w:val="2"/>
          <w:sz w:val="28"/>
          <w:szCs w:val="28"/>
          <w:vertAlign w:val="baseline"/>
          <w:lang w:val="en-US" w:eastAsia="zh-CN" w:bidi="ar-SA"/>
        </w:rPr>
        <w:t>卫生</w:t>
      </w:r>
      <w:r>
        <w:rPr>
          <w:rFonts w:hint="eastAsia" w:cs="Times New Roman"/>
          <w:kern w:val="2"/>
          <w:sz w:val="28"/>
          <w:szCs w:val="28"/>
          <w:vertAlign w:val="baseline"/>
          <w:lang w:val="en-US" w:eastAsia="zh-CN" w:bidi="ar-SA"/>
        </w:rPr>
        <w:t>计生监督</w:t>
      </w:r>
      <w:r>
        <w:rPr>
          <w:rFonts w:hint="default" w:cs="Times New Roman"/>
          <w:kern w:val="2"/>
          <w:sz w:val="28"/>
          <w:szCs w:val="28"/>
          <w:vertAlign w:val="baseline"/>
          <w:lang w:val="en-US" w:eastAsia="zh-CN" w:bidi="ar-SA"/>
        </w:rPr>
        <w:t>协管</w:t>
      </w:r>
      <w:r>
        <w:rPr>
          <w:rFonts w:hint="eastAsia" w:cs="Times New Roman"/>
          <w:kern w:val="2"/>
          <w:sz w:val="28"/>
          <w:szCs w:val="28"/>
          <w:vertAlign w:val="baseline"/>
          <w:lang w:val="en-US" w:eastAsia="zh-CN" w:bidi="ar-SA"/>
        </w:rPr>
        <w:t>与传染病及突发公卫事件报告工作；预防重大公共领域健康安全事件发生。</w:t>
      </w:r>
    </w:p>
    <w:p>
      <w:pPr>
        <w:pStyle w:val="2"/>
        <w:rPr>
          <w:rFonts w:hint="eastAsia" w:cs="Times New Roman"/>
          <w:kern w:val="2"/>
          <w:sz w:val="28"/>
          <w:szCs w:val="28"/>
          <w:vertAlign w:val="baseline"/>
          <w:lang w:val="en-US" w:eastAsia="zh-CN" w:bidi="ar-SA"/>
        </w:rPr>
      </w:pPr>
      <w:r>
        <w:rPr>
          <w:rFonts w:hint="eastAsia" w:cs="Times New Roman"/>
          <w:kern w:val="2"/>
          <w:sz w:val="28"/>
          <w:szCs w:val="28"/>
          <w:vertAlign w:val="baseline"/>
          <w:lang w:val="en-US" w:eastAsia="zh-CN" w:bidi="ar-SA"/>
        </w:rPr>
        <w:t xml:space="preserve">   3、提供基本公共卫生、重大公共卫生服务，持续开展基本公共卫生、重大公共卫生项目下的各项子目业务，为本辖区人民群众的健康提供综合性、连续性的服务保障。</w:t>
      </w:r>
    </w:p>
    <w:p>
      <w:pPr>
        <w:numPr>
          <w:ilvl w:val="0"/>
          <w:numId w:val="0"/>
        </w:numPr>
        <w:rPr>
          <w:rFonts w:hint="eastAsia" w:cs="Times New Roman"/>
          <w:kern w:val="2"/>
          <w:sz w:val="28"/>
          <w:szCs w:val="28"/>
          <w:vertAlign w:val="baseline"/>
          <w:lang w:val="en-US" w:eastAsia="zh-CN" w:bidi="ar-SA"/>
        </w:rPr>
      </w:pPr>
      <w:r>
        <w:rPr>
          <w:rFonts w:hint="eastAsia" w:cs="Times New Roman"/>
          <w:kern w:val="2"/>
          <w:sz w:val="28"/>
          <w:szCs w:val="28"/>
          <w:vertAlign w:val="baseline"/>
          <w:lang w:val="en-US" w:eastAsia="zh-CN" w:bidi="ar-SA"/>
        </w:rPr>
        <w:t xml:space="preserve">   4、</w:t>
      </w:r>
      <w:r>
        <w:rPr>
          <w:rFonts w:hint="eastAsia"/>
          <w:sz w:val="28"/>
          <w:szCs w:val="28"/>
          <w:lang w:val="en-US" w:eastAsia="zh-CN"/>
        </w:rPr>
        <w:t>承担县（区）级卫生行政部门委托的卫生管理职能：实施环江县医疗卫生服务县乡一体化改革实施工作、乡镇卫生院与村卫生室一体化管理工作；制定</w:t>
      </w:r>
      <w:r>
        <w:rPr>
          <w:rFonts w:hint="eastAsia" w:cs="Times New Roman"/>
          <w:kern w:val="2"/>
          <w:sz w:val="28"/>
          <w:szCs w:val="28"/>
          <w:vertAlign w:val="baseline"/>
          <w:lang w:val="en-US" w:eastAsia="zh-CN" w:bidi="ar-SA"/>
        </w:rPr>
        <w:t>村医基本公共卫生服务项目目标责任书及</w:t>
      </w:r>
      <w:r>
        <w:rPr>
          <w:rFonts w:hint="default" w:cs="Times New Roman"/>
          <w:kern w:val="2"/>
          <w:sz w:val="28"/>
          <w:szCs w:val="28"/>
          <w:vertAlign w:val="baseline"/>
          <w:lang w:val="en-US" w:eastAsia="zh-CN" w:bidi="ar-SA"/>
        </w:rPr>
        <w:t>乡村医生实施基本公共卫生服务项目绩效考核指标体系</w:t>
      </w:r>
      <w:r>
        <w:rPr>
          <w:rFonts w:hint="eastAsia" w:cs="Times New Roman"/>
          <w:kern w:val="2"/>
          <w:sz w:val="28"/>
          <w:szCs w:val="28"/>
          <w:vertAlign w:val="baseline"/>
          <w:lang w:val="en-US" w:eastAsia="zh-CN" w:bidi="ar-SA"/>
        </w:rPr>
        <w:t>、</w:t>
      </w:r>
      <w:r>
        <w:rPr>
          <w:rFonts w:hint="default" w:cs="Times New Roman"/>
          <w:kern w:val="2"/>
          <w:sz w:val="28"/>
          <w:szCs w:val="28"/>
          <w:vertAlign w:val="baseline"/>
          <w:lang w:val="en-US" w:eastAsia="zh-CN" w:bidi="ar-SA"/>
        </w:rPr>
        <w:t>评分细则</w:t>
      </w:r>
      <w:r>
        <w:rPr>
          <w:rFonts w:hint="eastAsia" w:cs="Times New Roman"/>
          <w:kern w:val="2"/>
          <w:sz w:val="28"/>
          <w:szCs w:val="28"/>
          <w:vertAlign w:val="baseline"/>
          <w:lang w:val="en-US" w:eastAsia="zh-CN" w:bidi="ar-SA"/>
        </w:rPr>
        <w:t>及</w:t>
      </w:r>
      <w:r>
        <w:rPr>
          <w:rFonts w:hint="default" w:cs="Times New Roman"/>
          <w:kern w:val="2"/>
          <w:sz w:val="28"/>
          <w:szCs w:val="28"/>
          <w:vertAlign w:val="baseline"/>
          <w:lang w:val="en-US" w:eastAsia="zh-CN" w:bidi="ar-SA"/>
        </w:rPr>
        <w:t>实施方案</w:t>
      </w:r>
      <w:r>
        <w:rPr>
          <w:rFonts w:hint="eastAsia" w:cs="Times New Roman"/>
          <w:kern w:val="2"/>
          <w:sz w:val="28"/>
          <w:szCs w:val="28"/>
          <w:vertAlign w:val="baseline"/>
          <w:lang w:val="en-US" w:eastAsia="zh-CN" w:bidi="ar-SA"/>
        </w:rPr>
        <w:t>等。</w:t>
      </w:r>
    </w:p>
    <w:p>
      <w:pPr>
        <w:pStyle w:val="2"/>
        <w:rPr>
          <w:rFonts w:hint="default"/>
          <w:lang w:val="en-US" w:eastAsia="zh-CN"/>
        </w:rPr>
      </w:pPr>
      <w:r>
        <w:rPr>
          <w:rFonts w:hint="eastAsia" w:cs="Times New Roman"/>
          <w:kern w:val="2"/>
          <w:sz w:val="28"/>
          <w:szCs w:val="28"/>
          <w:vertAlign w:val="baseline"/>
          <w:lang w:val="en-US" w:eastAsia="zh-CN" w:bidi="ar-SA"/>
        </w:rPr>
        <w:t xml:space="preserve">    </w:t>
      </w:r>
      <w:r>
        <w:rPr>
          <w:rFonts w:hint="eastAsia" w:ascii="宋体" w:hAnsi="宋体" w:eastAsia="宋体" w:cs="宋体"/>
          <w:kern w:val="2"/>
          <w:sz w:val="28"/>
          <w:szCs w:val="28"/>
          <w:vertAlign w:val="baseline"/>
          <w:lang w:val="en-US" w:eastAsia="zh-CN" w:bidi="ar-SA"/>
        </w:rPr>
        <w:t>5、承担乡镇人民政府安</w:t>
      </w:r>
      <w:r>
        <w:rPr>
          <w:rFonts w:hint="eastAsia" w:ascii="宋体" w:hAnsi="宋体" w:eastAsia="宋体" w:cs="宋体"/>
          <w:kern w:val="0"/>
          <w:sz w:val="28"/>
          <w:szCs w:val="28"/>
        </w:rPr>
        <w:t>交办的其他事项。</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年部门决算</w:t>
      </w:r>
      <w:r>
        <w:rPr>
          <w:rFonts w:hint="eastAsia" w:ascii="仿宋_GB2312" w:eastAsia="仿宋_GB2312"/>
          <w:sz w:val="32"/>
          <w:szCs w:val="32"/>
          <w:lang w:val="en-US" w:eastAsia="zh-CN"/>
        </w:rPr>
        <w:t>仅本级公益一类事业单位1</w:t>
      </w:r>
      <w:r>
        <w:rPr>
          <w:rFonts w:hint="eastAsia" w:ascii="仿宋_GB2312" w:eastAsia="仿宋_GB2312"/>
          <w:sz w:val="32"/>
          <w:szCs w:val="32"/>
        </w:rPr>
        <w:t>个</w:t>
      </w:r>
      <w:r>
        <w:rPr>
          <w:rFonts w:hint="eastAsia" w:ascii="仿宋_GB2312" w:eastAsia="仿宋_GB2312"/>
          <w:sz w:val="32"/>
          <w:szCs w:val="32"/>
          <w:lang w:val="en-US" w:eastAsia="zh-CN"/>
        </w:rPr>
        <w:t>单位。</w:t>
      </w: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川山镇中心卫生院</w:t>
      </w:r>
      <w:r>
        <w:rPr>
          <w:rFonts w:hint="eastAsia" w:ascii="黑体" w:hAnsi="黑体" w:eastAsia="黑体" w:cs="黑体"/>
          <w:sz w:val="32"/>
          <w:szCs w:val="32"/>
          <w:highlight w:val="none"/>
        </w:rPr>
        <w:t>2022年度部门决算报表</w:t>
      </w: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27"/>
        <w:gridCol w:w="487"/>
        <w:gridCol w:w="1297"/>
        <w:gridCol w:w="4719"/>
        <w:gridCol w:w="749"/>
        <w:gridCol w:w="1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2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48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71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4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8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2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部门：广西河池市环江毛南族自治县川山镇中心卫生院</w:t>
            </w:r>
          </w:p>
        </w:tc>
        <w:tc>
          <w:tcPr>
            <w:tcW w:w="48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71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4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8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811"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270" w:type="dxa"/>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80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1,079.94</w:t>
            </w: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1,439.76</w:t>
            </w: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2,523.36</w:t>
            </w: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2,523.36</w:t>
            </w:r>
          </w:p>
        </w:tc>
        <w:tc>
          <w:tcPr>
            <w:tcW w:w="47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hint="default"/>
          <w:lang w:val="en-US" w:eastAsia="zh-CN"/>
        </w:rPr>
      </w:pPr>
      <w:r>
        <w:rPr>
          <w:rFonts w:hint="eastAsia" w:ascii="宋体" w:hAnsi="宋体" w:eastAsia="宋体" w:cs="宋体"/>
          <w:color w:val="000000"/>
          <w:kern w:val="0"/>
          <w:sz w:val="30"/>
          <w:szCs w:val="30"/>
          <w:highlight w:val="none"/>
          <w:lang w:val="en-US" w:eastAsia="zh-CN" w:bidi="ar"/>
        </w:rPr>
        <w:t xml:space="preserve"> </w:t>
      </w: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jc w:val="center"/>
        <w:rPr>
          <w:rFonts w:ascii="仿宋" w:hAnsi="仿宋" w:eastAsia="仿宋" w:cs="仿宋"/>
          <w:sz w:val="24"/>
          <w:highlight w:val="none"/>
        </w:rPr>
      </w:pP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91"/>
        <w:gridCol w:w="222"/>
        <w:gridCol w:w="240"/>
        <w:gridCol w:w="2727"/>
        <w:gridCol w:w="1176"/>
        <w:gridCol w:w="1155"/>
        <w:gridCol w:w="708"/>
        <w:gridCol w:w="1116"/>
        <w:gridCol w:w="690"/>
        <w:gridCol w:w="750"/>
        <w:gridCol w:w="1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2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72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7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5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29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部门：广西河池市环江毛南族自治县川山镇中心卫生院</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72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7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5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480"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7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5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70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1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69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75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00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53"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27"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7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53"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2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53"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2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480"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480"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2,523.36</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1,079.94</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1,439.76</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0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2,358.58</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915.16</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1,439.76</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w:t>
            </w:r>
          </w:p>
        </w:tc>
        <w:tc>
          <w:tcPr>
            <w:tcW w:w="2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基层医疗卫生机构</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2,015.91</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572.49</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1,439.76</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2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乡镇卫生院</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1,868.24</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424.82</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1,439.76</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2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其他基层医疗卫生机构支出</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147.67</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147.67</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2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2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242.15</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242.15</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2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w:t>
            </w:r>
          </w:p>
        </w:tc>
        <w:tc>
          <w:tcPr>
            <w:tcW w:w="2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2100601</w:t>
            </w:r>
          </w:p>
        </w:tc>
        <w:tc>
          <w:tcPr>
            <w:tcW w:w="2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2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2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57.83</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57.83</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2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57.83</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57.83</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2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57.83</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57.83</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pStyle w:val="2"/>
      </w:pPr>
    </w:p>
    <w:p>
      <w:pPr>
        <w:pStyle w:val="2"/>
      </w:pPr>
    </w:p>
    <w:p>
      <w:pPr>
        <w:pStyle w:val="2"/>
      </w:pPr>
    </w:p>
    <w:p>
      <w:pPr>
        <w:pStyle w:val="2"/>
      </w:pPr>
    </w:p>
    <w:p>
      <w:pPr>
        <w:pStyle w:val="2"/>
      </w:pPr>
    </w:p>
    <w:p>
      <w:pPr>
        <w:pStyle w:val="2"/>
      </w:pPr>
    </w:p>
    <w:p>
      <w:pPr>
        <w:pStyle w:val="2"/>
      </w:pPr>
    </w:p>
    <w:p>
      <w:pPr>
        <w:pStyle w:val="2"/>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7"/>
        <w:tblW w:w="142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2"/>
        <w:gridCol w:w="222"/>
        <w:gridCol w:w="222"/>
        <w:gridCol w:w="3579"/>
        <w:gridCol w:w="1114"/>
        <w:gridCol w:w="1216"/>
        <w:gridCol w:w="892"/>
        <w:gridCol w:w="710"/>
        <w:gridCol w:w="790"/>
        <w:gridCol w:w="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271"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3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57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9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1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9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3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部门：广西河池市环江毛南族自治县川山镇中心卫生院</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57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9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1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9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55"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1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21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9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1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79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99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76"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79"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1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76"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79"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76"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79"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55"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1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9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55"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2,516.24</w:t>
            </w:r>
          </w:p>
        </w:tc>
        <w:tc>
          <w:tcPr>
            <w:tcW w:w="1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2,047.07</w:t>
            </w: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469.17</w:t>
            </w:r>
          </w:p>
        </w:tc>
        <w:tc>
          <w:tcPr>
            <w:tcW w:w="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7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w:t>
            </w:r>
          </w:p>
        </w:tc>
        <w:tc>
          <w:tcPr>
            <w:tcW w:w="1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w:t>
            </w: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7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w:t>
            </w:r>
          </w:p>
        </w:tc>
        <w:tc>
          <w:tcPr>
            <w:tcW w:w="1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w:t>
            </w: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7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1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w:t>
            </w:r>
          </w:p>
        </w:tc>
        <w:tc>
          <w:tcPr>
            <w:tcW w:w="1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w:t>
            </w: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7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2,351.47</w:t>
            </w:r>
          </w:p>
        </w:tc>
        <w:tc>
          <w:tcPr>
            <w:tcW w:w="1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1,882.29</w:t>
            </w: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469.17</w:t>
            </w:r>
          </w:p>
        </w:tc>
        <w:tc>
          <w:tcPr>
            <w:tcW w:w="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7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w:t>
            </w:r>
          </w:p>
        </w:tc>
        <w:tc>
          <w:tcPr>
            <w:tcW w:w="3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基层医疗卫生机构</w:t>
            </w:r>
          </w:p>
        </w:tc>
        <w:tc>
          <w:tcPr>
            <w:tcW w:w="11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2,008.79</w:t>
            </w:r>
          </w:p>
        </w:tc>
        <w:tc>
          <w:tcPr>
            <w:tcW w:w="1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1,882.29</w:t>
            </w: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126.50</w:t>
            </w:r>
          </w:p>
        </w:tc>
        <w:tc>
          <w:tcPr>
            <w:tcW w:w="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7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3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乡镇卫生院</w:t>
            </w:r>
          </w:p>
        </w:tc>
        <w:tc>
          <w:tcPr>
            <w:tcW w:w="11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1,861.12</w:t>
            </w:r>
          </w:p>
        </w:tc>
        <w:tc>
          <w:tcPr>
            <w:tcW w:w="1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1,831.05</w:t>
            </w: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30.07</w:t>
            </w:r>
          </w:p>
        </w:tc>
        <w:tc>
          <w:tcPr>
            <w:tcW w:w="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7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3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其他基层医疗卫生机构支出</w:t>
            </w:r>
          </w:p>
        </w:tc>
        <w:tc>
          <w:tcPr>
            <w:tcW w:w="11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147.67</w:t>
            </w:r>
          </w:p>
        </w:tc>
        <w:tc>
          <w:tcPr>
            <w:tcW w:w="1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51.24</w:t>
            </w: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96.43</w:t>
            </w:r>
          </w:p>
        </w:tc>
        <w:tc>
          <w:tcPr>
            <w:tcW w:w="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7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3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1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w:t>
            </w:r>
          </w:p>
        </w:tc>
        <w:tc>
          <w:tcPr>
            <w:tcW w:w="1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w:t>
            </w:r>
          </w:p>
        </w:tc>
        <w:tc>
          <w:tcPr>
            <w:tcW w:w="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7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3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11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242.15</w:t>
            </w:r>
          </w:p>
        </w:tc>
        <w:tc>
          <w:tcPr>
            <w:tcW w:w="1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242.15</w:t>
            </w:r>
          </w:p>
        </w:tc>
        <w:tc>
          <w:tcPr>
            <w:tcW w:w="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7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3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11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c>
          <w:tcPr>
            <w:tcW w:w="1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c>
          <w:tcPr>
            <w:tcW w:w="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7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w:t>
            </w:r>
          </w:p>
        </w:tc>
        <w:tc>
          <w:tcPr>
            <w:tcW w:w="3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w:t>
            </w:r>
          </w:p>
        </w:tc>
        <w:tc>
          <w:tcPr>
            <w:tcW w:w="11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7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2100601</w:t>
            </w:r>
          </w:p>
        </w:tc>
        <w:tc>
          <w:tcPr>
            <w:tcW w:w="3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11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7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3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11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7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3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11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7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1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w:t>
            </w:r>
          </w:p>
        </w:tc>
        <w:tc>
          <w:tcPr>
            <w:tcW w:w="1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w:t>
            </w: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7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1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w:t>
            </w:r>
          </w:p>
        </w:tc>
        <w:tc>
          <w:tcPr>
            <w:tcW w:w="1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w:t>
            </w: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7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w:t>
            </w:r>
          </w:p>
        </w:tc>
        <w:tc>
          <w:tcPr>
            <w:tcW w:w="1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w:t>
            </w: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7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57.83</w:t>
            </w:r>
          </w:p>
        </w:tc>
        <w:tc>
          <w:tcPr>
            <w:tcW w:w="1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57.83</w:t>
            </w: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7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3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57.83</w:t>
            </w:r>
          </w:p>
        </w:tc>
        <w:tc>
          <w:tcPr>
            <w:tcW w:w="1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57.83</w:t>
            </w: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7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57.83</w:t>
            </w:r>
          </w:p>
        </w:tc>
        <w:tc>
          <w:tcPr>
            <w:tcW w:w="1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57.83</w:t>
            </w: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71"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ascii="仿宋" w:hAnsi="仿宋" w:eastAsia="仿宋" w:cs="仿宋"/>
          <w:sz w:val="24"/>
          <w:highlight w:val="none"/>
        </w:rPr>
      </w:pP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45"/>
        <w:gridCol w:w="932"/>
        <w:gridCol w:w="1298"/>
        <w:gridCol w:w="3223"/>
        <w:gridCol w:w="750"/>
        <w:gridCol w:w="1074"/>
        <w:gridCol w:w="1155"/>
        <w:gridCol w:w="1156"/>
        <w:gridCol w:w="1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4081"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34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93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9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2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7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5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4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334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部门：广西河池市环江毛南族自治县川山镇中心卫生院</w:t>
            </w:r>
          </w:p>
        </w:tc>
        <w:tc>
          <w:tcPr>
            <w:tcW w:w="93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9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2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7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5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4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75"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506" w:type="dxa"/>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3345"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3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9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22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74"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5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4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345"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32"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8"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23"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7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8"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7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1,079.94</w:t>
            </w: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915.16</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915.16</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57.83</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57.83</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1,079.94</w:t>
            </w: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1,079.94</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1,079.94</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1,079.94</w:t>
            </w:r>
          </w:p>
        </w:tc>
        <w:tc>
          <w:tcPr>
            <w:tcW w:w="322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1,079.94</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1,079.94</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bl>
    <w:p>
      <w:pPr>
        <w:rPr>
          <w:rFonts w:ascii="仿宋" w:hAnsi="仿宋" w:eastAsia="仿宋" w:cs="仿宋"/>
          <w:sz w:val="24"/>
          <w:highlight w:val="none"/>
        </w:rPr>
      </w:pP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7"/>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6"/>
        <w:gridCol w:w="222"/>
        <w:gridCol w:w="222"/>
        <w:gridCol w:w="3956"/>
        <w:gridCol w:w="1103"/>
        <w:gridCol w:w="882"/>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部门：广西河池市环江毛南族自治县川山镇中心卫生院</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1,079.94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610.77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其他基层医疗卫生机构支出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p>
    <w:p>
      <w:pPr>
        <w:pStyle w:val="2"/>
        <w:rPr>
          <w:rFonts w:ascii="仿宋" w:hAnsi="仿宋" w:eastAsia="仿宋" w:cs="仿宋"/>
          <w:sz w:val="24"/>
          <w:highlight w:val="none"/>
        </w:rPr>
      </w:pPr>
    </w:p>
    <w:p>
      <w:pPr>
        <w:pStyle w:val="2"/>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96"/>
        <w:gridCol w:w="2737"/>
        <w:gridCol w:w="973"/>
        <w:gridCol w:w="871"/>
        <w:gridCol w:w="1176"/>
        <w:gridCol w:w="872"/>
        <w:gridCol w:w="871"/>
        <w:gridCol w:w="2149"/>
        <w:gridCol w:w="1496"/>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841"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69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7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7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14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9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69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部门：广西河池市环江毛南族自治县川山镇中心卫生院</w:t>
            </w:r>
          </w:p>
        </w:tc>
        <w:tc>
          <w:tcPr>
            <w:tcW w:w="2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7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7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14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9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406"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7435" w:type="dxa"/>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3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7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7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7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14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9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3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3"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2"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49"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9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604.83</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186.14</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44.52</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97.69</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24.13</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51.24</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9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737"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1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1"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149"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33"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610.77</w:t>
            </w:r>
          </w:p>
        </w:tc>
        <w:tc>
          <w:tcPr>
            <w:tcW w:w="5939" w:type="dxa"/>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41" w:type="dxa"/>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bl>
    <w:p>
      <w:pPr>
        <w:jc w:val="left"/>
        <w:rPr>
          <w:rFonts w:ascii="仿宋" w:hAnsi="仿宋" w:eastAsia="仿宋" w:cs="仿宋"/>
          <w:sz w:val="24"/>
          <w:highlight w:val="none"/>
        </w:rPr>
      </w:pPr>
    </w:p>
    <w:p>
      <w:pPr>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rPr>
          <w:rFonts w:hint="eastAsia" w:ascii="仿宋" w:hAnsi="仿宋" w:eastAsia="仿宋" w:cs="仿宋"/>
          <w:sz w:val="24"/>
          <w:highlight w:val="none"/>
          <w:lang w:val="en-US" w:eastAsia="zh-CN"/>
        </w:rPr>
      </w:pPr>
    </w:p>
    <w:p>
      <w:pPr>
        <w:rPr>
          <w:rFonts w:hint="eastAsia" w:ascii="仿宋" w:hAnsi="仿宋" w:eastAsia="仿宋" w:cs="仿宋"/>
          <w:sz w:val="24"/>
          <w:highlight w:val="none"/>
        </w:rPr>
      </w:pP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7"/>
        <w:tblW w:w="130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16"/>
        <w:gridCol w:w="222"/>
        <w:gridCol w:w="222"/>
        <w:gridCol w:w="1096"/>
        <w:gridCol w:w="924"/>
        <w:gridCol w:w="689"/>
        <w:gridCol w:w="669"/>
        <w:gridCol w:w="892"/>
        <w:gridCol w:w="1297"/>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034"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8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9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00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部门：广西河池市环江毛南族自治县川山镇中心卫生院</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8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9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00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5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2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68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858"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00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96"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2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8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9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9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00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8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9"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2"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0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8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9"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2"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0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5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2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0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5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68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200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0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34"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lang w:val="en-US" w:eastAsia="zh-CN"/>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w:t>
      </w:r>
      <w:r>
        <w:rPr>
          <w:rFonts w:hint="eastAsia" w:ascii="宋体" w:hAnsi="宋体" w:eastAsia="宋体" w:cs="宋体"/>
          <w:i w:val="0"/>
          <w:iCs w:val="0"/>
          <w:color w:val="000000"/>
          <w:kern w:val="0"/>
          <w:sz w:val="22"/>
          <w:szCs w:val="22"/>
          <w:u w:val="none"/>
          <w:lang w:val="en-US" w:eastAsia="zh-CN" w:bidi="ar"/>
        </w:rPr>
        <w:t>政府性基金</w:t>
      </w:r>
      <w:r>
        <w:rPr>
          <w:rFonts w:hint="eastAsia" w:ascii="宋体" w:hAnsi="宋体" w:eastAsia="宋体" w:cs="宋体"/>
          <w:color w:val="auto"/>
          <w:kern w:val="2"/>
          <w:sz w:val="21"/>
          <w:szCs w:val="21"/>
          <w:lang w:val="en-US" w:eastAsia="zh-CN" w:bidi="ar"/>
        </w:rPr>
        <w:t>预算财政拨款收入，也没有</w:t>
      </w:r>
      <w:r>
        <w:rPr>
          <w:rFonts w:hint="eastAsia" w:ascii="宋体" w:hAnsi="宋体" w:eastAsia="宋体" w:cs="宋体"/>
          <w:i w:val="0"/>
          <w:iCs w:val="0"/>
          <w:color w:val="000000"/>
          <w:kern w:val="0"/>
          <w:sz w:val="22"/>
          <w:szCs w:val="22"/>
          <w:u w:val="none"/>
          <w:lang w:val="en-US" w:eastAsia="zh-CN" w:bidi="ar"/>
        </w:rPr>
        <w:t>政府性基金</w:t>
      </w:r>
      <w:r>
        <w:rPr>
          <w:rFonts w:hint="eastAsia" w:ascii="宋体" w:hAnsi="宋体" w:eastAsia="宋体" w:cs="宋体"/>
          <w:color w:val="auto"/>
          <w:kern w:val="2"/>
          <w:sz w:val="21"/>
          <w:szCs w:val="21"/>
          <w:lang w:val="en-US" w:eastAsia="zh-CN" w:bidi="ar"/>
        </w:rPr>
        <w:t>预算财政拨款安排的支出，故本表无数据.</w:t>
      </w: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rPr>
      </w:pPr>
    </w:p>
    <w:p>
      <w:pPr>
        <w:pStyle w:val="2"/>
        <w:rPr>
          <w:rFonts w:hint="eastAsia" w:ascii="仿宋" w:hAnsi="仿宋" w:eastAsia="仿宋" w:cs="仿宋"/>
          <w:sz w:val="24"/>
          <w:highlight w:val="none"/>
        </w:rPr>
      </w:pPr>
    </w:p>
    <w:p>
      <w:pPr>
        <w:pStyle w:val="2"/>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7"/>
        <w:tblW w:w="13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16"/>
        <w:gridCol w:w="222"/>
        <w:gridCol w:w="222"/>
        <w:gridCol w:w="1760"/>
        <w:gridCol w:w="665"/>
        <w:gridCol w:w="2859"/>
        <w:gridCol w:w="2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46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7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7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部门：广西河池市环江毛南族自治县川山镇中心卫生院</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7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7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20"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240"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760"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6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85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7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60"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59"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60"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59"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20"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6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20"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28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271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1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460" w:type="dxa"/>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lang w:val="en-US" w:eastAsia="zh-CN"/>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bl>
      <w:tblPr>
        <w:tblStyle w:val="7"/>
        <w:tblW w:w="13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16"/>
        <w:gridCol w:w="893"/>
        <w:gridCol w:w="448"/>
        <w:gridCol w:w="449"/>
        <w:gridCol w:w="449"/>
        <w:gridCol w:w="654"/>
        <w:gridCol w:w="666"/>
        <w:gridCol w:w="729"/>
        <w:gridCol w:w="973"/>
        <w:gridCol w:w="994"/>
        <w:gridCol w:w="932"/>
        <w:gridCol w:w="1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500" w:type="dxa"/>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8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4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4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3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9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部门：广西河池市环江毛南族自治县川山镇中心卫生院</w:t>
            </w:r>
          </w:p>
        </w:tc>
        <w:tc>
          <w:tcPr>
            <w:tcW w:w="8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4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4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3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9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09"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5591" w:type="dxa"/>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9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346"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65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66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899"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9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016"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3"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4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4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654"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9"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9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93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9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6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7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9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9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8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4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44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44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65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72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3500" w:type="dxa"/>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pStyle w:val="2"/>
        <w:rPr>
          <w:rFonts w:hint="default"/>
          <w:color w:val="auto"/>
          <w:sz w:val="21"/>
          <w:szCs w:val="21"/>
          <w:lang w:val="en-US"/>
        </w:rPr>
        <w:sectPr>
          <w:pgSz w:w="16838" w:h="11906" w:orient="landscape"/>
          <w:pgMar w:top="1123" w:right="1440" w:bottom="1123" w:left="1440"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w:t>
      </w:r>
      <w:r>
        <w:rPr>
          <w:rFonts w:hint="eastAsia" w:ascii="宋体" w:hAnsi="宋体" w:eastAsia="宋体" w:cs="宋体"/>
          <w:i w:val="0"/>
          <w:iCs w:val="0"/>
          <w:color w:val="auto"/>
          <w:kern w:val="0"/>
          <w:sz w:val="21"/>
          <w:szCs w:val="21"/>
          <w:u w:val="none"/>
          <w:lang w:val="en-US" w:eastAsia="zh-CN" w:bidi="ar"/>
        </w:rPr>
        <w:t>财政拨款“三公”经费</w:t>
      </w:r>
      <w:r>
        <w:rPr>
          <w:rFonts w:hint="eastAsia" w:ascii="宋体" w:hAnsi="宋体" w:eastAsia="宋体" w:cs="宋体"/>
          <w:color w:val="auto"/>
          <w:kern w:val="2"/>
          <w:sz w:val="21"/>
          <w:szCs w:val="21"/>
          <w:lang w:val="en-US" w:eastAsia="zh-CN" w:bidi="ar"/>
        </w:rPr>
        <w:t>收入，也没有</w:t>
      </w:r>
      <w:r>
        <w:rPr>
          <w:rFonts w:hint="eastAsia" w:ascii="宋体" w:hAnsi="宋体" w:eastAsia="宋体" w:cs="宋体"/>
          <w:i w:val="0"/>
          <w:iCs w:val="0"/>
          <w:color w:val="auto"/>
          <w:kern w:val="0"/>
          <w:sz w:val="21"/>
          <w:szCs w:val="21"/>
          <w:u w:val="none"/>
          <w:lang w:val="en-US" w:eastAsia="zh-CN" w:bidi="ar"/>
        </w:rPr>
        <w:t>财政拨款“三公”经费</w:t>
      </w:r>
      <w:r>
        <w:rPr>
          <w:rFonts w:hint="eastAsia" w:ascii="宋体" w:hAnsi="宋体" w:eastAsia="宋体" w:cs="宋体"/>
          <w:color w:val="auto"/>
          <w:kern w:val="2"/>
          <w:sz w:val="21"/>
          <w:szCs w:val="21"/>
          <w:lang w:val="en-US" w:eastAsia="zh-CN" w:bidi="ar"/>
        </w:rPr>
        <w:t>预算财政拨款安排的支出，故本表无数据</w:t>
      </w:r>
      <w:r>
        <w:rPr>
          <w:rFonts w:hint="eastAsia" w:hAnsi="宋体" w:eastAsia="宋体" w:cs="宋体"/>
          <w:color w:val="auto"/>
          <w:kern w:val="2"/>
          <w:sz w:val="21"/>
          <w:szCs w:val="21"/>
          <w:lang w:val="en-US" w:eastAsia="zh-CN" w:bidi="ar"/>
        </w:rPr>
        <w:t>.</w:t>
      </w: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川山镇中心卫生院</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2523.36</w:t>
      </w:r>
      <w:r>
        <w:rPr>
          <w:rFonts w:hint="eastAsia" w:ascii="仿宋" w:hAnsi="仿宋" w:eastAsia="仿宋" w:cs="仿宋"/>
          <w:sz w:val="32"/>
          <w:szCs w:val="32"/>
          <w:highlight w:val="none"/>
        </w:rPr>
        <w:t>万元，较2021年度决算数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103.31</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4.27</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2523.36</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1079.94</w:t>
      </w:r>
      <w:r>
        <w:rPr>
          <w:rFonts w:hint="eastAsia" w:ascii="仿宋" w:hAnsi="仿宋" w:eastAsia="仿宋" w:cs="仿宋"/>
          <w:kern w:val="2"/>
          <w:sz w:val="32"/>
          <w:szCs w:val="32"/>
          <w:highlight w:val="none"/>
          <w:lang w:val="en-US" w:eastAsia="zh-CN" w:bidi="ar"/>
        </w:rPr>
        <w:t>万元，为县本级财政当年拨付的资金。较2021年度决算数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61.76</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6.07</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主要原因：较上年</w:t>
      </w:r>
      <w:r>
        <w:rPr>
          <w:rFonts w:hint="eastAsia" w:ascii="仿宋" w:hAnsi="仿宋" w:eastAsia="仿宋" w:cs="仿宋"/>
          <w:color w:val="auto"/>
          <w:kern w:val="2"/>
          <w:sz w:val="32"/>
          <w:szCs w:val="32"/>
          <w:highlight w:val="none"/>
          <w:lang w:val="en-US" w:eastAsia="zh-CN" w:bidi="ar"/>
        </w:rPr>
        <w:t>新增了2109999其他卫生健康经费60.00万元。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万元，为县本级财政当年拨付的资金。较2021年度决算数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本单位年度内没有</w:t>
      </w:r>
      <w:r>
        <w:rPr>
          <w:rFonts w:hint="eastAsia" w:ascii="仿宋" w:hAnsi="仿宋" w:eastAsia="仿宋" w:cs="仿宋"/>
          <w:kern w:val="2"/>
          <w:sz w:val="32"/>
          <w:szCs w:val="32"/>
          <w:highlight w:val="none"/>
          <w:lang w:val="en-US" w:eastAsia="zh-CN" w:bidi="ar"/>
        </w:rPr>
        <w:t>政府性基金预算财政拨款收入</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万元。为县本级财政当年拨付的资金。较2021年度决算数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本单位年度内没有</w:t>
      </w:r>
      <w:r>
        <w:rPr>
          <w:rFonts w:hint="eastAsia" w:ascii="仿宋" w:hAnsi="仿宋" w:eastAsia="仿宋" w:cs="仿宋"/>
          <w:kern w:val="2"/>
          <w:sz w:val="32"/>
          <w:szCs w:val="32"/>
          <w:highlight w:val="none"/>
          <w:lang w:val="en-US" w:eastAsia="zh-CN" w:bidi="ar"/>
        </w:rPr>
        <w:t>国有资本经营预算财政拨款收入</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本单位年度内没有上级补助收入。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hint="eastAsia" w:ascii="仿宋" w:hAnsi="仿宋" w:eastAsia="仿宋" w:cs="仿宋"/>
          <w:sz w:val="32"/>
          <w:u w:color="auto"/>
          <w:lang w:val="en-US" w:eastAsia="zh-CN"/>
        </w:rPr>
        <w:t>1439.76</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46.07</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3.31</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单位业务量增长。</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本单位年度内没有经营性收入。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3.67</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0.4</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12.23</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主要原因是：年度内单位银行存款账户平均存款额比上年较多。</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本单位年度内没有非财政拨款结余。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784725" cy="3067685"/>
            <wp:effectExtent l="4445" t="5080" r="11430" b="1333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2516.24</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2516.24</w:t>
      </w:r>
      <w:r>
        <w:rPr>
          <w:rFonts w:hint="eastAsia" w:ascii="仿宋" w:hAnsi="仿宋" w:eastAsia="仿宋" w:cs="仿宋"/>
          <w:sz w:val="32"/>
          <w:szCs w:val="32"/>
          <w:highlight w:val="none"/>
        </w:rPr>
        <w:t>万元，较2021年度决算数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511.53</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25.52</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lang w:val="en-US" w:eastAsia="zh-CN"/>
        </w:rPr>
        <w:t>1</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61.06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职工的养老保险经费缴纳</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szCs w:val="32"/>
          <w:highlight w:val="none"/>
          <w:lang w:val="en-US" w:eastAsia="zh-CN" w:bidi="ar"/>
        </w:rPr>
        <w:t>0.11</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szCs w:val="32"/>
          <w:highlight w:val="none"/>
          <w:lang w:val="en-US" w:eastAsia="zh-CN" w:bidi="ar"/>
        </w:rPr>
        <w:t>0.18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属正常变动。</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2</w:t>
      </w:r>
      <w:r>
        <w:rPr>
          <w:rFonts w:ascii="仿宋" w:hAnsi="仿宋" w:eastAsia="仿宋" w:cs="仿宋"/>
          <w:sz w:val="32"/>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2351.47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开展日常医疗卫生服务和公共卫生服务相关业务的人员经费及商品和服务支出</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szCs w:val="32"/>
          <w:highlight w:val="none"/>
          <w:lang w:val="en-US" w:eastAsia="zh-CN" w:bidi="ar"/>
        </w:rPr>
        <w:t>551.85</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szCs w:val="32"/>
          <w:highlight w:val="none"/>
          <w:lang w:val="en-US" w:eastAsia="zh-CN" w:bidi="ar"/>
        </w:rPr>
        <w:t>30.66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主要原因是：依据新政策规定本年度开始将单位事业收入增量绩效纳入成本管理。</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45.89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职工住房公积金征缴支出</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szCs w:val="32"/>
          <w:highlight w:val="none"/>
          <w:lang w:val="en-US" w:eastAsia="zh-CN" w:bidi="ar"/>
        </w:rPr>
        <w:t>0.20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szCs w:val="32"/>
          <w:highlight w:val="none"/>
          <w:lang w:val="en-US" w:eastAsia="zh-CN" w:bidi="ar"/>
        </w:rPr>
        <w:t>0.44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属于正常变动。</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其他</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w:t>
      </w:r>
      <w:r>
        <w:rPr>
          <w:rFonts w:hint="eastAsia" w:ascii="仿宋" w:hAnsi="仿宋" w:eastAsia="仿宋" w:cs="仿宋"/>
          <w:sz w:val="32"/>
          <w:szCs w:val="32"/>
          <w:highlight w:val="none"/>
          <w:lang w:val="en-US" w:eastAsia="zh-CN" w:bidi="ar"/>
        </w:rPr>
        <w:t>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57.83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职工的绩效考评奖金支出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52.56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53.39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绩效考评奖金发放方式与上年度存在差异。</w:t>
      </w:r>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lang w:val="en-US" w:eastAsia="zh-CN"/>
        </w:rPr>
        <w:t>7.12</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lang w:val="en-US" w:eastAsia="zh-CN"/>
        </w:rPr>
        <w:t>415.34</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 w:hAnsi="仿宋" w:eastAsia="仿宋" w:cs="仿宋"/>
          <w:sz w:val="32"/>
          <w:szCs w:val="32"/>
          <w:highlight w:val="none"/>
          <w:lang w:bidi="ar"/>
        </w:rPr>
        <w:t>减少</w:t>
      </w:r>
      <w:r>
        <w:rPr>
          <w:rFonts w:hint="eastAsia" w:ascii="仿宋_GB2312" w:hAnsi="微软雅黑" w:eastAsia="仿宋_GB2312" w:cs="仿宋_GB2312"/>
          <w:color w:val="000000"/>
          <w:sz w:val="31"/>
          <w:szCs w:val="31"/>
          <w:highlight w:val="none"/>
          <w:shd w:val="clear" w:color="auto" w:fill="FFFFFF"/>
          <w:lang w:val="en-US" w:eastAsia="zh-CN"/>
        </w:rPr>
        <w:t>408.22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lang w:bidi="ar"/>
        </w:rPr>
        <w:t>下降</w:t>
      </w:r>
      <w:r>
        <w:rPr>
          <w:rFonts w:hint="eastAsia" w:ascii="仿宋_GB2312" w:hAnsi="微软雅黑" w:eastAsia="仿宋_GB2312" w:cs="仿宋_GB2312"/>
          <w:color w:val="000000"/>
          <w:sz w:val="31"/>
          <w:szCs w:val="31"/>
          <w:highlight w:val="none"/>
          <w:shd w:val="clear" w:color="auto" w:fill="FFFFFF"/>
          <w:lang w:val="en-US" w:eastAsia="zh-CN"/>
        </w:rPr>
        <w:t>98.28</w:t>
      </w:r>
      <w:r>
        <w:rPr>
          <w:rFonts w:hint="eastAsia" w:ascii="仿宋_GB2312" w:hAnsi="微软雅黑" w:eastAsia="仿宋_GB2312" w:cs="仿宋_GB2312"/>
          <w:color w:val="000000"/>
          <w:sz w:val="31"/>
          <w:szCs w:val="31"/>
          <w:highlight w:val="none"/>
          <w:shd w:val="clear" w:color="auto" w:fill="FFFFFF"/>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：本年度开始将医疗卫生单位自主分配的事业增量绩效纳入成本管理。</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主要原因是：上年</w:t>
      </w:r>
      <w:r>
        <w:rPr>
          <w:rFonts w:hint="eastAsia" w:ascii="仿宋" w:hAnsi="仿宋" w:eastAsia="仿宋" w:cs="仿宋"/>
          <w:sz w:val="32"/>
          <w:szCs w:val="32"/>
          <w:highlight w:val="none"/>
        </w:rPr>
        <w:t>年末</w:t>
      </w:r>
      <w:r>
        <w:rPr>
          <w:rFonts w:hint="eastAsia" w:ascii="仿宋" w:hAnsi="仿宋" w:eastAsia="仿宋" w:cs="仿宋"/>
          <w:sz w:val="32"/>
          <w:szCs w:val="32"/>
          <w:highlight w:val="none"/>
          <w:lang w:eastAsia="zh-CN"/>
        </w:rPr>
        <w:t>单位</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无</w:t>
      </w:r>
      <w:r>
        <w:rPr>
          <w:rFonts w:hint="eastAsia" w:ascii="仿宋" w:hAnsi="仿宋" w:eastAsia="仿宋" w:cs="仿宋"/>
          <w:sz w:val="32"/>
          <w:szCs w:val="32"/>
          <w:highlight w:val="none"/>
        </w:rPr>
        <w:t>结转和结余</w:t>
      </w:r>
      <w:r>
        <w:rPr>
          <w:rFonts w:hint="eastAsia" w:ascii="仿宋" w:hAnsi="仿宋" w:eastAsia="仿宋" w:cs="仿宋"/>
          <w:sz w:val="32"/>
          <w:szCs w:val="32"/>
          <w:highlight w:val="none"/>
          <w:lang w:val="en-US" w:eastAsia="zh-CN"/>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222750" cy="2527300"/>
            <wp:effectExtent l="4445" t="5080" r="20955" b="2032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川山镇中心卫生院</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1079.94</w:t>
      </w:r>
      <w:r>
        <w:rPr>
          <w:rFonts w:hint="eastAsia" w:ascii="仿宋" w:hAnsi="仿宋" w:eastAsia="仿宋" w:cs="仿宋"/>
          <w:sz w:val="32"/>
          <w:szCs w:val="32"/>
          <w:highlight w:val="none"/>
        </w:rPr>
        <w:t>万元，较2021年度决算数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61.76</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6.07</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610.77</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469.17</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川山镇中心卫生院</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596.75</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1079.94</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180.79</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1"/>
        </w:numPr>
        <w:suppressLineNumbers w:val="0"/>
        <w:spacing w:before="0" w:beforeAutospacing="0" w:after="0" w:afterAutospacing="0"/>
        <w:ind w:left="21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66.79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61.06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91.42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2022年度养老保险没有做年度基数调整。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66.79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61.06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91.42%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职工养老保险征缴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年度没有做基数调整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66.79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61.06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282825"/>
            <wp:effectExtent l="4445" t="4445" r="16510" b="1778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470.10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915.16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w:t>
      </w:r>
      <w:r>
        <w:rPr>
          <w:rFonts w:ascii="仿宋" w:hAnsi="仿宋" w:eastAsia="仿宋"/>
          <w:sz w:val="32"/>
          <w:szCs w:val="32"/>
          <w:highlight w:val="none"/>
        </w:rPr>
        <w:t>9</w:t>
      </w:r>
      <w:r>
        <w:rPr>
          <w:rFonts w:hint="eastAsia" w:ascii="仿宋" w:hAnsi="仿宋" w:eastAsia="仿宋"/>
          <w:sz w:val="32"/>
          <w:szCs w:val="32"/>
          <w:highlight w:val="none"/>
          <w:lang w:val="en-US" w:eastAsia="zh-CN"/>
        </w:rPr>
        <w:t>4</w:t>
      </w:r>
      <w:r>
        <w:rPr>
          <w:rFonts w:ascii="仿宋" w:hAnsi="仿宋" w:eastAsia="仿宋"/>
          <w:sz w:val="32"/>
          <w:szCs w:val="32"/>
          <w:highlight w:val="none"/>
        </w:rPr>
        <w:t>.</w:t>
      </w:r>
      <w:r>
        <w:rPr>
          <w:rFonts w:hint="eastAsia" w:ascii="仿宋" w:hAnsi="仿宋" w:eastAsia="仿宋"/>
          <w:sz w:val="32"/>
          <w:szCs w:val="32"/>
          <w:highlight w:val="none"/>
          <w:lang w:val="en-US" w:eastAsia="zh-CN"/>
        </w:rPr>
        <w:t>67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项目支出预算由归口管理部门统一做部门预算，通过资金分解到各预算单位，形成单位支出决算数。</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406"/>
        <w:gridCol w:w="912"/>
        <w:gridCol w:w="871"/>
        <w:gridCol w:w="1075"/>
        <w:gridCol w:w="1492"/>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4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7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49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2100302</w:t>
            </w:r>
          </w:p>
        </w:tc>
        <w:tc>
          <w:tcPr>
            <w:tcW w:w="14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乡镇卫生院</w:t>
            </w: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418.86</w:t>
            </w:r>
          </w:p>
        </w:tc>
        <w:tc>
          <w:tcPr>
            <w:tcW w:w="87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424.82</w:t>
            </w:r>
          </w:p>
        </w:tc>
        <w:tc>
          <w:tcPr>
            <w:tcW w:w="10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99.75%</w:t>
            </w:r>
          </w:p>
        </w:tc>
        <w:tc>
          <w:tcPr>
            <w:tcW w:w="149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正常变动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2100399</w:t>
            </w:r>
          </w:p>
        </w:tc>
        <w:tc>
          <w:tcPr>
            <w:tcW w:w="14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其他基层医疗卫生机构支出</w:t>
            </w: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51.24</w:t>
            </w:r>
          </w:p>
        </w:tc>
        <w:tc>
          <w:tcPr>
            <w:tcW w:w="87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147.67</w:t>
            </w:r>
          </w:p>
        </w:tc>
        <w:tc>
          <w:tcPr>
            <w:tcW w:w="10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288.19%</w:t>
            </w:r>
          </w:p>
        </w:tc>
        <w:tc>
          <w:tcPr>
            <w:tcW w:w="149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日常商品及服务支出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部份资金收入由管理部门统一做资金预算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2100408</w:t>
            </w:r>
          </w:p>
        </w:tc>
        <w:tc>
          <w:tcPr>
            <w:tcW w:w="14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基本公共卫生服务</w:t>
            </w: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7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242.15</w:t>
            </w:r>
          </w:p>
        </w:tc>
        <w:tc>
          <w:tcPr>
            <w:tcW w:w="10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49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开展基本公共卫生服务支出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由管理部门统一做资金预算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2100409</w:t>
            </w:r>
          </w:p>
        </w:tc>
        <w:tc>
          <w:tcPr>
            <w:tcW w:w="14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重大公共卫生服务</w:t>
            </w: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7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20.52</w:t>
            </w:r>
          </w:p>
        </w:tc>
        <w:tc>
          <w:tcPr>
            <w:tcW w:w="10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49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开展重大公共卫生服务支出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由管理部门统一做资金预算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2100601</w:t>
            </w:r>
          </w:p>
        </w:tc>
        <w:tc>
          <w:tcPr>
            <w:tcW w:w="14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中医（民族医）药专项</w:t>
            </w: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7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20.00</w:t>
            </w:r>
          </w:p>
        </w:tc>
        <w:tc>
          <w:tcPr>
            <w:tcW w:w="10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49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用开中医馆装修及设备配备</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由管理部门统一做资金预算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2100999</w:t>
            </w:r>
          </w:p>
        </w:tc>
        <w:tc>
          <w:tcPr>
            <w:tcW w:w="14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其他卫生健康支出</w:t>
            </w: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7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60.00</w:t>
            </w:r>
          </w:p>
        </w:tc>
        <w:tc>
          <w:tcPr>
            <w:tcW w:w="10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49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日常商品及服务及设备采购</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由管理部门统一做资金预算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4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470.10</w:t>
            </w:r>
          </w:p>
        </w:tc>
        <w:tc>
          <w:tcPr>
            <w:tcW w:w="87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915.16</w:t>
            </w:r>
          </w:p>
        </w:tc>
        <w:tc>
          <w:tcPr>
            <w:tcW w:w="10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49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710815"/>
            <wp:effectExtent l="4445" t="4445" r="16510" b="889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50.36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45.89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91.12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2022年未做年度公积金年度基数调整。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50.36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45.89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91.12%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单位职工住房公积金征缴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18"/>
                <w:szCs w:val="18"/>
                <w:highlight w:val="none"/>
                <w:lang w:val="en-US" w:eastAsia="zh-CN" w:bidi="ar"/>
              </w:rPr>
              <w:t>本年度公积金未做年度基数调整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98.52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川山镇中心卫生院</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610.77</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610.77</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604.83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103.0</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主要原因是：属正常变动（年度工资晋升）。</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186.14万元，30102津贴补贴44.52万元，30103奖金81.00万元，30106伙食补助费8.48万元，30107绩效工资97.69万元，30108机关事业单位基本养老保险缴费61.06万元，30110职工基本医疗保险缴费24.13万元，30111公务员医疗补助缴费0.00万元，30112其他社会保障缴费4.68万元，30113住房公积金45.89万元，30199其他工资福利支出51.24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0.00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工会经费没有通过单位账户核算,一般的</w:t>
      </w:r>
      <w:r>
        <w:rPr>
          <w:rFonts w:hint="eastAsia" w:ascii="仿宋" w:hAnsi="仿宋" w:eastAsia="仿宋" w:cs="仿宋"/>
          <w:sz w:val="32"/>
          <w:szCs w:val="32"/>
          <w:highlight w:val="none"/>
        </w:rPr>
        <w:t>商品和服务</w:t>
      </w:r>
      <w:r>
        <w:rPr>
          <w:rFonts w:hint="eastAsia" w:ascii="仿宋" w:hAnsi="仿宋" w:eastAsia="仿宋" w:cs="仿宋"/>
          <w:sz w:val="32"/>
          <w:szCs w:val="32"/>
          <w:highlight w:val="none"/>
          <w:lang w:eastAsia="zh-CN"/>
        </w:rPr>
        <w:t>支出没有做预算安排</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30201办公费0.00万元，30207邮电费0.00万元，30211差旅费0.00万元，30215会议费0.00万元，30216培训费0.00万元，30226劳务费0.00万元，30228工会经费0.00万元，30299其他商品和服务支出0.00万元。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5.94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92.09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资金核算归口管理差异。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30301离休费0.00万元，30302退休费0.00万元，30305生活补助5.49万元，其他对个人和家庭的补助0.29万元。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numId w:val="0"/>
        </w:numPr>
        <w:suppressLineNumbers w:val="0"/>
        <w:spacing w:before="0" w:beforeAutospacing="0" w:after="0" w:afterAutospacing="0"/>
        <w:ind w:right="0" w:rightChars="0" w:firstLine="320" w:firstLineChars="10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本单位无债务资金。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44800"/>
            <wp:effectExtent l="4445" t="4445" r="16510" b="825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numId w:val="0"/>
        </w:numPr>
        <w:suppressLineNumbers w:val="0"/>
        <w:spacing w:before="0" w:beforeAutospacing="0" w:after="0" w:afterAutospacing="0"/>
        <w:ind w:right="0" w:right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资本性支出</w:t>
      </w:r>
      <w:r>
        <w:rPr>
          <w:rFonts w:hint="eastAsia" w:ascii="仿宋" w:hAnsi="仿宋" w:eastAsia="仿宋" w:cs="仿宋"/>
          <w:sz w:val="32"/>
          <w:u w:color="auto"/>
          <w:lang w:val="en-US" w:eastAsia="zh-CN"/>
        </w:rPr>
        <w:t>0.00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本单位无一般公共预算财政拨款资本性支出预算。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numId w:val="0"/>
        </w:numPr>
        <w:suppressLineNumbers w:val="0"/>
        <w:spacing w:before="0" w:beforeAutospacing="0" w:after="0" w:afterAutospacing="0"/>
        <w:ind w:right="0" w:rightChars="0" w:firstLine="640" w:firstLineChars="20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其他支出</w:t>
      </w:r>
      <w:r>
        <w:rPr>
          <w:rFonts w:hint="eastAsia" w:ascii="仿宋" w:hAnsi="仿宋" w:eastAsia="仿宋" w:cs="仿宋"/>
          <w:sz w:val="32"/>
          <w:u w:color="auto"/>
          <w:lang w:val="en-US" w:eastAsia="zh-CN"/>
        </w:rPr>
        <w:t>57.83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主要原因是：由绩效考评奖管理部门统一预算安排。</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68600"/>
            <wp:effectExtent l="4445" t="4445" r="16510" b="825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川山镇中心卫生院</w:t>
      </w:r>
      <w:r>
        <w:rPr>
          <w:rFonts w:hint="eastAsia" w:ascii="仿宋" w:hAnsi="仿宋" w:eastAsia="仿宋" w:cs="仿宋"/>
          <w:sz w:val="32"/>
          <w:szCs w:val="32"/>
          <w:highlight w:val="none"/>
        </w:rPr>
        <w:t>2022年度政府性基金支出0.00</w:t>
      </w:r>
      <w:r>
        <w:rPr>
          <w:rFonts w:hint="eastAsia" w:ascii="仿宋" w:hAnsi="仿宋" w:eastAsia="仿宋" w:cs="仿宋"/>
          <w:sz w:val="32"/>
          <w:szCs w:val="32"/>
          <w:highlight w:val="none"/>
        </w:rPr>
        <w:t>万元，较2021年度决算数增加0.00</w:t>
      </w:r>
      <w:r>
        <w:rPr>
          <w:rFonts w:hint="eastAsia" w:ascii="仿宋" w:hAnsi="仿宋" w:eastAsia="仿宋" w:cs="仿宋"/>
          <w:sz w:val="32"/>
          <w:szCs w:val="32"/>
          <w:highlight w:val="none"/>
        </w:rPr>
        <w:t>万元，增长0%</w:t>
      </w:r>
      <w:r>
        <w:rPr>
          <w:rFonts w:hint="eastAsia" w:ascii="仿宋" w:hAnsi="仿宋" w:eastAsia="仿宋" w:cs="仿宋"/>
          <w:sz w:val="32"/>
          <w:szCs w:val="32"/>
          <w:highlight w:val="none"/>
        </w:rPr>
        <w:t>其中：基本支出0.00</w:t>
      </w:r>
      <w:r>
        <w:rPr>
          <w:rFonts w:hint="eastAsia" w:ascii="仿宋" w:hAnsi="仿宋" w:eastAsia="仿宋" w:cs="仿宋"/>
          <w:sz w:val="32"/>
          <w:szCs w:val="32"/>
          <w:highlight w:val="none"/>
        </w:rPr>
        <w:t>万元，项目支出0.00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川山镇中心卫生院</w:t>
      </w:r>
      <w:r>
        <w:rPr>
          <w:rFonts w:hint="eastAsia" w:ascii="仿宋" w:hAnsi="仿宋" w:eastAsia="仿宋" w:cs="仿宋"/>
          <w:sz w:val="32"/>
          <w:szCs w:val="32"/>
          <w:highlight w:val="none"/>
        </w:rPr>
        <w:t>2022年度政府性基金支出年初预算为0.00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auto"/>
          <w:sz w:val="32"/>
          <w:szCs w:val="32"/>
          <w:u w:color="auto"/>
          <w:lang w:val="en-US" w:eastAsia="zh-CN"/>
        </w:rPr>
        <w:t>川山镇中心卫生院</w:t>
      </w:r>
      <w:r>
        <w:rPr>
          <w:rFonts w:hint="eastAsia" w:ascii="仿宋" w:hAnsi="仿宋" w:eastAsia="仿宋" w:cs="仿宋"/>
          <w:color w:val="auto"/>
          <w:sz w:val="32"/>
          <w:szCs w:val="32"/>
          <w:u w:color="auto"/>
        </w:rPr>
        <w:t>没有政府性基金收入，也没有政府性基金收入安排的支出</w:t>
      </w:r>
      <w:r>
        <w:rPr>
          <w:rFonts w:hint="eastAsia" w:ascii="仿宋" w:hAnsi="仿宋" w:eastAsia="仿宋" w:cs="仿宋"/>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560" w:firstLineChars="200"/>
        <w:jc w:val="left"/>
        <w:rPr>
          <w:rFonts w:ascii="仿宋" w:hAnsi="仿宋" w:eastAsia="仿宋" w:cs="仿宋"/>
          <w:sz w:val="32"/>
          <w:szCs w:val="32"/>
          <w:highlight w:val="none"/>
        </w:rPr>
      </w:pPr>
      <w:r>
        <w:rPr>
          <w:rFonts w:hint="eastAsia" w:ascii="宋体" w:hAnsi="宋体" w:eastAsia="宋体" w:cs="宋体"/>
          <w:b w:val="0"/>
          <w:bCs w:val="0"/>
          <w:sz w:val="28"/>
          <w:szCs w:val="28"/>
          <w:u w:color="auto"/>
          <w:lang w:val="en-US" w:eastAsia="zh-CN"/>
        </w:rPr>
        <w:t>川山镇中心卫生院</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560" w:firstLineChars="200"/>
        <w:jc w:val="left"/>
        <w:rPr>
          <w:rFonts w:hint="eastAsia" w:ascii="仿宋" w:hAnsi="仿宋" w:eastAsia="仿宋" w:cs="仿宋"/>
          <w:sz w:val="32"/>
          <w:szCs w:val="32"/>
          <w:highlight w:val="none"/>
        </w:rPr>
      </w:pPr>
      <w:r>
        <w:rPr>
          <w:rFonts w:hint="eastAsia" w:ascii="宋体" w:hAnsi="宋体" w:eastAsia="宋体" w:cs="宋体"/>
          <w:b w:val="0"/>
          <w:bCs w:val="0"/>
          <w:sz w:val="28"/>
          <w:szCs w:val="28"/>
          <w:u w:color="auto"/>
          <w:lang w:val="en-US" w:eastAsia="zh-CN"/>
        </w:rPr>
        <w:t>川山镇中心卫生院</w:t>
      </w:r>
      <w:r>
        <w:rPr>
          <w:rFonts w:hint="eastAsia" w:ascii="仿宋" w:hAnsi="仿宋" w:eastAsia="仿宋" w:cs="仿宋"/>
          <w:sz w:val="32"/>
          <w:szCs w:val="32"/>
          <w:highlight w:val="none"/>
        </w:rPr>
        <w:t>2022年度国有资本经营预算支出年初预算为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2" w:name="PO_part3A5B1C1DiffReason1"/>
      <w:r>
        <w:rPr>
          <w:rFonts w:hint="eastAsia" w:ascii="仿宋" w:hAnsi="仿宋" w:eastAsia="仿宋" w:cs="仿宋"/>
          <w:color w:val="auto"/>
          <w:sz w:val="32"/>
          <w:szCs w:val="32"/>
          <w:u w:color="auto"/>
          <w:lang w:val="en-US" w:eastAsia="zh-CN"/>
        </w:rPr>
        <w:t>川山镇中心卫生院</w:t>
      </w:r>
      <w:r>
        <w:rPr>
          <w:rFonts w:hint="eastAsia" w:ascii="仿宋" w:hAnsi="仿宋" w:eastAsia="仿宋" w:cs="仿宋"/>
          <w:color w:val="auto"/>
          <w:sz w:val="32"/>
          <w:szCs w:val="32"/>
          <w:u w:color="auto"/>
        </w:rPr>
        <w:t>没有国有资本经营预算收入</w:t>
      </w:r>
      <w:r>
        <w:rPr>
          <w:rFonts w:hint="eastAsia" w:ascii="仿宋" w:hAnsi="仿宋" w:eastAsia="仿宋" w:cs="仿宋"/>
          <w:color w:val="auto"/>
          <w:sz w:val="32"/>
          <w:szCs w:val="32"/>
          <w:u w:color="auto"/>
          <w:lang w:val="en-US" w:eastAsia="zh-CN"/>
        </w:rPr>
        <w:t>;</w:t>
      </w:r>
      <w:r>
        <w:rPr>
          <w:rFonts w:hint="eastAsia" w:ascii="仿宋" w:hAnsi="仿宋" w:eastAsia="仿宋" w:cs="仿宋"/>
          <w:color w:val="auto"/>
          <w:sz w:val="32"/>
          <w:szCs w:val="32"/>
          <w:u w:color="auto"/>
        </w:rPr>
        <w:t>也没有国有资本经营预算收入</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安排的支出</w:t>
      </w:r>
      <w:bookmarkEnd w:id="2"/>
      <w:r>
        <w:rPr>
          <w:rFonts w:hint="eastAsia" w:ascii="仿宋" w:hAnsi="仿宋" w:eastAsia="仿宋" w:cs="仿宋"/>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主要原因是：本单位不符合</w:t>
      </w:r>
      <w:r>
        <w:rPr>
          <w:rFonts w:hint="eastAsia" w:ascii="仿宋" w:hAnsi="仿宋" w:eastAsia="仿宋" w:cs="仿宋"/>
          <w:color w:val="auto"/>
          <w:kern w:val="2"/>
          <w:sz w:val="32"/>
          <w:szCs w:val="32"/>
          <w:highlight w:val="none"/>
          <w:lang w:val="en-US" w:eastAsia="zh-CN" w:bidi="ar"/>
        </w:rPr>
        <w:t>安排“三公经费”公共预算。</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原因是：本部门无因公出国预算安排.</w:t>
      </w:r>
    </w:p>
    <w:p>
      <w:pPr>
        <w:numPr>
          <w:ilvl w:val="0"/>
          <w:numId w:val="3"/>
        </w:numPr>
        <w:ind w:firstLine="640" w:firstLineChars="200"/>
        <w:jc w:val="left"/>
        <w:rPr>
          <w:rFonts w:hint="eastAsia" w:ascii="仿宋" w:hAnsi="仿宋" w:eastAsia="仿宋" w:cs="仿宋"/>
          <w:color w:val="auto"/>
          <w:sz w:val="32"/>
          <w:szCs w:val="32"/>
        </w:rPr>
      </w:pPr>
      <w:r>
        <w:rPr>
          <w:rFonts w:hint="eastAsia" w:ascii="仿宋" w:hAnsi="仿宋" w:eastAsia="仿宋" w:cs="仿宋"/>
          <w:sz w:val="32"/>
          <w:szCs w:val="32"/>
          <w:highlight w:val="none"/>
        </w:rPr>
        <w:t>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3"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本部门无公务用车购置</w:t>
      </w:r>
      <w:r>
        <w:rPr>
          <w:rFonts w:hint="eastAsia" w:ascii="仿宋" w:hAnsi="仿宋" w:eastAsia="仿宋" w:cs="仿宋"/>
          <w:color w:val="auto"/>
          <w:sz w:val="32"/>
          <w:szCs w:val="32"/>
          <w:lang w:val="en-US" w:eastAsia="zh-CN"/>
        </w:rPr>
        <w:t>费</w:t>
      </w:r>
      <w:bookmarkEnd w:id="3"/>
      <w:r>
        <w:rPr>
          <w:rFonts w:hint="eastAsia" w:ascii="仿宋" w:hAnsi="仿宋" w:eastAsia="仿宋" w:cs="仿宋"/>
          <w:color w:val="auto"/>
          <w:sz w:val="32"/>
          <w:szCs w:val="32"/>
          <w:lang w:val="en-US" w:eastAsia="zh-CN"/>
        </w:rPr>
        <w:t>预算安排</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本部门无公务用车</w:t>
      </w:r>
      <w:r>
        <w:rPr>
          <w:rFonts w:hint="eastAsia" w:ascii="仿宋" w:hAnsi="仿宋" w:eastAsia="仿宋" w:cs="仿宋"/>
          <w:color w:val="auto"/>
          <w:sz w:val="32"/>
          <w:szCs w:val="32"/>
          <w:lang w:val="en-US" w:eastAsia="zh-CN"/>
        </w:rPr>
        <w:t>运行维护费预算安排</w:t>
      </w:r>
      <w:r>
        <w:rPr>
          <w:rFonts w:hint="eastAsia" w:ascii="仿宋" w:hAnsi="仿宋" w:eastAsia="仿宋" w:cs="仿宋"/>
          <w:color w:val="auto"/>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2022年，</w:t>
      </w:r>
      <w:r>
        <w:rPr>
          <w:rFonts w:hint="eastAsia" w:ascii="宋体" w:hAnsi="宋体" w:eastAsia="宋体" w:cs="宋体"/>
          <w:b w:val="0"/>
          <w:bCs w:val="0"/>
          <w:sz w:val="28"/>
          <w:szCs w:val="28"/>
          <w:u w:color="auto"/>
          <w:lang w:val="en-US" w:eastAsia="zh-CN"/>
        </w:rPr>
        <w:t>川山镇中心卫生院</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主要原因是：本单位无一般公共预算安排公务接待费。</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0.00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default" w:ascii="Times New Roman" w:hAnsi="Times New Roman" w:eastAsia="仿宋_GB2312" w:cs="Times New Roman"/>
          <w:b w:val="0"/>
          <w:bCs w:val="0"/>
          <w:color w:val="auto"/>
          <w:kern w:val="0"/>
          <w:sz w:val="32"/>
          <w:szCs w:val="32"/>
          <w:highlight w:val="none"/>
        </w:rPr>
        <w:t>本部门无机关运行经费支出</w:t>
      </w:r>
      <w:r>
        <w:rPr>
          <w:rFonts w:hint="eastAsia" w:ascii="Times New Roman" w:hAnsi="Times New Roman" w:eastAsia="仿宋_GB2312" w:cs="Times New Roman"/>
          <w:b w:val="0"/>
          <w:bCs w:val="0"/>
          <w:color w:val="auto"/>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3.23</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3.23</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3.23</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100.00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1.75</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54.18</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w:t>
      </w:r>
      <w:r>
        <w:rPr>
          <w:rFonts w:hint="eastAsia" w:ascii="仿宋_GB2312" w:hAnsi="仿宋_GB2312" w:eastAsia="仿宋_GB2312" w:cs="仿宋_GB2312"/>
          <w:kern w:val="0"/>
          <w:sz w:val="32"/>
          <w:szCs w:val="32"/>
        </w:rPr>
        <w:t>单位价值50</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万元以上</w:t>
      </w:r>
      <w:r>
        <w:rPr>
          <w:rFonts w:hint="eastAsia" w:ascii="仿宋_GB2312" w:hAnsi="仿宋_GB2312" w:eastAsia="仿宋_GB2312" w:cs="仿宋_GB2312"/>
          <w:kern w:val="0"/>
          <w:sz w:val="32"/>
          <w:szCs w:val="32"/>
          <w:lang w:val="en-US" w:eastAsia="zh-CN"/>
        </w:rPr>
        <w:t>专用</w:t>
      </w:r>
      <w:r>
        <w:rPr>
          <w:rFonts w:hint="eastAsia" w:ascii="仿宋_GB2312" w:hAnsi="仿宋_GB2312" w:eastAsia="仿宋_GB2312" w:cs="仿宋_GB2312"/>
          <w:kern w:val="0"/>
          <w:sz w:val="32"/>
          <w:szCs w:val="32"/>
        </w:rPr>
        <w:t>设备</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台</w:t>
      </w:r>
      <w:r>
        <w:rPr>
          <w:rFonts w:hint="eastAsia" w:ascii="仿宋" w:hAnsi="仿宋" w:eastAsia="仿宋" w:cs="仿宋"/>
          <w:sz w:val="32"/>
          <w:szCs w:val="32"/>
          <w:highlight w:val="none"/>
        </w:rPr>
        <w:t>（套）；</w:t>
      </w:r>
      <w:r>
        <w:rPr>
          <w:rFonts w:hint="eastAsia" w:ascii="仿宋_GB2312" w:hAnsi="仿宋_GB2312" w:eastAsia="仿宋_GB2312" w:cs="仿宋_GB2312"/>
          <w:kern w:val="0"/>
          <w:sz w:val="32"/>
          <w:szCs w:val="32"/>
        </w:rPr>
        <w:t>单位价值</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00万元以上专用设备</w:t>
      </w:r>
      <w:r>
        <w:rPr>
          <w:rFonts w:hint="eastAsia" w:ascii="仿宋_GB2312" w:hAnsi="仿宋_GB2312" w:eastAsia="仿宋_GB2312" w:cs="仿宋_GB2312"/>
          <w:kern w:val="0"/>
          <w:sz w:val="32"/>
          <w:szCs w:val="32"/>
          <w:lang w:val="en-US" w:eastAsia="zh-CN"/>
        </w:rPr>
        <w:t>1台</w:t>
      </w:r>
      <w:r>
        <w:rPr>
          <w:rFonts w:hint="eastAsia" w:ascii="仿宋" w:hAnsi="仿宋" w:eastAsia="仿宋" w:cs="仿宋"/>
          <w:sz w:val="32"/>
          <w:szCs w:val="32"/>
          <w:highlight w:val="none"/>
        </w:rPr>
        <w:t>（套）。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104.79</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22.34</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本部门无涉及</w:t>
      </w:r>
      <w:r>
        <w:rPr>
          <w:rFonts w:hint="eastAsia" w:ascii="仿宋" w:hAnsi="仿宋" w:eastAsia="仿宋" w:cs="仿宋"/>
          <w:color w:val="000000" w:themeColor="text1"/>
          <w:sz w:val="32"/>
          <w:szCs w:val="32"/>
          <w14:textFill>
            <w14:solidFill>
              <w14:schemeClr w14:val="tx1"/>
            </w14:solidFill>
          </w14:textFill>
        </w:rPr>
        <w:t>政府性基金预算项目</w:t>
      </w:r>
      <w:r>
        <w:rPr>
          <w:rFonts w:hint="eastAsia" w:ascii="仿宋" w:hAnsi="仿宋" w:eastAsia="仿宋" w:cs="仿宋"/>
          <w:color w:val="000000" w:themeColor="text1"/>
          <w:sz w:val="32"/>
          <w:szCs w:val="32"/>
          <w:lang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国有资本经营预算项目</w:t>
      </w:r>
      <w:r>
        <w:rPr>
          <w:rFonts w:hint="eastAsia" w:ascii="仿宋" w:hAnsi="仿宋" w:eastAsia="仿宋" w:cs="仿宋"/>
          <w:color w:val="000000" w:themeColor="text1"/>
          <w:sz w:val="32"/>
          <w:szCs w:val="32"/>
          <w:lang w:eastAsia="zh-CN"/>
          <w14:textFill>
            <w14:solidFill>
              <w14:schemeClr w14:val="tx1"/>
            </w14:solidFill>
          </w14:textFill>
        </w:rPr>
        <w:t>经费支出</w:t>
      </w:r>
      <w:r>
        <w:rPr>
          <w:rFonts w:hint="eastAsia" w:ascii="仿宋" w:hAnsi="仿宋" w:eastAsia="仿宋" w:cs="仿宋"/>
          <w:color w:val="000000" w:themeColor="text1"/>
          <w:sz w:val="32"/>
          <w:szCs w:val="32"/>
          <w:lang w:val="en-US" w:eastAsia="zh-CN"/>
          <w14:textFill>
            <w14:solidFill>
              <w14:schemeClr w14:val="tx1"/>
            </w14:solidFill>
          </w14:textFill>
        </w:rPr>
        <w:t>.</w:t>
      </w:r>
    </w:p>
    <w:p>
      <w:pPr>
        <w:ind w:firstLine="640" w:firstLineChars="200"/>
        <w:jc w:val="left"/>
        <w:rPr>
          <w:rFonts w:hint="default" w:ascii="仿宋" w:hAnsi="仿宋" w:eastAsia="仿宋" w:cs="仿宋"/>
          <w:color w:val="FF0000"/>
          <w:sz w:val="32"/>
          <w:szCs w:val="32"/>
          <w:lang w:val="en-US"/>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党支部组织生活经费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104.79</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各项目的开展实施都能按绩效指标落实到位，完成绩效预期指标设定，整体项目绩效实施优秀。</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必填</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党支部组织生活经费项目自评得分为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医药卫生体制改革和事业发展以奖代补项目自评得分为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中医馆建设项目自评得分为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中央财政基本药物制度补助项目自评得分为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中央财政基本公共卫生服务项目补助项目自评得分为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补助市县乡镇卫生院人员工资补助经费项目项目自评得分为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奖励性补贴项目自评得分为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整体项目绩效自评优秀，详见自评表（附后）。</w:t>
      </w:r>
      <w:bookmarkStart w:id="4" w:name="_GoBack"/>
      <w:bookmarkEnd w:id="4"/>
    </w:p>
    <w:p>
      <w:pPr>
        <w:pStyle w:val="2"/>
        <w:rPr>
          <w:rFonts w:hint="eastAsia" w:ascii="仿宋" w:hAnsi="仿宋" w:eastAsia="仿宋" w:cs="仿宋"/>
          <w:color w:val="000000" w:themeColor="text1"/>
          <w:sz w:val="32"/>
          <w:szCs w:val="32"/>
          <w:lang w:val="en-US" w:eastAsia="zh-CN"/>
          <w14:textFill>
            <w14:solidFill>
              <w14:schemeClr w14:val="tx1"/>
            </w14:solidFill>
          </w14:textFill>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D2242"/>
    <w:multiLevelType w:val="singleLevel"/>
    <w:tmpl w:val="861D2242"/>
    <w:lvl w:ilvl="0" w:tentative="0">
      <w:start w:val="1"/>
      <w:numFmt w:val="chineseCounting"/>
      <w:suff w:val="nothing"/>
      <w:lvlText w:val="（%1）"/>
      <w:lvlJc w:val="left"/>
      <w:rPr>
        <w:rFonts w:hint="eastAsia"/>
      </w:rPr>
    </w:lvl>
  </w:abstractNum>
  <w:abstractNum w:abstractNumId="1">
    <w:nsid w:val="9BF86D39"/>
    <w:multiLevelType w:val="singleLevel"/>
    <w:tmpl w:val="9BF86D39"/>
    <w:lvl w:ilvl="0" w:tentative="0">
      <w:start w:val="1"/>
      <w:numFmt w:val="chineseCounting"/>
      <w:suff w:val="nothing"/>
      <w:lvlText w:val="（%1）"/>
      <w:lvlJc w:val="left"/>
      <w:pPr>
        <w:ind w:left="210" w:firstLine="420"/>
      </w:pPr>
      <w:rPr>
        <w:rFonts w:hint="eastAsia"/>
        <w:color w:val="auto"/>
        <w:sz w:val="32"/>
        <w:szCs w:val="32"/>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1YTNhZmIzNDg4NjdmMjZhYTczYzU2ODUwOGM1Ym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11B48"/>
    <w:rsid w:val="0216715F"/>
    <w:rsid w:val="02E0291A"/>
    <w:rsid w:val="038B2919"/>
    <w:rsid w:val="04E54546"/>
    <w:rsid w:val="05992762"/>
    <w:rsid w:val="07B0770E"/>
    <w:rsid w:val="0942143F"/>
    <w:rsid w:val="0D100297"/>
    <w:rsid w:val="0D202B45"/>
    <w:rsid w:val="0D4B59D5"/>
    <w:rsid w:val="0F8D4C87"/>
    <w:rsid w:val="10505FAA"/>
    <w:rsid w:val="105F7E7E"/>
    <w:rsid w:val="11E56B5B"/>
    <w:rsid w:val="125C77AB"/>
    <w:rsid w:val="12E87CB4"/>
    <w:rsid w:val="14CB726E"/>
    <w:rsid w:val="170E4165"/>
    <w:rsid w:val="17E92249"/>
    <w:rsid w:val="18881ABA"/>
    <w:rsid w:val="18D304F1"/>
    <w:rsid w:val="19F32577"/>
    <w:rsid w:val="19F45B80"/>
    <w:rsid w:val="1B0C078D"/>
    <w:rsid w:val="1B2B31E2"/>
    <w:rsid w:val="1B4C295A"/>
    <w:rsid w:val="1B973C63"/>
    <w:rsid w:val="1BA1001E"/>
    <w:rsid w:val="1CF12E26"/>
    <w:rsid w:val="1D317259"/>
    <w:rsid w:val="1D6334B4"/>
    <w:rsid w:val="1D672095"/>
    <w:rsid w:val="1E664F5B"/>
    <w:rsid w:val="1EB34BE1"/>
    <w:rsid w:val="20B83255"/>
    <w:rsid w:val="215E639F"/>
    <w:rsid w:val="21EC3183"/>
    <w:rsid w:val="225E72CD"/>
    <w:rsid w:val="246E2F77"/>
    <w:rsid w:val="254B4E2B"/>
    <w:rsid w:val="25EC63AB"/>
    <w:rsid w:val="283D7C94"/>
    <w:rsid w:val="29480E03"/>
    <w:rsid w:val="2983634D"/>
    <w:rsid w:val="2AF25803"/>
    <w:rsid w:val="2BB02055"/>
    <w:rsid w:val="2BE4216C"/>
    <w:rsid w:val="2C575A56"/>
    <w:rsid w:val="2F257714"/>
    <w:rsid w:val="2F3275E5"/>
    <w:rsid w:val="30150B6E"/>
    <w:rsid w:val="30AA08EF"/>
    <w:rsid w:val="30D23D1C"/>
    <w:rsid w:val="31221CF5"/>
    <w:rsid w:val="31400178"/>
    <w:rsid w:val="318B0720"/>
    <w:rsid w:val="321E3342"/>
    <w:rsid w:val="327759C8"/>
    <w:rsid w:val="33185FE3"/>
    <w:rsid w:val="3399369C"/>
    <w:rsid w:val="34EE2E36"/>
    <w:rsid w:val="36777241"/>
    <w:rsid w:val="369B76E0"/>
    <w:rsid w:val="38A951DB"/>
    <w:rsid w:val="38B31605"/>
    <w:rsid w:val="39003F4F"/>
    <w:rsid w:val="3C07002B"/>
    <w:rsid w:val="3D0D152A"/>
    <w:rsid w:val="3DF62756"/>
    <w:rsid w:val="3EE24C70"/>
    <w:rsid w:val="3F1B7587"/>
    <w:rsid w:val="3F650535"/>
    <w:rsid w:val="3F6727CC"/>
    <w:rsid w:val="41E57B4F"/>
    <w:rsid w:val="42FA72B4"/>
    <w:rsid w:val="432F26F6"/>
    <w:rsid w:val="43650365"/>
    <w:rsid w:val="43880F63"/>
    <w:rsid w:val="441C5A6F"/>
    <w:rsid w:val="449C56DA"/>
    <w:rsid w:val="44C44FCC"/>
    <w:rsid w:val="44CC7369"/>
    <w:rsid w:val="457F5108"/>
    <w:rsid w:val="46951B6B"/>
    <w:rsid w:val="46BB3CA7"/>
    <w:rsid w:val="46FD2260"/>
    <w:rsid w:val="49A34401"/>
    <w:rsid w:val="4A3E30AB"/>
    <w:rsid w:val="4AC14DAC"/>
    <w:rsid w:val="4C260A4D"/>
    <w:rsid w:val="4D154C85"/>
    <w:rsid w:val="4EC8553A"/>
    <w:rsid w:val="508F4E24"/>
    <w:rsid w:val="51461E90"/>
    <w:rsid w:val="51463753"/>
    <w:rsid w:val="52553A93"/>
    <w:rsid w:val="53521F8B"/>
    <w:rsid w:val="53E22F47"/>
    <w:rsid w:val="54315365"/>
    <w:rsid w:val="54522FF8"/>
    <w:rsid w:val="55450629"/>
    <w:rsid w:val="554B6DA2"/>
    <w:rsid w:val="56692963"/>
    <w:rsid w:val="568B0F48"/>
    <w:rsid w:val="56B23F89"/>
    <w:rsid w:val="56B7156E"/>
    <w:rsid w:val="5786217B"/>
    <w:rsid w:val="58491409"/>
    <w:rsid w:val="59337A15"/>
    <w:rsid w:val="59810274"/>
    <w:rsid w:val="5A35552D"/>
    <w:rsid w:val="5A36148E"/>
    <w:rsid w:val="5A6279C1"/>
    <w:rsid w:val="5AD536D4"/>
    <w:rsid w:val="5B48516A"/>
    <w:rsid w:val="5CA96A00"/>
    <w:rsid w:val="5CF730BC"/>
    <w:rsid w:val="5E5F0DCE"/>
    <w:rsid w:val="5FA40A7B"/>
    <w:rsid w:val="5FD56D29"/>
    <w:rsid w:val="5FEC7F3F"/>
    <w:rsid w:val="6054424F"/>
    <w:rsid w:val="60F74BC3"/>
    <w:rsid w:val="617D3BF8"/>
    <w:rsid w:val="61841F6A"/>
    <w:rsid w:val="61F35C6C"/>
    <w:rsid w:val="623007A9"/>
    <w:rsid w:val="62737D97"/>
    <w:rsid w:val="637D7558"/>
    <w:rsid w:val="644F19AC"/>
    <w:rsid w:val="657C7487"/>
    <w:rsid w:val="65AA4920"/>
    <w:rsid w:val="65AE17EC"/>
    <w:rsid w:val="67694F1E"/>
    <w:rsid w:val="69597934"/>
    <w:rsid w:val="6B964DDC"/>
    <w:rsid w:val="6BCB60D7"/>
    <w:rsid w:val="6C783074"/>
    <w:rsid w:val="6CFE1E69"/>
    <w:rsid w:val="6D365276"/>
    <w:rsid w:val="6D9E65C6"/>
    <w:rsid w:val="6DA81947"/>
    <w:rsid w:val="6EB66DE2"/>
    <w:rsid w:val="6ED3075F"/>
    <w:rsid w:val="6F2A2D4B"/>
    <w:rsid w:val="6F8A0C1E"/>
    <w:rsid w:val="703F45D4"/>
    <w:rsid w:val="707C177E"/>
    <w:rsid w:val="70E1769A"/>
    <w:rsid w:val="713E692D"/>
    <w:rsid w:val="715D6546"/>
    <w:rsid w:val="71BE069E"/>
    <w:rsid w:val="73953409"/>
    <w:rsid w:val="73D24F8C"/>
    <w:rsid w:val="73E069A3"/>
    <w:rsid w:val="74211AB6"/>
    <w:rsid w:val="751E1C4C"/>
    <w:rsid w:val="77963F70"/>
    <w:rsid w:val="78104AA8"/>
    <w:rsid w:val="78E257C5"/>
    <w:rsid w:val="794B35BE"/>
    <w:rsid w:val="7A1E06E8"/>
    <w:rsid w:val="7B0A3A31"/>
    <w:rsid w:val="7B3360ED"/>
    <w:rsid w:val="7B5319F3"/>
    <w:rsid w:val="7BBB1262"/>
    <w:rsid w:val="7BDF037E"/>
    <w:rsid w:val="7BF50948"/>
    <w:rsid w:val="7C6C3AAA"/>
    <w:rsid w:val="7CE220C1"/>
    <w:rsid w:val="7CE66A78"/>
    <w:rsid w:val="7D046CFB"/>
    <w:rsid w:val="7D23564C"/>
    <w:rsid w:val="7D5E062D"/>
    <w:rsid w:val="7DF76CD8"/>
    <w:rsid w:val="7F695C26"/>
    <w:rsid w:val="7F850571"/>
    <w:rsid w:val="7FCF62D3"/>
    <w:rsid w:val="7FEB7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一般公共预算财政拨款收入</c:v>
                </c:pt>
                <c:pt idx="1">
                  <c:v>事业收入</c:v>
                </c:pt>
                <c:pt idx="2">
                  <c:v>其他收入</c:v>
                </c:pt>
              </c:strCache>
            </c:strRef>
          </c:cat>
          <c:val>
            <c:numRef>
              <c:f>Sheet1!$B$2:$B$4</c:f>
              <c:numCache>
                <c:formatCode>General</c:formatCode>
                <c:ptCount val="3"/>
                <c:pt idx="0">
                  <c:v>1079.94</c:v>
                </c:pt>
                <c:pt idx="1">
                  <c:v>1439.76</c:v>
                </c:pt>
                <c:pt idx="2">
                  <c:v>3.67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教育支出</c:v>
                </c:pt>
                <c:pt idx="1">
                  <c:v>社会保障和就业支出</c:v>
                </c:pt>
                <c:pt idx="2">
                  <c:v>卫生健康支出</c:v>
                </c:pt>
                <c:pt idx="3">
                  <c:v>住房保障支出</c:v>
                </c:pt>
                <c:pt idx="4">
                  <c:v>其他支出</c:v>
                </c:pt>
              </c:strCache>
            </c:strRef>
          </c:cat>
          <c:val>
            <c:numRef>
              <c:f>Sheet1!$B$2:$B$6</c:f>
              <c:numCache>
                <c:formatCode>General</c:formatCode>
                <c:ptCount val="5"/>
                <c:pt idx="0">
                  <c:v>0</c:v>
                </c:pt>
                <c:pt idx="1">
                  <c:v>60.95</c:v>
                </c:pt>
                <c:pt idx="2">
                  <c:v>1799.62</c:v>
                </c:pt>
                <c:pt idx="3">
                  <c:v>45.69</c:v>
                </c:pt>
                <c:pt idx="4">
                  <c:v>98.45</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教育支出</c:v>
                </c:pt>
                <c:pt idx="1">
                  <c:v>社会保障和就业支出</c:v>
                </c:pt>
                <c:pt idx="2">
                  <c:v>卫生健康支出</c:v>
                </c:pt>
                <c:pt idx="3">
                  <c:v>住房保障支出</c:v>
                </c:pt>
                <c:pt idx="4">
                  <c:v>其他支出</c:v>
                </c:pt>
              </c:strCache>
            </c:strRef>
          </c:cat>
          <c:val>
            <c:numRef>
              <c:f>Sheet1!$C$2:$C$6</c:f>
              <c:numCache>
                <c:formatCode>General</c:formatCode>
                <c:ptCount val="5"/>
                <c:pt idx="0">
                  <c:v>0</c:v>
                </c:pt>
                <c:pt idx="1">
                  <c:v>61.06</c:v>
                </c:pt>
                <c:pt idx="2">
                  <c:v>2351.47</c:v>
                </c:pt>
                <c:pt idx="3">
                  <c:v>45.89</c:v>
                </c:pt>
                <c:pt idx="4">
                  <c:v>57.83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1">
                  <c:v>2080801</c:v>
                </c:pt>
                <c:pt idx="2">
                  <c:v>2089999</c:v>
                </c:pt>
                <c:pt idx="3">
                  <c:v>208x</c:v>
                </c:pt>
              </c:strCache>
            </c:strRef>
          </c:cat>
          <c:val>
            <c:numRef>
              <c:f>Sheet1!$B$2:$B$5</c:f>
              <c:numCache>
                <c:formatCode>General</c:formatCode>
                <c:ptCount val="4"/>
                <c:pt idx="0">
                  <c:v>61.06</c:v>
                </c:pt>
                <c:pt idx="3">
                  <c:v>61.06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卫生健康支出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Sheet1!$A$2:$A$9</c:f>
              <c:strCache>
                <c:ptCount val="8"/>
                <c:pt idx="0">
                  <c:v>2100302</c:v>
                </c:pt>
                <c:pt idx="1">
                  <c:v>2100399</c:v>
                </c:pt>
                <c:pt idx="2">
                  <c:v>2100408</c:v>
                </c:pt>
                <c:pt idx="3">
                  <c:v>2100409</c:v>
                </c:pt>
                <c:pt idx="4">
                  <c:v>2100601</c:v>
                </c:pt>
                <c:pt idx="5">
                  <c:v>2109999</c:v>
                </c:pt>
                <c:pt idx="7">
                  <c:v>210x</c:v>
                </c:pt>
              </c:strCache>
            </c:strRef>
          </c:cat>
          <c:val>
            <c:numRef>
              <c:f>Sheet1!$B$2:$B$9</c:f>
              <c:numCache>
                <c:formatCode>General</c:formatCode>
                <c:ptCount val="8"/>
                <c:pt idx="0">
                  <c:v>424.82</c:v>
                </c:pt>
                <c:pt idx="1">
                  <c:v>147.67</c:v>
                </c:pt>
                <c:pt idx="2">
                  <c:v>242.15</c:v>
                </c:pt>
                <c:pt idx="3">
                  <c:v>20.52</c:v>
                </c:pt>
                <c:pt idx="4">
                  <c:v>20</c:v>
                </c:pt>
                <c:pt idx="5">
                  <c:v>60</c:v>
                </c:pt>
                <c:pt idx="7">
                  <c:v>915.16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45.89</c:v>
                </c:pt>
                <c:pt idx="1">
                  <c:v>45.89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Sheet1!$A$2:$A$16</c:f>
              <c:strCache>
                <c:ptCount val="15"/>
                <c:pt idx="0">
                  <c:v>30101</c:v>
                </c:pt>
                <c:pt idx="1">
                  <c:v>30102</c:v>
                </c:pt>
                <c:pt idx="2">
                  <c:v>30103</c:v>
                </c:pt>
                <c:pt idx="3">
                  <c:v>30106</c:v>
                </c:pt>
                <c:pt idx="4">
                  <c:v>30107</c:v>
                </c:pt>
                <c:pt idx="5">
                  <c:v>30108</c:v>
                </c:pt>
                <c:pt idx="6">
                  <c:v>30109</c:v>
                </c:pt>
                <c:pt idx="7">
                  <c:v>30110</c:v>
                </c:pt>
                <c:pt idx="8">
                  <c:v>30111</c:v>
                </c:pt>
                <c:pt idx="9">
                  <c:v>30112</c:v>
                </c:pt>
                <c:pt idx="10">
                  <c:v>30113</c:v>
                </c:pt>
                <c:pt idx="12">
                  <c:v>30199</c:v>
                </c:pt>
                <c:pt idx="14">
                  <c:v>301X</c:v>
                </c:pt>
              </c:strCache>
            </c:strRef>
          </c:cat>
          <c:val>
            <c:numRef>
              <c:f>Sheet1!$B$2:$B$16</c:f>
              <c:numCache>
                <c:formatCode>General</c:formatCode>
                <c:ptCount val="15"/>
                <c:pt idx="0">
                  <c:v>186.14</c:v>
                </c:pt>
                <c:pt idx="1">
                  <c:v>44.52</c:v>
                </c:pt>
                <c:pt idx="2">
                  <c:v>81</c:v>
                </c:pt>
                <c:pt idx="3">
                  <c:v>8.48</c:v>
                </c:pt>
                <c:pt idx="4">
                  <c:v>97.69</c:v>
                </c:pt>
                <c:pt idx="5">
                  <c:v>61.06</c:v>
                </c:pt>
                <c:pt idx="6">
                  <c:v>0</c:v>
                </c:pt>
                <c:pt idx="7">
                  <c:v>24.13</c:v>
                </c:pt>
                <c:pt idx="8">
                  <c:v>0</c:v>
                </c:pt>
                <c:pt idx="9">
                  <c:v>4.68</c:v>
                </c:pt>
                <c:pt idx="10">
                  <c:v>45.89</c:v>
                </c:pt>
                <c:pt idx="12">
                  <c:v>51.24</c:v>
                </c:pt>
                <c:pt idx="13">
                  <c:v>0</c:v>
                </c:pt>
                <c:pt idx="14">
                  <c:v>604.83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1">
                  <c:v>0</c:v>
                </c:pt>
                <c:pt idx="2">
                  <c:v>0</c:v>
                </c:pt>
                <c:pt idx="3">
                  <c:v>0</c:v>
                </c:pt>
                <c:pt idx="4">
                  <c:v>0</c:v>
                </c:pt>
                <c:pt idx="5">
                  <c:v>0</c:v>
                </c:pt>
                <c:pt idx="7">
                  <c:v>0</c:v>
                </c:pt>
                <c:pt idx="8">
                  <c:v>0</c:v>
                </c:pt>
                <c:pt idx="9">
                  <c:v>0</c:v>
                </c:pt>
                <c:pt idx="10">
                  <c:v>0</c:v>
                </c:pt>
                <c:pt idx="11">
                  <c:v>0</c:v>
                </c:pt>
                <c:pt idx="12">
                  <c:v>0</c:v>
                </c:pt>
                <c:pt idx="15">
                  <c:v>0</c:v>
                </c:pt>
                <c:pt idx="16">
                  <c:v>0</c:v>
                </c:pt>
                <c:pt idx="17">
                  <c:v>0</c:v>
                </c:pt>
                <c:pt idx="18">
                  <c:v>0</c:v>
                </c:pt>
                <c:pt idx="20">
                  <c:v>0</c:v>
                </c:pt>
                <c:pt idx="22">
                  <c:v>0</c:v>
                </c:pt>
                <c:pt idx="23">
                  <c:v>0</c:v>
                </c:pt>
                <c:pt idx="24">
                  <c:v>0</c:v>
                </c:pt>
                <c:pt idx="2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2">
                  <c:v>0</c:v>
                </c:pt>
                <c:pt idx="3">
                  <c:v>0</c:v>
                </c:pt>
                <c:pt idx="4">
                  <c:v>5.94</c:v>
                </c:pt>
                <c:pt idx="5">
                  <c:v>0</c:v>
                </c:pt>
                <c:pt idx="6">
                  <c:v>0</c:v>
                </c:pt>
                <c:pt idx="7">
                  <c:v>0</c:v>
                </c:pt>
                <c:pt idx="8">
                  <c:v>0</c:v>
                </c:pt>
                <c:pt idx="9">
                  <c:v>0</c:v>
                </c:pt>
                <c:pt idx="10">
                  <c:v>0</c:v>
                </c:pt>
                <c:pt idx="11">
                  <c:v>0.29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3</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2023-11-27T01:10:56Z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