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6" w:name="_GoBack"/>
      <w:r>
        <w:rPr>
          <w:rFonts w:hint="eastAsia" w:ascii="黑体" w:hAnsi="黑体" w:eastAsia="黑体" w:cs="黑体"/>
          <w:b/>
          <w:bCs/>
          <w:sz w:val="52"/>
          <w:szCs w:val="52"/>
          <w:highlight w:val="none"/>
          <w:lang w:val="en-US" w:eastAsia="zh-CN"/>
        </w:rPr>
        <w:t>环江毛南族自治县下南乡卫生院</w:t>
      </w:r>
      <w:bookmarkEnd w:id="6"/>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下南乡卫生院</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下南乡卫生院</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下南乡卫生院</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color w:val="auto"/>
          <w:sz w:val="32"/>
          <w:szCs w:val="32"/>
          <w:lang w:val="en-US" w:eastAsia="zh-CN"/>
        </w:rPr>
        <w:t>环江毛南族自治县下南乡</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 w:hAnsi="仿宋" w:eastAsia="仿宋" w:cs="仿宋"/>
          <w:color w:val="auto"/>
          <w:sz w:val="32"/>
          <w:szCs w:val="32"/>
          <w:lang w:val="en-US" w:eastAsia="zh-CN"/>
        </w:rPr>
        <w:t>环江毛南族自治县下南乡卫生院</w:t>
      </w:r>
      <w:r>
        <w:rPr>
          <w:rFonts w:hint="eastAsia" w:ascii="仿宋" w:hAnsi="仿宋" w:eastAsia="仿宋" w:cs="仿宋"/>
          <w:color w:val="auto"/>
          <w:sz w:val="32"/>
          <w:szCs w:val="32"/>
        </w:rPr>
        <w:t>的主要职能</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提供公共卫生服务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承担本</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农村居民健康档案规范建档指导、管理及服务。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普及卫生保健常识，在重点人群和重点场所开展健康教育，帮助居民形成有利于维护和增进健康的行为方式;指导开展爱国卫生工作。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提供并组织实施</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预防接种服务,落实国家免疫规划。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及时发现、登记并报告</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内发现的传染病病例和疑似病例，参与现场疫情处理。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开展新生儿访视及儿童保健系统管理,进行体格检查和生长发育监测及评价，开展健康指导。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开展孕产妇保健系统管理和产后访视，进行一般体格检查及孕期营养、 心理等健康指导。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65岁及以上老年人进行登记管理，进行健康危险因素调查和一般体格检查,开展健康指寻。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对高血压、糖尿病等慢性病高危人群进行指导，对确诊高血压、糖尿病等慢性病病例进行登记管理、定期随访和健康指导。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重性精神疾病患者进行登记管理、治疗随访和康复指导。</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内突发公共卫生事件的报告并协助处理。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做好卫生行政部门规定的其他公共卫生服务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二、提供基本医疗服务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使用农村适宜医疗技术和中医药技术，正确处理常见病、多发病，对疑难重症进行恰当的处理并转诊。承担乡村现场应急救护、转诊服务和康复服务。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健全消毒、隔离制度，遵守无菌操作规程，加强医疗质量管理。做好医疗废物处理和污水、污物无害化处理。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执行国家基本药物制度药品集中采购、零差率销售等政策,为实施-体化管理的村卫生室统一代购药品。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提供政府卫生行政部门批准的其他适宜的医疗服务。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三、承担卫生管理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内传染病防治、学校卫生、 食品卫生、饮水卫生、职业卫生，以及村级预防保健工作进行指导、培训、考核与监督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严格执行新型农村合作医疗政策规定,履行定点医疗机构职责，做好有关的政策宣传、监督及服务工作。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深入推进乡村卫生服务一体化管理， 对村卫生室实行以行政、人员、业务、药品、财产为基本 内容的“五统- -” 规范管理;负责村卫生室的技术指导和乡村医生培训等工作。</w:t>
      </w:r>
      <w:r>
        <w:rPr>
          <w:rFonts w:hint="eastAsia"/>
          <w:sz w:val="32"/>
          <w:szCs w:val="32"/>
        </w:rPr>
        <w:br w:type="textWrapping"/>
      </w:r>
      <w:r>
        <w:rPr>
          <w:rFonts w:hint="eastAsia" w:ascii="仿宋_GB2312" w:hAnsi="仿宋_GB2312" w:eastAsia="仿宋_GB2312" w:cs="仿宋_GB2312"/>
          <w:sz w:val="32"/>
          <w:szCs w:val="32"/>
          <w:lang w:val="en-US" w:eastAsia="zh-CN"/>
        </w:rPr>
        <w:t xml:space="preserve">    四、</w:t>
      </w:r>
      <w:r>
        <w:rPr>
          <w:rFonts w:hint="eastAsia" w:ascii="仿宋_GB2312" w:hAnsi="仿宋_GB2312" w:eastAsia="仿宋_GB2312" w:cs="仿宋_GB2312"/>
          <w:sz w:val="32"/>
          <w:szCs w:val="32"/>
        </w:rPr>
        <w:t>卫生行政管理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在当地政府和上级卫生行政部门]领导下，依据当地社会经济发展规划，协助制定和实施社区的初级卫生规划。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配合有关部门动员组织群众开展爱国卫生活动，逐步改善</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卫生状况。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贯彻执行国家各种卫生法规,对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内有关行业实行监督管理。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内村级卫生服务站的管理和培训工作。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我部门没有下属单位，按照部门决算编报要求，单独编制本部门决算。</w:t>
      </w:r>
      <w:r>
        <w:rPr>
          <w:rFonts w:hint="eastAsia" w:ascii="仿宋" w:hAnsi="仿宋" w:eastAsia="仿宋" w:cs="仿宋"/>
          <w:color w:val="auto"/>
          <w:sz w:val="32"/>
          <w:szCs w:val="32"/>
          <w:shd w:val="clear" w:color="auto" w:fill="auto"/>
          <w:lang w:val="en-US" w:eastAsia="zh-CN"/>
        </w:rPr>
        <w:t>我部门事业单位编制26人，目前在职在编人员23人，其中包含一名后勤控制数人员。</w:t>
      </w:r>
    </w:p>
    <w:p>
      <w:pPr>
        <w:jc w:val="center"/>
        <w:rPr>
          <w:rFonts w:hint="eastAsia" w:ascii="仿宋" w:hAnsi="仿宋" w:eastAsia="仿宋" w:cs="仿宋"/>
          <w:color w:val="auto"/>
          <w:sz w:val="32"/>
          <w:szCs w:val="32"/>
          <w:highlight w:val="none"/>
          <w:shd w:val="clear" w:color="auto" w:fill="auto"/>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环江毛南族自治县下南乡卫生院</w:t>
      </w:r>
      <w:r>
        <w:rPr>
          <w:rFonts w:hint="eastAsia" w:ascii="黑体" w:hAnsi="黑体" w:eastAsia="黑体" w:cs="黑体"/>
          <w:sz w:val="32"/>
          <w:szCs w:val="32"/>
          <w:highlight w:val="none"/>
        </w:rPr>
        <w:t>2022年度部门决算报表</w:t>
      </w:r>
    </w:p>
    <w:tbl>
      <w:tblPr>
        <w:tblStyle w:val="6"/>
        <w:tblW w:w="5000" w:type="pct"/>
        <w:tblInd w:w="0" w:type="dxa"/>
        <w:tblLayout w:type="autofit"/>
        <w:tblCellMar>
          <w:top w:w="0" w:type="dxa"/>
          <w:left w:w="108" w:type="dxa"/>
          <w:bottom w:w="0" w:type="dxa"/>
          <w:right w:w="108" w:type="dxa"/>
        </w:tblCellMar>
      </w:tblPr>
      <w:tblGrid>
        <w:gridCol w:w="5332"/>
        <w:gridCol w:w="791"/>
        <w:gridCol w:w="1057"/>
        <w:gridCol w:w="4244"/>
        <w:gridCol w:w="791"/>
        <w:gridCol w:w="1959"/>
      </w:tblGrid>
      <w:tr>
        <w:tblPrEx>
          <w:tblCellMar>
            <w:top w:w="0" w:type="dxa"/>
            <w:left w:w="108" w:type="dxa"/>
            <w:bottom w:w="0" w:type="dxa"/>
            <w:right w:w="108" w:type="dxa"/>
          </w:tblCellMar>
        </w:tblPrEx>
        <w:trPr>
          <w:trHeight w:val="902" w:hRule="atLeast"/>
        </w:trPr>
        <w:tc>
          <w:tcPr>
            <w:tcW w:w="5000" w:type="pct"/>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CellMar>
            <w:top w:w="0" w:type="dxa"/>
            <w:left w:w="108" w:type="dxa"/>
            <w:bottom w:w="0" w:type="dxa"/>
            <w:right w:w="108" w:type="dxa"/>
          </w:tblCellMar>
        </w:tblPrEx>
        <w:trPr>
          <w:trHeight w:val="301" w:hRule="atLeast"/>
        </w:trPr>
        <w:tc>
          <w:tcPr>
            <w:tcW w:w="188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7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4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68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公开01表</w:t>
            </w:r>
          </w:p>
        </w:tc>
      </w:tr>
      <w:tr>
        <w:tblPrEx>
          <w:tblCellMar>
            <w:top w:w="0" w:type="dxa"/>
            <w:left w:w="108" w:type="dxa"/>
            <w:bottom w:w="0" w:type="dxa"/>
            <w:right w:w="108" w:type="dxa"/>
          </w:tblCellMar>
        </w:tblPrEx>
        <w:trPr>
          <w:trHeight w:val="301" w:hRule="atLeast"/>
        </w:trPr>
        <w:tc>
          <w:tcPr>
            <w:tcW w:w="1881"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27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7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49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7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689"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15" w:hRule="atLeast"/>
        </w:trPr>
        <w:tc>
          <w:tcPr>
            <w:tcW w:w="25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收入</w:t>
            </w:r>
          </w:p>
        </w:tc>
        <w:tc>
          <w:tcPr>
            <w:tcW w:w="24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315"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金额</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项目</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315"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442.29</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二、外交支出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33</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三、国防支出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34</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四、公共安全支出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35</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188.47</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五、教育支出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36</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六、科学技术支出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37</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38</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39</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23.53</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九、卫生健康支出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40</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564.27</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十、节能环保支出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41</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十一、城乡社区支出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42</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十二、农林水支出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43</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十三、交通运输支出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44</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45</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46</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十六、金融支出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47</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48</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49</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十九、住房保障支出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50</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51</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52</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53</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二十三、其他支出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54</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25.11</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24</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55</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25</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56</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26</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57</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630.76</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58</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630.61</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结余分配</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59</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0.15</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年末结转和结余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60</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61</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630.76</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62</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630.76</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5183" w:type="pct"/>
        <w:tblInd w:w="0" w:type="dxa"/>
        <w:tblLayout w:type="fixed"/>
        <w:tblCellMar>
          <w:top w:w="0" w:type="dxa"/>
          <w:left w:w="108" w:type="dxa"/>
          <w:bottom w:w="0" w:type="dxa"/>
          <w:right w:w="108" w:type="dxa"/>
        </w:tblCellMar>
      </w:tblPr>
      <w:tblGrid>
        <w:gridCol w:w="3544"/>
        <w:gridCol w:w="222"/>
        <w:gridCol w:w="223"/>
        <w:gridCol w:w="2688"/>
        <w:gridCol w:w="1755"/>
        <w:gridCol w:w="1261"/>
        <w:gridCol w:w="1261"/>
        <w:gridCol w:w="975"/>
        <w:gridCol w:w="662"/>
        <w:gridCol w:w="876"/>
        <w:gridCol w:w="1227"/>
      </w:tblGrid>
      <w:tr>
        <w:tblPrEx>
          <w:tblCellMar>
            <w:top w:w="0" w:type="dxa"/>
            <w:left w:w="108" w:type="dxa"/>
            <w:bottom w:w="0" w:type="dxa"/>
            <w:right w:w="108" w:type="dxa"/>
          </w:tblCellMar>
        </w:tblPrEx>
        <w:trPr>
          <w:trHeight w:val="951" w:hRule="atLeast"/>
        </w:trPr>
        <w:tc>
          <w:tcPr>
            <w:tcW w:w="5000" w:type="pct"/>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CellMar>
            <w:top w:w="0" w:type="dxa"/>
            <w:left w:w="108" w:type="dxa"/>
            <w:bottom w:w="0" w:type="dxa"/>
            <w:right w:w="108" w:type="dxa"/>
          </w:tblCellMar>
        </w:tblPrEx>
        <w:trPr>
          <w:trHeight w:val="317" w:hRule="atLeast"/>
        </w:trPr>
        <w:tc>
          <w:tcPr>
            <w:tcW w:w="120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91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公开02表</w:t>
            </w:r>
          </w:p>
        </w:tc>
      </w:tr>
      <w:tr>
        <w:tblPrEx>
          <w:tblCellMar>
            <w:top w:w="0" w:type="dxa"/>
            <w:left w:w="108" w:type="dxa"/>
            <w:bottom w:w="0" w:type="dxa"/>
            <w:right w:w="108" w:type="dxa"/>
          </w:tblCellMar>
        </w:tblPrEx>
        <w:trPr>
          <w:trHeight w:val="317" w:hRule="atLeast"/>
        </w:trPr>
        <w:tc>
          <w:tcPr>
            <w:tcW w:w="1205"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914"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9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3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2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9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17"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27" w:hRule="atLeast"/>
        </w:trPr>
        <w:tc>
          <w:tcPr>
            <w:tcW w:w="227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59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本年收入合计</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财政拨款收入</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上级补助收入</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事业收入</w:t>
            </w:r>
          </w:p>
        </w:tc>
        <w:tc>
          <w:tcPr>
            <w:tcW w:w="2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经营收入</w:t>
            </w:r>
          </w:p>
        </w:tc>
        <w:tc>
          <w:tcPr>
            <w:tcW w:w="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5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42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227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r>
      <w:tr>
        <w:trPr>
          <w:trHeight w:val="327" w:hRule="atLeast"/>
        </w:trPr>
        <w:tc>
          <w:tcPr>
            <w:tcW w:w="227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630.76</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442.29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188.47</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61"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卫生健康支出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564.42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375.95</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188.47</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基层医疗卫生机构</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391.56</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203.08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188.47</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352.37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163.89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188.47</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39.19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39.19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公共卫生</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92.87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83.59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83.59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中医药</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2100601</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其他卫生健康支出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2109999</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住房保障支出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住房改革支出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25.11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57" w:type="pct"/>
            <w:gridSpan w:val="3"/>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914"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597"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25.11</w:t>
            </w:r>
          </w:p>
        </w:tc>
        <w:tc>
          <w:tcPr>
            <w:tcW w:w="429"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25.11</w:t>
            </w:r>
          </w:p>
        </w:tc>
        <w:tc>
          <w:tcPr>
            <w:tcW w:w="429"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4002"/>
        <w:gridCol w:w="222"/>
        <w:gridCol w:w="223"/>
        <w:gridCol w:w="3588"/>
        <w:gridCol w:w="1406"/>
        <w:gridCol w:w="1009"/>
        <w:gridCol w:w="1009"/>
        <w:gridCol w:w="893"/>
        <w:gridCol w:w="742"/>
        <w:gridCol w:w="1080"/>
      </w:tblGrid>
      <w:tr>
        <w:tblPrEx>
          <w:tblCellMar>
            <w:top w:w="0" w:type="dxa"/>
            <w:left w:w="108" w:type="dxa"/>
            <w:bottom w:w="0" w:type="dxa"/>
            <w:right w:w="108" w:type="dxa"/>
          </w:tblCellMar>
        </w:tblPrEx>
        <w:trPr>
          <w:trHeight w:val="623"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CellMar>
            <w:top w:w="0" w:type="dxa"/>
            <w:left w:w="108" w:type="dxa"/>
            <w:bottom w:w="0" w:type="dxa"/>
            <w:right w:w="108" w:type="dxa"/>
          </w:tblCellMar>
        </w:tblPrEx>
        <w:trPr>
          <w:trHeight w:val="312" w:hRule="atLeast"/>
        </w:trPr>
        <w:tc>
          <w:tcPr>
            <w:tcW w:w="141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26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9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1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公开03表</w:t>
            </w:r>
          </w:p>
        </w:tc>
      </w:tr>
      <w:tr>
        <w:tblPrEx>
          <w:tblCellMar>
            <w:top w:w="0" w:type="dxa"/>
            <w:left w:w="108" w:type="dxa"/>
            <w:bottom w:w="0" w:type="dxa"/>
            <w:right w:w="108" w:type="dxa"/>
          </w:tblCellMar>
        </w:tblPrEx>
        <w:trPr>
          <w:trHeight w:val="312" w:hRule="atLeast"/>
        </w:trPr>
        <w:tc>
          <w:tcPr>
            <w:tcW w:w="1411"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26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9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5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5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1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6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80"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22" w:hRule="atLeast"/>
        </w:trPr>
        <w:tc>
          <w:tcPr>
            <w:tcW w:w="283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49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本年支出合计</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项目支出</w:t>
            </w:r>
          </w:p>
        </w:tc>
        <w:tc>
          <w:tcPr>
            <w:tcW w:w="3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经营支出</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2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4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3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28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837" w:hRule="atLeast"/>
        </w:trPr>
        <w:tc>
          <w:tcPr>
            <w:tcW w:w="28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630.61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422.25</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208.36</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33"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卫生健康支出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564.27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355.91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208.36</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基层医疗卫生机构</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391.40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355.91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35.49</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352.21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340.67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11.54</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39.19</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23.95</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公共卫生</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92.87</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83.59</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83.59</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中医药</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2100601</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其他卫生健康支出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2109999</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住房保障支出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住房改革支出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25.11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568" w:type="pct"/>
            <w:gridSpan w:val="3"/>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1265"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495"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355"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355"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3713"/>
        <w:gridCol w:w="505"/>
        <w:gridCol w:w="1423"/>
        <w:gridCol w:w="3203"/>
        <w:gridCol w:w="450"/>
        <w:gridCol w:w="962"/>
        <w:gridCol w:w="1350"/>
        <w:gridCol w:w="1185"/>
        <w:gridCol w:w="1383"/>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CellMar>
            <w:top w:w="0" w:type="dxa"/>
            <w:left w:w="108" w:type="dxa"/>
            <w:bottom w:w="0" w:type="dxa"/>
            <w:right w:w="108" w:type="dxa"/>
          </w:tblCellMar>
        </w:tblPrEx>
        <w:trPr>
          <w:trHeight w:val="260" w:hRule="atLeast"/>
        </w:trPr>
        <w:tc>
          <w:tcPr>
            <w:tcW w:w="130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0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7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1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8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公开04表</w:t>
            </w:r>
          </w:p>
        </w:tc>
      </w:tr>
      <w:tr>
        <w:tblPrEx>
          <w:tblCellMar>
            <w:top w:w="0" w:type="dxa"/>
            <w:left w:w="108" w:type="dxa"/>
            <w:bottom w:w="0" w:type="dxa"/>
            <w:right w:w="108" w:type="dxa"/>
          </w:tblCellMar>
        </w:tblPrEx>
        <w:trPr>
          <w:trHeight w:val="260" w:hRule="atLeast"/>
        </w:trPr>
        <w:tc>
          <w:tcPr>
            <w:tcW w:w="1309"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17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0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1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3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7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1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87"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268" w:hRule="atLeast"/>
        </w:trPr>
        <w:tc>
          <w:tcPr>
            <w:tcW w:w="1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     入</w:t>
            </w:r>
          </w:p>
        </w:tc>
        <w:tc>
          <w:tcPr>
            <w:tcW w:w="301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312" w:hRule="atLeast"/>
        </w:trPr>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11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CellMar>
            <w:top w:w="0" w:type="dxa"/>
            <w:left w:w="108" w:type="dxa"/>
            <w:bottom w:w="0" w:type="dxa"/>
            <w:right w:w="108" w:type="dxa"/>
          </w:tblCellMar>
        </w:tblPrEx>
        <w:trPr>
          <w:trHeight w:val="536" w:hRule="atLeast"/>
        </w:trPr>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1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442.29</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375.95</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375.95</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26</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442.29</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442.29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442.29</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442.29</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442.29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442.29</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4512"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487"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5037" w:type="pct"/>
        <w:tblInd w:w="0" w:type="dxa"/>
        <w:tblLayout w:type="autofit"/>
        <w:tblCellMar>
          <w:top w:w="0" w:type="dxa"/>
          <w:left w:w="108" w:type="dxa"/>
          <w:bottom w:w="0" w:type="dxa"/>
          <w:right w:w="108" w:type="dxa"/>
        </w:tblCellMar>
      </w:tblPr>
      <w:tblGrid>
        <w:gridCol w:w="4446"/>
        <w:gridCol w:w="223"/>
        <w:gridCol w:w="223"/>
        <w:gridCol w:w="3984"/>
        <w:gridCol w:w="885"/>
        <w:gridCol w:w="1102"/>
        <w:gridCol w:w="3416"/>
      </w:tblGrid>
      <w:tr>
        <w:tblPrEx>
          <w:tblCellMar>
            <w:top w:w="0" w:type="dxa"/>
            <w:left w:w="108" w:type="dxa"/>
            <w:bottom w:w="0" w:type="dxa"/>
            <w:right w:w="108" w:type="dxa"/>
          </w:tblCellMar>
        </w:tblPrEx>
        <w:trPr>
          <w:trHeight w:val="617"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CellMar>
            <w:top w:w="0" w:type="dxa"/>
            <w:left w:w="108" w:type="dxa"/>
            <w:bottom w:w="0" w:type="dxa"/>
            <w:right w:w="108" w:type="dxa"/>
          </w:tblCellMar>
        </w:tblPrEx>
        <w:trPr>
          <w:trHeight w:val="308" w:hRule="atLeast"/>
        </w:trPr>
        <w:tc>
          <w:tcPr>
            <w:tcW w:w="15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39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1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9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公开05表</w:t>
            </w:r>
          </w:p>
        </w:tc>
      </w:tr>
      <w:tr>
        <w:tblPrEx>
          <w:tblCellMar>
            <w:top w:w="0" w:type="dxa"/>
            <w:left w:w="108" w:type="dxa"/>
            <w:bottom w:w="0" w:type="dxa"/>
            <w:right w:w="108" w:type="dxa"/>
          </w:tblCellMar>
        </w:tblPrEx>
        <w:trPr>
          <w:trHeight w:val="308" w:hRule="atLeast"/>
        </w:trPr>
        <w:tc>
          <w:tcPr>
            <w:tcW w:w="1557"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39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1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8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19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28" w:hRule="atLeast"/>
        </w:trPr>
        <w:tc>
          <w:tcPr>
            <w:tcW w:w="310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89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23"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293" w:hRule="atLeast"/>
        </w:trPr>
        <w:tc>
          <w:tcPr>
            <w:tcW w:w="31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23" w:hRule="atLeast"/>
        </w:trPr>
        <w:tc>
          <w:tcPr>
            <w:tcW w:w="31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442.29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233.93</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208.36</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卫生健康支出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375.95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167.59</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208.36</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基层医疗卫生机构</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203.08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167.59</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35.49</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2100302</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163.89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152.35</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11.54</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2100399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39.19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15.24</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23.95</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公共卫生</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92.87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92.87</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2100408</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83.59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83.59</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9.28</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21006</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中医药</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2100601</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其他卫生健康支出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2109999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住房保障支出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17.70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住房改革支出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17.70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17.70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25.11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bl>
    <w:p>
      <w:pPr>
        <w:jc w:val="left"/>
        <w:rPr>
          <w:rFonts w:hint="eastAsia" w:ascii="仿宋" w:hAnsi="仿宋" w:eastAsia="仿宋" w:cs="仿宋"/>
          <w:sz w:val="24"/>
          <w:highlight w:val="none"/>
        </w:rPr>
      </w:pPr>
      <w:r>
        <w:rPr>
          <w:rFonts w:hint="eastAsia" w:ascii="仿宋" w:hAnsi="仿宋" w:eastAsia="仿宋" w:cs="仿宋"/>
          <w:sz w:val="24"/>
          <w:highlight w:val="none"/>
        </w:rPr>
        <w:t>注：本表反映部门本年度一般公共预算财政拨款支出情况。</w:t>
      </w: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3175"/>
        <w:gridCol w:w="2546"/>
        <w:gridCol w:w="797"/>
        <w:gridCol w:w="901"/>
        <w:gridCol w:w="1353"/>
        <w:gridCol w:w="672"/>
        <w:gridCol w:w="862"/>
        <w:gridCol w:w="2760"/>
        <w:gridCol w:w="1108"/>
      </w:tblGrid>
      <w:tr>
        <w:tblPrEx>
          <w:tblCellMar>
            <w:top w:w="0" w:type="dxa"/>
            <w:left w:w="108" w:type="dxa"/>
            <w:bottom w:w="0" w:type="dxa"/>
            <w:right w:w="108" w:type="dxa"/>
          </w:tblCellMar>
        </w:tblPrEx>
        <w:trPr>
          <w:trHeight w:val="614"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1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7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9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18"/>
                <w:szCs w:val="18"/>
                <w:u w:val="none"/>
                <w:lang w:val="en-US" w:eastAsia="zh-CN" w:bidi="ar"/>
              </w:rPr>
              <w:t>公开06表</w:t>
            </w:r>
          </w:p>
        </w:tc>
      </w:tr>
      <w:tr>
        <w:tblPrEx>
          <w:tblCellMar>
            <w:top w:w="0" w:type="dxa"/>
            <w:left w:w="108" w:type="dxa"/>
            <w:bottom w:w="0" w:type="dxa"/>
            <w:right w:w="108" w:type="dxa"/>
          </w:tblCellMar>
        </w:tblPrEx>
        <w:trPr>
          <w:trHeight w:val="569" w:hRule="atLeast"/>
        </w:trPr>
        <w:tc>
          <w:tcPr>
            <w:tcW w:w="1120"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89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8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1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7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3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04"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97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90"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CellMar>
            <w:top w:w="0" w:type="dxa"/>
            <w:left w:w="108" w:type="dxa"/>
            <w:bottom w:w="0" w:type="dxa"/>
            <w:right w:w="108" w:type="dxa"/>
          </w:tblCellMar>
        </w:tblPrEx>
        <w:trPr>
          <w:trHeight w:val="319" w:hRule="atLeast"/>
        </w:trPr>
        <w:tc>
          <w:tcPr>
            <w:tcW w:w="229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27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决算数</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1237" w:hRule="atLeast"/>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218.69</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 xml:space="preserve">  基本工资</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148.25</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30201</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30701</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30202</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30702</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30203</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3.68</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30204</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31001</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21.43</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30205</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31002</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30206</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31003</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30207</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31005</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4.10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30208</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31006</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30209</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31007</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30211</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31008</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30212</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30213</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31010</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30214</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31011</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15.24</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30215</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31012</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30216</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31013</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30217</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30218</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31021</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30224</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31022</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15.24</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30225</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31099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30226</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30227</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39907</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30228</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39908</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30229</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30231</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39910</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30239</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39999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30240</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30299</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20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233.93</w:t>
            </w:r>
          </w:p>
        </w:tc>
        <w:tc>
          <w:tcPr>
            <w:tcW w:w="2309"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bookmarkEnd w:id="0"/>
      <w:bookmarkEnd w:id="1"/>
      <w:tr>
        <w:tblPrEx>
          <w:tblCellMar>
            <w:top w:w="0" w:type="dxa"/>
            <w:left w:w="108" w:type="dxa"/>
            <w:bottom w:w="0" w:type="dxa"/>
            <w:right w:w="108" w:type="dxa"/>
          </w:tblCellMar>
        </w:tblPrEx>
        <w:trPr>
          <w:trHeight w:val="624"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r>
        <w:tblPrEx>
          <w:tblCellMar>
            <w:top w:w="0" w:type="dxa"/>
            <w:left w:w="108" w:type="dxa"/>
            <w:bottom w:w="0" w:type="dxa"/>
            <w:right w:w="108" w:type="dxa"/>
          </w:tblCellMar>
        </w:tblPrEx>
        <w:trPr>
          <w:trHeight w:val="319" w:hRule="atLeast"/>
        </w:trPr>
        <w:tc>
          <w:tcPr>
            <w:tcW w:w="5000" w:type="pct"/>
            <w:gridSpan w:val="9"/>
            <w:tcBorders>
              <w:top w:val="single" w:color="auto" w:sz="4" w:space="0"/>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22"/>
                <w:szCs w:val="22"/>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4997" w:type="pct"/>
        <w:tblInd w:w="0" w:type="dxa"/>
        <w:tblLayout w:type="autofit"/>
        <w:tblCellMar>
          <w:top w:w="0" w:type="dxa"/>
          <w:left w:w="108" w:type="dxa"/>
          <w:bottom w:w="0" w:type="dxa"/>
          <w:right w:w="108" w:type="dxa"/>
        </w:tblCellMar>
      </w:tblPr>
      <w:tblGrid>
        <w:gridCol w:w="4416"/>
        <w:gridCol w:w="222"/>
        <w:gridCol w:w="222"/>
        <w:gridCol w:w="436"/>
        <w:gridCol w:w="1756"/>
        <w:gridCol w:w="1096"/>
        <w:gridCol w:w="436"/>
        <w:gridCol w:w="436"/>
        <w:gridCol w:w="436"/>
        <w:gridCol w:w="4293"/>
        <w:gridCol w:w="416"/>
      </w:tblGrid>
      <w:tr>
        <w:tblPrEx>
          <w:tblCellMar>
            <w:top w:w="0" w:type="dxa"/>
            <w:left w:w="108" w:type="dxa"/>
            <w:bottom w:w="0" w:type="dxa"/>
            <w:right w:w="108" w:type="dxa"/>
          </w:tblCellMar>
        </w:tblPrEx>
        <w:trPr>
          <w:gridAfter w:val="1"/>
          <w:wAfter w:w="146" w:type="pct"/>
          <w:trHeight w:val="536" w:hRule="atLeast"/>
        </w:trPr>
        <w:tc>
          <w:tcPr>
            <w:tcW w:w="4853" w:type="pct"/>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CellMar>
            <w:top w:w="0" w:type="dxa"/>
            <w:left w:w="108" w:type="dxa"/>
            <w:bottom w:w="0" w:type="dxa"/>
            <w:right w:w="108" w:type="dxa"/>
          </w:tblCellMar>
        </w:tblPrEx>
        <w:trPr>
          <w:trHeight w:val="268" w:hRule="atLeast"/>
        </w:trPr>
        <w:tc>
          <w:tcPr>
            <w:tcW w:w="155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61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1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公开07表</w:t>
            </w:r>
          </w:p>
        </w:tc>
        <w:tc>
          <w:tcPr>
            <w:tcW w:w="146" w:type="pct"/>
            <w:vAlign w:val="bottom"/>
          </w:tcPr>
          <w:p>
            <w:pPr>
              <w:keepNext w:val="0"/>
              <w:keepLines w:val="0"/>
              <w:widowControl/>
              <w:suppressLineNumbers w:val="0"/>
              <w:spacing w:before="0" w:beforeAutospacing="0" w:after="0" w:afterAutospacing="0"/>
              <w:ind w:left="0" w:right="0"/>
              <w:jc w:val="right"/>
              <w:textAlignment w:val="bottom"/>
              <w:rPr>
                <w:rFonts w:hint="default"/>
              </w:rPr>
            </w:pPr>
            <w:r>
              <w:rPr>
                <w:rFonts w:hint="eastAsia" w:ascii="宋体" w:hAnsi="宋体" w:eastAsia="宋体" w:cs="宋体"/>
                <w:i w:val="0"/>
                <w:iCs w:val="0"/>
                <w:color w:val="000000"/>
                <w:kern w:val="0"/>
                <w:sz w:val="20"/>
                <w:szCs w:val="20"/>
                <w:u w:val="none"/>
                <w:lang w:val="en-US" w:eastAsia="zh-CN" w:bidi="ar"/>
              </w:rPr>
              <w:t>公开07表</w:t>
            </w:r>
          </w:p>
        </w:tc>
      </w:tr>
      <w:tr>
        <w:tblPrEx>
          <w:tblCellMar>
            <w:top w:w="0" w:type="dxa"/>
            <w:left w:w="108" w:type="dxa"/>
            <w:bottom w:w="0" w:type="dxa"/>
            <w:right w:w="108" w:type="dxa"/>
          </w:tblCellMar>
        </w:tblPrEx>
        <w:trPr>
          <w:gridAfter w:val="1"/>
          <w:wAfter w:w="146" w:type="pct"/>
          <w:trHeight w:val="268" w:hRule="atLeast"/>
        </w:trPr>
        <w:tc>
          <w:tcPr>
            <w:tcW w:w="1558"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61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8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16"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gridAfter w:val="1"/>
          <w:wAfter w:w="146" w:type="pct"/>
          <w:trHeight w:val="277" w:hRule="atLeast"/>
        </w:trPr>
        <w:tc>
          <w:tcPr>
            <w:tcW w:w="186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61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年初结转和结余</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本年收入</w:t>
            </w:r>
          </w:p>
        </w:tc>
        <w:tc>
          <w:tcPr>
            <w:tcW w:w="46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c>
          <w:tcPr>
            <w:tcW w:w="15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CellMar>
            <w:top w:w="0" w:type="dxa"/>
            <w:left w:w="108" w:type="dxa"/>
            <w:bottom w:w="0" w:type="dxa"/>
            <w:right w:w="108" w:type="dxa"/>
          </w:tblCellMar>
        </w:tblPrEx>
        <w:trPr>
          <w:gridAfter w:val="1"/>
          <w:wAfter w:w="146" w:type="pct"/>
          <w:trHeight w:val="312" w:hRule="atLeast"/>
        </w:trPr>
        <w:tc>
          <w:tcPr>
            <w:tcW w:w="17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61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15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46" w:type="pct"/>
          <w:trHeight w:val="312" w:hRule="atLeast"/>
        </w:trPr>
        <w:tc>
          <w:tcPr>
            <w:tcW w:w="186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6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5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gridAfter w:val="1"/>
          <w:wAfter w:w="146" w:type="pct"/>
          <w:trHeight w:val="312" w:hRule="atLeast"/>
        </w:trPr>
        <w:tc>
          <w:tcPr>
            <w:tcW w:w="186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6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eastAsia="宋体"/>
                <w:lang w:val="en-US" w:eastAsia="zh-CN"/>
              </w:rPr>
            </w:pPr>
            <w:r>
              <w:rPr>
                <w:rFonts w:hint="eastAsia"/>
                <w:lang w:val="en-US" w:eastAsia="zh-CN"/>
              </w:rPr>
              <w:t>0</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eastAsia="宋体"/>
                <w:lang w:val="en-US" w:eastAsia="zh-CN"/>
              </w:rPr>
            </w:pPr>
            <w:r>
              <w:rPr>
                <w:rFonts w:hint="eastAsia"/>
                <w:lang w:val="en-US" w:eastAsia="zh-CN"/>
              </w:rPr>
              <w:t>0</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w:t>
            </w:r>
          </w:p>
        </w:tc>
        <w:tc>
          <w:tcPr>
            <w:tcW w:w="15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w:t>
            </w:r>
          </w:p>
        </w:tc>
      </w:tr>
      <w:tr>
        <w:trPr>
          <w:gridAfter w:val="1"/>
          <w:wAfter w:w="146" w:type="pct"/>
          <w:trHeight w:val="277" w:hRule="atLeast"/>
        </w:trPr>
        <w:tc>
          <w:tcPr>
            <w:tcW w:w="17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6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5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46" w:type="pct"/>
          <w:trHeight w:val="277" w:hRule="atLeast"/>
        </w:trPr>
        <w:tc>
          <w:tcPr>
            <w:tcW w:w="4853" w:type="pct"/>
            <w:gridSpan w:val="10"/>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CellMar>
            <w:top w:w="0" w:type="dxa"/>
            <w:left w:w="108" w:type="dxa"/>
            <w:bottom w:w="0" w:type="dxa"/>
            <w:right w:w="108" w:type="dxa"/>
          </w:tblCellMar>
        </w:tblPrEx>
        <w:trPr>
          <w:gridAfter w:val="1"/>
          <w:wAfter w:w="146" w:type="pct"/>
          <w:trHeight w:val="277" w:hRule="atLeast"/>
        </w:trPr>
        <w:tc>
          <w:tcPr>
            <w:tcW w:w="4853" w:type="pct"/>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5001" w:type="pct"/>
        <w:tblInd w:w="0" w:type="dxa"/>
        <w:tblLayout w:type="autofit"/>
        <w:tblCellMar>
          <w:top w:w="0" w:type="dxa"/>
          <w:left w:w="108" w:type="dxa"/>
          <w:bottom w:w="0" w:type="dxa"/>
          <w:right w:w="108" w:type="dxa"/>
        </w:tblCellMar>
      </w:tblPr>
      <w:tblGrid>
        <w:gridCol w:w="4416"/>
        <w:gridCol w:w="222"/>
        <w:gridCol w:w="222"/>
        <w:gridCol w:w="436"/>
        <w:gridCol w:w="656"/>
        <w:gridCol w:w="1096"/>
        <w:gridCol w:w="7129"/>
      </w:tblGrid>
      <w:tr>
        <w:tblPrEx>
          <w:tblCellMar>
            <w:top w:w="0" w:type="dxa"/>
            <w:left w:w="108" w:type="dxa"/>
            <w:bottom w:w="0" w:type="dxa"/>
            <w:right w:w="108" w:type="dxa"/>
          </w:tblCellMar>
        </w:tblPrEx>
        <w:trPr>
          <w:trHeight w:val="384"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CellMar>
            <w:top w:w="0" w:type="dxa"/>
            <w:left w:w="108" w:type="dxa"/>
            <w:bottom w:w="0" w:type="dxa"/>
            <w:right w:w="108" w:type="dxa"/>
          </w:tblCellMar>
        </w:tblPrEx>
        <w:trPr>
          <w:trHeight w:val="264" w:hRule="atLeast"/>
        </w:trPr>
        <w:tc>
          <w:tcPr>
            <w:tcW w:w="15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1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公开08表</w:t>
            </w:r>
          </w:p>
        </w:tc>
      </w:tr>
      <w:tr>
        <w:tblPrEx>
          <w:tblCellMar>
            <w:top w:w="0" w:type="dxa"/>
            <w:left w:w="108" w:type="dxa"/>
            <w:bottom w:w="0" w:type="dxa"/>
            <w:right w:w="108" w:type="dxa"/>
          </w:tblCellMar>
        </w:tblPrEx>
        <w:trPr>
          <w:trHeight w:val="264" w:hRule="atLeast"/>
        </w:trPr>
        <w:tc>
          <w:tcPr>
            <w:tcW w:w="155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51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18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31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12" w:hRule="atLeast"/>
        </w:trPr>
        <w:tc>
          <w:tcPr>
            <w:tcW w:w="1714"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251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2" w:hRule="atLeast"/>
        </w:trPr>
        <w:tc>
          <w:tcPr>
            <w:tcW w:w="1867"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251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12" w:hRule="atLeast"/>
        </w:trPr>
        <w:tc>
          <w:tcPr>
            <w:tcW w:w="1867"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231"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38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eastAsia="宋体"/>
                <w:lang w:val="en-US" w:eastAsia="zh-CN"/>
              </w:rPr>
            </w:pPr>
            <w:r>
              <w:rPr>
                <w:rFonts w:hint="eastAsia"/>
                <w:lang w:val="en-US" w:eastAsia="zh-CN"/>
              </w:rPr>
              <w:t>0.00</w:t>
            </w:r>
          </w:p>
        </w:tc>
        <w:tc>
          <w:tcPr>
            <w:tcW w:w="2514" w:type="pct"/>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2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38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251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广西河池市环江毛南族自治县下南卫生院</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sz w:val="22"/>
                <w:szCs w:val="22"/>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环江毛南族自治县下南乡卫生院</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630.76</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增加76</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增长13.7</w:t>
      </w:r>
      <w:r>
        <w:rPr>
          <w:rFonts w:ascii="仿宋" w:hAnsi="仿宋" w:eastAsia="仿宋" w:cs="仿宋"/>
          <w:sz w:val="32"/>
          <w:u w:color="auto"/>
        </w:rPr>
        <w:t>%</w:t>
      </w:r>
      <w:r>
        <w:rPr>
          <w:rFonts w:hint="eastAsia" w:ascii="仿宋" w:hAnsi="仿宋" w:eastAsia="仿宋" w:cs="仿宋"/>
          <w:sz w:val="32"/>
          <w:szCs w:val="32"/>
          <w:highlight w:val="none"/>
        </w:rPr>
        <w:t>，收入具体情况如下</w:t>
      </w:r>
    </w:p>
    <w:p>
      <w:pPr>
        <w:autoSpaceDE w:val="0"/>
        <w:autoSpaceDN w:val="0"/>
        <w:adjustRightInd w:val="0"/>
        <w:spacing w:line="600" w:lineRule="exact"/>
        <w:ind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1.一般公共预算财政拨款收入442.29万元，为</w:t>
      </w:r>
      <w:r>
        <w:rPr>
          <w:rFonts w:hint="eastAsia" w:ascii="仿宋" w:hAnsi="仿宋" w:eastAsia="仿宋" w:cs="仿宋"/>
          <w:sz w:val="32"/>
          <w:szCs w:val="32"/>
          <w:highlight w:val="none"/>
          <w:lang w:eastAsia="zh-CN"/>
        </w:rPr>
        <w:t>环江县</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w:t>
      </w:r>
      <w:r>
        <w:rPr>
          <w:rFonts w:hint="eastAsia" w:ascii="仿宋" w:hAnsi="仿宋" w:eastAsia="仿宋" w:cs="仿宋"/>
          <w:sz w:val="32"/>
          <w:u w:color="auto"/>
          <w:lang w:val="en-US" w:eastAsia="zh-CN"/>
        </w:rPr>
        <w:t>021年度决算数减少</w:t>
      </w:r>
      <w:r>
        <w:rPr>
          <w:rFonts w:hint="eastAsia" w:ascii="仿宋" w:hAnsi="仿宋" w:eastAsia="仿宋" w:cs="仿宋"/>
          <w:sz w:val="32"/>
          <w:u w:color="auto"/>
          <w:lang w:val="en-US" w:eastAsia="zh-CN"/>
        </w:rPr>
        <w:t>57.72万元，增长</w:t>
      </w:r>
      <w:r>
        <w:rPr>
          <w:rFonts w:hint="eastAsia" w:ascii="仿宋" w:hAnsi="仿宋" w:eastAsia="仿宋" w:cs="仿宋"/>
          <w:sz w:val="32"/>
          <w:u w:color="auto"/>
          <w:lang w:val="en-US" w:eastAsia="zh-CN"/>
        </w:rPr>
        <w:t>15.01%，主要原因：疫情投入增加，政府性基金预算财政拨款收入增加。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2.事业收入</w:t>
      </w:r>
      <w:r>
        <w:rPr>
          <w:rFonts w:hint="eastAsia" w:ascii="仿宋" w:hAnsi="仿宋" w:eastAsia="仿宋" w:cs="仿宋"/>
          <w:sz w:val="32"/>
          <w:u w:color="auto"/>
        </w:rPr>
        <w:t>188.47</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18.28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9.7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eastAsia="zh-CN"/>
        </w:rPr>
        <w:t>医疗卫机构业务收入增加。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3.上年结转和结余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kern w:val="0"/>
          <w:sz w:val="32"/>
          <w:szCs w:val="32"/>
          <w:lang w:val="en-US" w:eastAsia="zh-CN"/>
        </w:rPr>
        <w:t>各项经费按规定完成使用。</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rPr>
        <w:t>630.61</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630.61</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增加75.85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13.67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 w:hAnsi="仿宋" w:eastAsia="仿宋" w:cs="仿宋"/>
          <w:sz w:val="32"/>
          <w:u w:color="auto"/>
          <w:lang w:val="en-US" w:eastAsia="zh-CN"/>
        </w:rPr>
        <w:t>1</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23.53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2.41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eastAsia="zh-CN"/>
        </w:rPr>
        <w:t>属于正常变动。</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 w:hAnsi="仿宋" w:eastAsia="仿宋" w:cs="仿宋"/>
          <w:sz w:val="32"/>
          <w:u w:color="auto"/>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564.27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一是医疗卫生机构按国家规定发放的在职人员工资津补贴及离退休人员工</w:t>
      </w:r>
      <w:r>
        <w:rPr>
          <w:rFonts w:hint="eastAsia" w:ascii="仿宋_GB2312" w:eastAsia="仿宋_GB2312" w:cs="仿宋_GB2312"/>
          <w:kern w:val="0"/>
          <w:sz w:val="32"/>
          <w:szCs w:val="32"/>
          <w:lang w:eastAsia="zh-CN"/>
        </w:rPr>
        <w:t>资</w:t>
      </w:r>
      <w:r>
        <w:rPr>
          <w:rFonts w:hint="eastAsia" w:ascii="仿宋_GB2312" w:eastAsia="仿宋_GB2312" w:cs="仿宋_GB2312"/>
          <w:kern w:val="0"/>
          <w:sz w:val="32"/>
          <w:szCs w:val="32"/>
        </w:rPr>
        <w:t>方面的支出；二是卫生计生项目类支出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增加93.15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szCs w:val="32"/>
          <w:highlight w:val="none"/>
          <w:lang w:val="en-US" w:eastAsia="zh-CN" w:bidi="ar"/>
        </w:rPr>
        <w:t>19.77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eastAsia="zh-CN"/>
        </w:rPr>
        <w:t>属于正常变动。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17.7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按照国家政策规定代职工上缴住房公积金等支出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1.94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eastAsia="zh-CN"/>
        </w:rPr>
        <w:t>属于正常变动</w:t>
      </w:r>
      <w:r>
        <w:rPr>
          <w:rFonts w:hint="eastAsia" w:ascii="仿宋_GB2312" w:eastAsia="仿宋_GB2312" w:cs="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4.其他支出25.11万元，</w:t>
      </w:r>
      <w:r>
        <w:rPr>
          <w:rFonts w:hint="eastAsia" w:ascii="仿宋_GB2312" w:eastAsia="仿宋_GB2312" w:cs="仿宋_GB2312"/>
          <w:kern w:val="0"/>
          <w:sz w:val="32"/>
          <w:szCs w:val="32"/>
        </w:rPr>
        <w:t>主要是政府绩效考评奖支出。较</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val="en-US" w:eastAsia="zh-CN"/>
        </w:rPr>
        <w:t>41.48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减少16.37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下降39.46</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年度绩效奖金发放时间存在跨年度现象。</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lang w:val="en-US" w:eastAsia="zh-CN"/>
        </w:rPr>
        <w:t>0.15</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w:t>
      </w:r>
      <w:r>
        <w:rPr>
          <w:rFonts w:hint="eastAsia" w:ascii="仿宋_GB2312" w:hAnsi="微软雅黑" w:eastAsia="仿宋_GB2312" w:cs="仿宋_GB2312"/>
          <w:color w:val="000000"/>
          <w:sz w:val="31"/>
          <w:szCs w:val="31"/>
          <w:highlight w:val="none"/>
          <w:shd w:val="clear" w:color="auto" w:fill="FFFFFF"/>
          <w:lang w:val="en-US" w:eastAsia="zh-CN"/>
        </w:rPr>
        <w:t>0.15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：剩余遗属补助金额。</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lang w:val="en-US" w:eastAsia="zh-CN"/>
        </w:rPr>
        <w:t>各项经费按规定完成使用。</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环江毛南族自治县下南乡卫生院</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rPr>
        <w:t>442.29</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57.72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增长15.01</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233.93</w:t>
      </w:r>
      <w:r>
        <w:rPr>
          <w:rFonts w:hint="eastAsia" w:ascii="仿宋" w:hAnsi="仿宋" w:eastAsia="仿宋" w:cs="仿宋"/>
          <w:sz w:val="32"/>
          <w:szCs w:val="32"/>
          <w:highlight w:val="none"/>
        </w:rPr>
        <w:t>万元，项目支出</w:t>
      </w:r>
      <w:r>
        <w:rPr>
          <w:rFonts w:hint="eastAsia" w:ascii="仿宋" w:hAnsi="仿宋" w:eastAsia="仿宋" w:cs="仿宋"/>
          <w:sz w:val="32"/>
          <w:u w:color="auto"/>
        </w:rPr>
        <w:t>208.36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环江毛南族自治县下南乡卫生院</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243.73</w:t>
      </w:r>
      <w:r>
        <w:rPr>
          <w:rFonts w:hint="eastAsia" w:ascii="仿宋" w:hAnsi="仿宋" w:eastAsia="仿宋" w:cs="仿宋"/>
          <w:sz w:val="32"/>
          <w:szCs w:val="32"/>
          <w:highlight w:val="none"/>
        </w:rPr>
        <w:t>万元，支出决算为</w:t>
      </w:r>
      <w:r>
        <w:rPr>
          <w:rFonts w:hint="eastAsia" w:ascii="仿宋" w:hAnsi="仿宋" w:eastAsia="仿宋" w:cs="仿宋"/>
          <w:sz w:val="32"/>
          <w:u w:color="auto"/>
        </w:rPr>
        <w:t>630.61</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258.73</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r>
        <w:rPr>
          <w:rFonts w:hint="eastAsia" w:ascii="仿宋" w:hAnsi="仿宋" w:eastAsia="仿宋"/>
          <w:sz w:val="32"/>
          <w:szCs w:val="32"/>
          <w:highlight w:val="none"/>
        </w:rPr>
        <w:t xml:space="preserve"> </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37.84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23.53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63.18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存在人员变动及年初预算中包含了职业年金在内。</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94.42%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存在人员变动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aps w:val="0"/>
                <w:color w:val="5C6166"/>
                <w:spacing w:val="0"/>
                <w:sz w:val="20"/>
                <w:szCs w:val="20"/>
                <w:shd w:val="clear" w:fill="FFFFFF"/>
              </w:rPr>
              <w:t>机关事业单位职业年金缴费支出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机关事业单位职业年金缴费支出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年末类款项有差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tabs>
          <w:tab w:val="left" w:pos="2478"/>
        </w:tabs>
        <w:jc w:val="left"/>
        <w:rPr>
          <w:rFonts w:hint="eastAsia" w:ascii="仿宋" w:hAnsi="仿宋" w:eastAsia="仿宋"/>
          <w:sz w:val="32"/>
          <w:szCs w:val="32"/>
          <w:highlight w:val="none"/>
          <w:lang w:eastAsia="zh-CN"/>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182.42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564.27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309.32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原因是：决算数</w:t>
      </w:r>
      <w:r>
        <w:rPr>
          <w:rFonts w:hint="eastAsia" w:ascii="仿宋" w:hAnsi="仿宋" w:eastAsia="仿宋" w:cs="仿宋"/>
          <w:color w:val="auto"/>
          <w:kern w:val="2"/>
          <w:sz w:val="32"/>
          <w:szCs w:val="32"/>
          <w:highlight w:val="none"/>
          <w:lang w:val="en-US" w:eastAsia="zh-CN" w:bidi="ar"/>
        </w:rPr>
        <w:t>有事业收入支出及财政追加项目资金支出。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564.27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309.32%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卫生健康支出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0" w:right="0" w:rightChars="0"/>
              <w:jc w:val="left"/>
              <w:rPr>
                <w:rFonts w:hint="eastAsia" w:eastAsia="仿宋"/>
                <w:color w:val="auto"/>
                <w:highlight w:val="none"/>
                <w:lang w:val="en-US" w:eastAsia="zh-CN"/>
              </w:rPr>
            </w:pPr>
            <w:r>
              <w:rPr>
                <w:rFonts w:hint="eastAsia"/>
                <w:lang w:val="en-US" w:eastAsia="zh-CN"/>
              </w:rPr>
              <w:t>决算数有事业收入支出及财政追加项目资金支出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564.27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20.36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17.7</w:t>
      </w:r>
      <w:r>
        <w:rPr>
          <w:rFonts w:hint="eastAsia" w:ascii="仿宋" w:hAnsi="仿宋" w:eastAsia="仿宋"/>
          <w:sz w:val="32"/>
          <w:szCs w:val="32"/>
          <w:highlight w:val="none"/>
        </w:rPr>
        <w:t>万元，完成年初预算的</w:t>
      </w:r>
      <w:r>
        <w:rPr>
          <w:rFonts w:ascii="仿宋" w:hAnsi="仿宋" w:eastAsia="仿宋"/>
          <w:sz w:val="32"/>
          <w:szCs w:val="32"/>
          <w:highlight w:val="none"/>
        </w:rPr>
        <w:t>97.18%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存在人员变动。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按照国家政策规定代职工上缴住房公积金等支出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存在人员变动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环江毛南族自治县下南乡卫生院</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233.93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233.93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218.69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98.44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存在人员变动。</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30101基本工资148.25万元，30107绩效工资21.43万元，30108机关事业单位基本养老保险缴费23.53万元，30110职工基本医疗保险缴费4.1万元，30113住房公积金17.7万元。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15.24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82.56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主要原因是：存在人员变动。</w:t>
      </w: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30305生活补助15.24万元。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仿宋_GB2312" w:eastAsia="仿宋_GB2312" w:cs="仿宋_GB2312"/>
          <w:color w:val="auto"/>
          <w:sz w:val="32"/>
          <w:u w:color="auto"/>
          <w:lang w:val="en-US" w:eastAsia="zh-CN"/>
        </w:rPr>
        <w:t>环江毛南族自治县下南乡卫生院</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_GB2312" w:cs="仿宋"/>
          <w:sz w:val="32"/>
          <w:szCs w:val="32"/>
          <w:highlight w:val="none"/>
          <w:lang w:eastAsia="zh-CN"/>
        </w:rPr>
      </w:pPr>
      <w:bookmarkStart w:id="4" w:name="PO_part3A5B1C1DiffReason1"/>
      <w:r>
        <w:rPr>
          <w:rFonts w:hint="eastAsia" w:ascii="仿宋_GB2312" w:hAnsi="仿宋_GB2312" w:eastAsia="仿宋_GB2312" w:cs="仿宋_GB2312"/>
          <w:color w:val="auto"/>
          <w:sz w:val="32"/>
          <w:u w:color="auto"/>
          <w:lang w:val="en-US" w:eastAsia="zh-CN"/>
        </w:rPr>
        <w:t>环江毛南族自治县下南乡卫生院</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r>
        <w:rPr>
          <w:rFonts w:hint="eastAsia" w:ascii="仿宋_GB2312" w:hAnsi="Times New Roman" w:eastAsia="仿宋_GB2312" w:cs="Times New Roman"/>
          <w:color w:val="auto"/>
          <w:sz w:val="32"/>
          <w:szCs w:val="32"/>
          <w:lang w:eastAsia="zh-CN"/>
        </w:rPr>
        <w:t>。</w:t>
      </w:r>
    </w:p>
    <w:p>
      <w:pPr>
        <w:numPr>
          <w:ilvl w:val="0"/>
          <w:numId w:val="3"/>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shd w:val="clear" w:color="auto" w:fill="auto"/>
          <w:lang w:val="en-US" w:eastAsia="zh-CN" w:bidi="ar"/>
        </w:rPr>
        <w:t>本单位没有“三公”经费预算收入、安排的支出。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_GB2312" w:cs="仿宋"/>
          <w:color w:val="auto"/>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auto"/>
          <w:sz w:val="32"/>
          <w:szCs w:val="32"/>
          <w:lang w:val="en-US" w:eastAsia="zh-CN"/>
        </w:rPr>
        <w:t>本单位</w:t>
      </w:r>
      <w:r>
        <w:rPr>
          <w:rFonts w:hint="eastAsia" w:ascii="仿宋_GB2312" w:hAnsi="Times New Roman" w:eastAsia="仿宋_GB2312" w:cs="Times New Roman"/>
          <w:color w:val="auto"/>
          <w:sz w:val="32"/>
          <w:szCs w:val="32"/>
        </w:rPr>
        <w:t>无相关</w:t>
      </w:r>
      <w:r>
        <w:rPr>
          <w:rFonts w:hint="eastAsia" w:ascii="仿宋_GB2312" w:hAnsi="Times New Roman" w:eastAsia="仿宋_GB2312" w:cs="Times New Roman"/>
          <w:color w:val="auto"/>
          <w:sz w:val="32"/>
          <w:szCs w:val="32"/>
          <w:lang w:val="en-US" w:eastAsia="zh-CN"/>
        </w:rPr>
        <w:t>费用</w:t>
      </w:r>
      <w:r>
        <w:rPr>
          <w:rFonts w:hint="eastAsia" w:ascii="仿宋_GB2312" w:hAnsi="Times New Roman" w:eastAsia="仿宋_GB2312" w:cs="Times New Roman"/>
          <w:color w:val="auto"/>
          <w:sz w:val="32"/>
          <w:szCs w:val="32"/>
        </w:rPr>
        <w:t>支出</w:t>
      </w:r>
      <w:r>
        <w:rPr>
          <w:rFonts w:hint="eastAsia" w:ascii="仿宋_GB2312" w:hAnsi="Times New Roman" w:eastAsia="仿宋_GB2312" w:cs="Times New Roman"/>
          <w:color w:val="auto"/>
          <w:sz w:val="32"/>
          <w:szCs w:val="32"/>
          <w:lang w:eastAsia="zh-CN"/>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无相关费用支出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环江毛南族自治县下南乡卫生院</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主要原因是：本单位无相关费用支出。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b w:val="0"/>
          <w:bCs w:val="0"/>
          <w:color w:val="FF0000"/>
          <w:sz w:val="32"/>
          <w:szCs w:val="32"/>
          <w:highlight w:val="none"/>
        </w:rPr>
      </w:pPr>
      <w:r>
        <w:rPr>
          <w:rFonts w:hint="default" w:ascii="Times New Roman" w:hAnsi="Times New Roman" w:eastAsia="仿宋_GB2312" w:cs="Times New Roman"/>
          <w:b w:val="0"/>
          <w:bCs w:val="0"/>
          <w:kern w:val="0"/>
          <w:sz w:val="32"/>
          <w:szCs w:val="32"/>
          <w:highlight w:val="none"/>
        </w:rPr>
        <w:t>本部门无机关运行经费支出。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4.66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4.66</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4.66</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4.66</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辆，其中：特种专业技术用车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辆；单位价值50万元以上通用设备</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53.12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88.49</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我部门根据年初设定的绩效目标，补助市县乡镇卫生院人员工资补助经费项目自评得分为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分。医药卫生体制改革和事业发展以奖代补项目自评得分为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。中央财政基本药物制度补助资金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。中央财政基本公共卫生服务项目补助资金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。中医馆建设</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E437CB0C"/>
    <w:multiLevelType w:val="singleLevel"/>
    <w:tmpl w:val="E437CB0C"/>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iYTk4ZTk4OWFkZThkZGRjOTVhYTliN2IzYjkzNj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68C3E93"/>
    <w:rsid w:val="07B0770E"/>
    <w:rsid w:val="0942143F"/>
    <w:rsid w:val="0D100297"/>
    <w:rsid w:val="0D202B45"/>
    <w:rsid w:val="0F8D4C87"/>
    <w:rsid w:val="10505FAA"/>
    <w:rsid w:val="105F7E7E"/>
    <w:rsid w:val="118205C9"/>
    <w:rsid w:val="11E56B5B"/>
    <w:rsid w:val="125C77AB"/>
    <w:rsid w:val="14CB726E"/>
    <w:rsid w:val="16073196"/>
    <w:rsid w:val="164F6706"/>
    <w:rsid w:val="170E4165"/>
    <w:rsid w:val="17E92249"/>
    <w:rsid w:val="18D304F1"/>
    <w:rsid w:val="19F32577"/>
    <w:rsid w:val="19F45B80"/>
    <w:rsid w:val="1B0C078D"/>
    <w:rsid w:val="1B2B31E2"/>
    <w:rsid w:val="1B4C295A"/>
    <w:rsid w:val="1B973C63"/>
    <w:rsid w:val="1BA1001E"/>
    <w:rsid w:val="1BC510B0"/>
    <w:rsid w:val="1D317259"/>
    <w:rsid w:val="1D415D16"/>
    <w:rsid w:val="1D6334B4"/>
    <w:rsid w:val="1D897858"/>
    <w:rsid w:val="1E664F5B"/>
    <w:rsid w:val="1EB34BE1"/>
    <w:rsid w:val="1F712CCB"/>
    <w:rsid w:val="215E639F"/>
    <w:rsid w:val="21EC3183"/>
    <w:rsid w:val="225E72CD"/>
    <w:rsid w:val="246E2F77"/>
    <w:rsid w:val="254B4E2B"/>
    <w:rsid w:val="257D5206"/>
    <w:rsid w:val="26A7576F"/>
    <w:rsid w:val="283D7C94"/>
    <w:rsid w:val="29480E03"/>
    <w:rsid w:val="2983634D"/>
    <w:rsid w:val="2BB02055"/>
    <w:rsid w:val="2C575A56"/>
    <w:rsid w:val="2D9D0D88"/>
    <w:rsid w:val="2EBC1150"/>
    <w:rsid w:val="2F257714"/>
    <w:rsid w:val="2F3275E5"/>
    <w:rsid w:val="2F657FFD"/>
    <w:rsid w:val="304F34E6"/>
    <w:rsid w:val="30AA08EF"/>
    <w:rsid w:val="30D23D1C"/>
    <w:rsid w:val="31221CF5"/>
    <w:rsid w:val="31400178"/>
    <w:rsid w:val="321E3342"/>
    <w:rsid w:val="327759C8"/>
    <w:rsid w:val="33185FE3"/>
    <w:rsid w:val="33DC5122"/>
    <w:rsid w:val="34630B63"/>
    <w:rsid w:val="34EE2E36"/>
    <w:rsid w:val="36777241"/>
    <w:rsid w:val="3810653D"/>
    <w:rsid w:val="38A951DB"/>
    <w:rsid w:val="38B31605"/>
    <w:rsid w:val="39003F4F"/>
    <w:rsid w:val="3C07002B"/>
    <w:rsid w:val="3D0D152A"/>
    <w:rsid w:val="3DF62756"/>
    <w:rsid w:val="3EB64B98"/>
    <w:rsid w:val="3F117598"/>
    <w:rsid w:val="3F1B7587"/>
    <w:rsid w:val="41E57B4F"/>
    <w:rsid w:val="432F26F6"/>
    <w:rsid w:val="43880F63"/>
    <w:rsid w:val="441C5A6F"/>
    <w:rsid w:val="448F1594"/>
    <w:rsid w:val="44C44FCC"/>
    <w:rsid w:val="44CC7369"/>
    <w:rsid w:val="457F5108"/>
    <w:rsid w:val="46951B6B"/>
    <w:rsid w:val="47852AA6"/>
    <w:rsid w:val="49A34401"/>
    <w:rsid w:val="4A3E30AB"/>
    <w:rsid w:val="4AC14DAC"/>
    <w:rsid w:val="4D131575"/>
    <w:rsid w:val="4D154C85"/>
    <w:rsid w:val="4E600B13"/>
    <w:rsid w:val="4EC8553A"/>
    <w:rsid w:val="508F4E24"/>
    <w:rsid w:val="51461E90"/>
    <w:rsid w:val="51463753"/>
    <w:rsid w:val="52553A93"/>
    <w:rsid w:val="52BC29D7"/>
    <w:rsid w:val="53521F8B"/>
    <w:rsid w:val="53E22F47"/>
    <w:rsid w:val="54522FF8"/>
    <w:rsid w:val="55450629"/>
    <w:rsid w:val="56692963"/>
    <w:rsid w:val="568B0F48"/>
    <w:rsid w:val="5710243F"/>
    <w:rsid w:val="5786217B"/>
    <w:rsid w:val="592438AB"/>
    <w:rsid w:val="59337A15"/>
    <w:rsid w:val="59810274"/>
    <w:rsid w:val="5CA96A00"/>
    <w:rsid w:val="5CF730BC"/>
    <w:rsid w:val="5DE8463D"/>
    <w:rsid w:val="5E5F0DCE"/>
    <w:rsid w:val="5E735DF6"/>
    <w:rsid w:val="5F0E5B91"/>
    <w:rsid w:val="5F1F78A6"/>
    <w:rsid w:val="5FA40A7B"/>
    <w:rsid w:val="5FD56D29"/>
    <w:rsid w:val="5FEC7F3F"/>
    <w:rsid w:val="60F74BC3"/>
    <w:rsid w:val="617D3BF8"/>
    <w:rsid w:val="61841F6A"/>
    <w:rsid w:val="623007A9"/>
    <w:rsid w:val="636E1772"/>
    <w:rsid w:val="637D7558"/>
    <w:rsid w:val="641E2E02"/>
    <w:rsid w:val="644F19AC"/>
    <w:rsid w:val="65AA4920"/>
    <w:rsid w:val="67694F1E"/>
    <w:rsid w:val="69597934"/>
    <w:rsid w:val="6B690F18"/>
    <w:rsid w:val="6B964DDC"/>
    <w:rsid w:val="6BDA28FC"/>
    <w:rsid w:val="6C783074"/>
    <w:rsid w:val="6D9E65C6"/>
    <w:rsid w:val="6DA81947"/>
    <w:rsid w:val="6EB66DE2"/>
    <w:rsid w:val="6ED3075F"/>
    <w:rsid w:val="6F2A2D4B"/>
    <w:rsid w:val="6F8A0C1E"/>
    <w:rsid w:val="703F45D4"/>
    <w:rsid w:val="715D6546"/>
    <w:rsid w:val="71BE069E"/>
    <w:rsid w:val="73953409"/>
    <w:rsid w:val="73E069A3"/>
    <w:rsid w:val="747312C1"/>
    <w:rsid w:val="78104AA8"/>
    <w:rsid w:val="787A4FE2"/>
    <w:rsid w:val="78D12A40"/>
    <w:rsid w:val="78E257C5"/>
    <w:rsid w:val="794B35BE"/>
    <w:rsid w:val="7B0A3A31"/>
    <w:rsid w:val="7B3360ED"/>
    <w:rsid w:val="7B5319F3"/>
    <w:rsid w:val="7B912A45"/>
    <w:rsid w:val="7BDF037E"/>
    <w:rsid w:val="7BF50948"/>
    <w:rsid w:val="7C8406A6"/>
    <w:rsid w:val="7CE66A78"/>
    <w:rsid w:val="7D175856"/>
    <w:rsid w:val="7D23564C"/>
    <w:rsid w:val="7D5E062D"/>
    <w:rsid w:val="7DF76CD8"/>
    <w:rsid w:val="7EBE4341"/>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2023-11-27T01:18:42Z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