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lang w:val="en-US" w:eastAsia="zh-CN"/>
        </w:rPr>
        <w:t>环江毛南族自治县明伦镇中心卫生院</w:t>
      </w:r>
      <w:r>
        <w:rPr>
          <w:rFonts w:hint="eastAsia" w:ascii="黑体" w:hAnsi="黑体" w:eastAsia="黑体" w:cs="黑体"/>
          <w:b/>
          <w:bCs/>
          <w:color w:val="auto"/>
          <w:sz w:val="52"/>
          <w:szCs w:val="52"/>
          <w:highlight w:val="none"/>
        </w:rPr>
        <w:t>2022年度部门决算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2023年</w:t>
      </w:r>
      <w:r>
        <w:rPr>
          <w:rFonts w:hint="eastAsia" w:ascii="黑体" w:hAnsi="黑体" w:eastAsia="黑体" w:cs="黑体"/>
          <w:b/>
          <w:bCs/>
          <w:color w:val="auto"/>
          <w:sz w:val="36"/>
          <w:szCs w:val="36"/>
          <w:highlight w:val="none"/>
          <w:lang w:val="en-US" w:eastAsia="zh-CN"/>
        </w:rPr>
        <w:t>10</w:t>
      </w:r>
      <w:r>
        <w:rPr>
          <w:rFonts w:hint="eastAsia" w:ascii="黑体" w:hAnsi="黑体" w:eastAsia="黑体" w:cs="黑体"/>
          <w:b/>
          <w:bCs/>
          <w:color w:val="auto"/>
          <w:sz w:val="36"/>
          <w:szCs w:val="36"/>
          <w:highlight w:val="none"/>
        </w:rPr>
        <w:t>月</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u w:color="auto"/>
          <w:lang w:eastAsia="zh-CN"/>
        </w:rPr>
        <w:t>环江毛南族自治县</w:t>
      </w:r>
      <w:r>
        <w:rPr>
          <w:rFonts w:hint="eastAsia" w:ascii="黑体" w:hAnsi="黑体" w:eastAsia="黑体" w:cs="黑体"/>
          <w:color w:val="auto"/>
          <w:sz w:val="32"/>
          <w:u w:color="auto"/>
          <w:lang w:val="en-US" w:eastAsia="zh-CN"/>
        </w:rPr>
        <w:t>环江毛南族自治县明伦镇中心卫生</w:t>
      </w:r>
      <w:r>
        <w:rPr>
          <w:rFonts w:hint="eastAsia" w:ascii="黑体" w:hAnsi="黑体" w:eastAsia="黑体" w:cs="黑体"/>
          <w:color w:val="auto"/>
          <w:sz w:val="32"/>
          <w:szCs w:val="32"/>
          <w:highlight w:val="none"/>
        </w:rPr>
        <w:t>概况</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二、部门决算单位构成</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w:t>
      </w:r>
      <w:r>
        <w:rPr>
          <w:rFonts w:hint="eastAsia" w:ascii="黑体" w:hAnsi="黑体" w:eastAsia="黑体" w:cs="黑体"/>
          <w:color w:val="auto"/>
          <w:sz w:val="32"/>
          <w:u w:color="auto"/>
          <w:lang w:val="en-US" w:eastAsia="zh-CN"/>
        </w:rPr>
        <w:t>环江毛南族自治县明伦镇中心卫生</w:t>
      </w:r>
      <w:r>
        <w:rPr>
          <w:rFonts w:hint="eastAsia" w:ascii="黑体" w:hAnsi="黑体" w:eastAsia="黑体" w:cs="黑体"/>
          <w:color w:val="auto"/>
          <w:sz w:val="32"/>
          <w:szCs w:val="32"/>
          <w:highlight w:val="none"/>
        </w:rPr>
        <w:t>2022年度部门决算报表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表九：一般公共预算财政拨款安排的“三公”经费支出决算表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w:t>
      </w:r>
      <w:r>
        <w:rPr>
          <w:rFonts w:hint="eastAsia" w:ascii="黑体" w:hAnsi="黑体" w:eastAsia="黑体" w:cs="黑体"/>
          <w:color w:val="auto"/>
          <w:sz w:val="32"/>
          <w:u w:color="auto"/>
          <w:lang w:val="en-US" w:eastAsia="zh-CN"/>
        </w:rPr>
        <w:t>环江毛南族自治县明伦镇中心卫生</w:t>
      </w:r>
      <w:r>
        <w:rPr>
          <w:rFonts w:hint="eastAsia" w:ascii="黑体" w:hAnsi="黑体" w:eastAsia="黑体" w:cs="黑体"/>
          <w:color w:val="auto"/>
          <w:sz w:val="32"/>
          <w:szCs w:val="32"/>
          <w:highlight w:val="none"/>
        </w:rPr>
        <w:t>2022年度部门决算情况说明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2</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bCs/>
          <w:color w:val="auto"/>
          <w:sz w:val="32"/>
          <w:szCs w:val="32"/>
          <w:highlight w:val="none"/>
          <w:lang w:val="en-US" w:eastAsia="zh-CN"/>
        </w:rPr>
        <w:t>环江毛南族自治县明伦镇中心卫生</w:t>
      </w:r>
      <w:r>
        <w:rPr>
          <w:rFonts w:hint="eastAsia" w:ascii="黑体" w:hAnsi="黑体" w:eastAsia="黑体" w:cs="黑体"/>
          <w:b/>
          <w:bCs/>
          <w:color w:val="auto"/>
          <w:sz w:val="32"/>
          <w:szCs w:val="32"/>
          <w:highlight w:val="none"/>
        </w:rPr>
        <w:t>概况</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环江毛南族自治县明伦镇中心卫生院的主要职能是：政府办非营利性医疗机构，以公共卫生服务为主，综合提供预防、保健和基本医疗等职能，向辖区居民提供基本医疗服务和公共卫生服务。</w:t>
      </w:r>
    </w:p>
    <w:p>
      <w:pPr>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（一）提供公共卫生服务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1、承担本镇农村居民健康档案规范建档指导、管理及服务。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2、普及卫生保健常识，在重点人群和重点场所开展健康教育，帮助居民形成有利于维护和增进健康的行为方式；指导开展爱国卫生工作。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3、提供并组织实施本镇预防接种服务，落实国家免疫规划。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4、及时发现、登记并报告本镇内发现的传染病病例和疑似病例，参与现场疫情处理。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5、开展新生儿访视及儿童保健系统管理，进行体格检查和生长发育监测及评价，开展健康指导。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6、开展孕产妇保健系统管理和产后访视，进行一般体格检查及孕.期营养、心理等健康指导。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7、对本乡65岁及以上老年人进行登记管理， 进行健康危险因素调查和一般体格检查，开展健康指导。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8、对高血压、糖尿病等慢性病高危人群进行指导，对确诊高血压、糖尿病等慢性病病例进行登记管理、定期随访和健康指导。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9、对本镇重性精神疾病患者进行登记管理、治疗随访和康复指导.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10、负责本镇内突发公共卫生事件的报告并协助处理。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11、做好卫生行政部门规定的其他公共卫生服务。</w:t>
      </w:r>
    </w:p>
    <w:p>
      <w:pPr>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（二）提供基本医疗服务</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1、使用农村适宜医疗技术和中医药技术， 正确处理常见病、多发病，对疑难重症进行恰当的处理并转诊。承担乡村现场应急救护、转诊服务和康复服务。</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2、能完成外科的止血、缝合、包扎、骨折固定等处置，能开展阑尾、疝气等常见下腹部手术，有条件的中心卫生院还应能开展部分上腹部手术。</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3、健全消毒、隔离制度，遵守无菌操作规程，加强医疗质量管理。做好医疗废物处理和污水、污物无害化处理.</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4、执行国家基本药物制度药品集中采购、零差率销售等政策，为实施一体化管理的村卫生室统一代购药品。</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5、提供政府卫生行政部门批准的其他适宜的医疗服务。</w:t>
      </w:r>
    </w:p>
    <w:p>
      <w:pPr>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（三）承担公共卫生管理</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1、对本乡内传染病防治、学校卫生、食品卫生、饮水卫生、职业卫生，以及村级预防保健工作进行指导、培训、考核与监督。</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2、严格执行新型农村合作医疗政策规定，履行定点医疗机构职责，做好有关的政策宣传、监督及服务工作。</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3、深入推进乡村卫生服务一体化管理，对村卫生室实行以行政、人员、业务、药品、财产为基本内容的“五统一”规范管理；负责村卫生室的技术指导和乡村医生培训等工作。</w:t>
      </w:r>
    </w:p>
    <w:p>
      <w:pPr>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（四）卫生行政管理</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1、在当地政府和上级卫生行政部门领导下，依据当地社会经济发展规划，协助制定和实施社区的初级卫生规划。</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2、配合有关部门动员组织群众开展爱国卫生活动，逐步改善本乡卫生状况。</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3、贯彻执行国家各种卫生法规，对本镇内有关行业实行监督管理。</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4、负责本乡内村级卫生服务站的管理和培训工作。</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p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（一）机构设置</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本单位属于差额拨款公益一类事业单位，</w:t>
      </w:r>
      <w:r>
        <w:rPr>
          <w:rFonts w:hint="eastAsia" w:ascii="仿宋" w:hAnsi="仿宋" w:eastAsia="仿宋" w:cs="仿宋"/>
          <w:color w:val="auto"/>
          <w:sz w:val="32"/>
          <w:szCs w:val="32"/>
          <w:shd w:val="clear" w:color="auto" w:fill="FFFFFF"/>
        </w:rPr>
        <w:t>主要</w:t>
      </w:r>
      <w:r>
        <w:rPr>
          <w:rFonts w:hint="eastAsia" w:ascii="仿宋" w:hAnsi="仿宋" w:eastAsia="仿宋" w:cs="仿宋"/>
          <w:color w:val="auto"/>
          <w:sz w:val="32"/>
          <w:szCs w:val="32"/>
        </w:rPr>
        <w:t>设立</w:t>
      </w:r>
      <w:r>
        <w:rPr>
          <w:rFonts w:hint="eastAsia" w:ascii="仿宋" w:hAnsi="仿宋" w:eastAsia="仿宋" w:cs="仿宋"/>
          <w:color w:val="auto"/>
          <w:sz w:val="32"/>
          <w:szCs w:val="32"/>
          <w:shd w:val="clear" w:color="auto" w:fill="FFFFFF"/>
        </w:rPr>
        <w:t>有：预防保健科、全科医疗科、</w:t>
      </w:r>
      <w:r>
        <w:rPr>
          <w:rFonts w:hint="eastAsia" w:ascii="仿宋" w:hAnsi="仿宋" w:eastAsia="仿宋" w:cs="仿宋"/>
          <w:color w:val="auto"/>
          <w:sz w:val="32"/>
          <w:szCs w:val="32"/>
          <w:shd w:val="clear" w:color="auto" w:fill="FFFFFF"/>
          <w:lang w:val="en-US" w:eastAsia="zh-CN"/>
        </w:rPr>
        <w:t>中医科、</w:t>
      </w:r>
      <w:r>
        <w:rPr>
          <w:rFonts w:hint="eastAsia" w:ascii="仿宋" w:hAnsi="仿宋" w:eastAsia="仿宋" w:cs="仿宋"/>
          <w:color w:val="auto"/>
          <w:sz w:val="32"/>
          <w:szCs w:val="32"/>
          <w:shd w:val="clear" w:color="auto" w:fill="FFFFFF"/>
        </w:rPr>
        <w:t>儿科、儿童保健科、医学检验科、公共卫生科、财务室、药房、医学影像科。</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所属单位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本单位属于差额拨款公益一类事业单位，属于环江县卫生健康局的二层机构。</w:t>
      </w:r>
    </w:p>
    <w:p>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部门预算单位构成</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本单位主管部门为环江县卫生健康局，为二级预算单位。</w:t>
      </w:r>
    </w:p>
    <w:p>
      <w:pPr>
        <w:numPr>
          <w:ilvl w:val="0"/>
          <w:numId w:val="0"/>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编制现状和人员构成</w:t>
      </w:r>
    </w:p>
    <w:p>
      <w:pPr>
        <w:ind w:firstLine="640"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编制现状</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我单位核定编制人数</w:t>
      </w:r>
      <w:r>
        <w:rPr>
          <w:rFonts w:hint="eastAsia" w:ascii="仿宋" w:hAnsi="仿宋" w:eastAsia="仿宋" w:cs="仿宋"/>
          <w:b w:val="0"/>
          <w:bCs w:val="0"/>
          <w:color w:val="auto"/>
          <w:sz w:val="32"/>
          <w:szCs w:val="32"/>
          <w:lang w:val="en-US" w:eastAsia="zh-CN"/>
        </w:rPr>
        <w:t>45</w:t>
      </w:r>
      <w:r>
        <w:rPr>
          <w:rFonts w:hint="eastAsia" w:ascii="仿宋" w:hAnsi="仿宋" w:eastAsia="仿宋" w:cs="仿宋"/>
          <w:b w:val="0"/>
          <w:bCs w:val="0"/>
          <w:color w:val="auto"/>
          <w:sz w:val="32"/>
          <w:szCs w:val="32"/>
        </w:rPr>
        <w:t>人，其中：管理人员</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人，专业技术人员</w:t>
      </w:r>
      <w:r>
        <w:rPr>
          <w:rFonts w:hint="eastAsia" w:ascii="仿宋" w:hAnsi="仿宋" w:eastAsia="仿宋" w:cs="仿宋"/>
          <w:b w:val="0"/>
          <w:bCs w:val="0"/>
          <w:color w:val="auto"/>
          <w:sz w:val="32"/>
          <w:szCs w:val="32"/>
          <w:lang w:val="en-US" w:eastAsia="zh-CN"/>
        </w:rPr>
        <w:t>44</w:t>
      </w:r>
      <w:r>
        <w:rPr>
          <w:rFonts w:hint="eastAsia" w:ascii="仿宋" w:hAnsi="仿宋" w:eastAsia="仿宋" w:cs="仿宋"/>
          <w:b w:val="0"/>
          <w:bCs w:val="0"/>
          <w:color w:val="auto"/>
          <w:sz w:val="32"/>
          <w:szCs w:val="32"/>
        </w:rPr>
        <w:t>人，后勤服务聘用人员控制数1人。</w:t>
      </w:r>
    </w:p>
    <w:p>
      <w:pPr>
        <w:ind w:firstLine="640"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人员构成</w:t>
      </w:r>
    </w:p>
    <w:p>
      <w:pPr>
        <w:spacing w:line="560" w:lineRule="exact"/>
        <w:ind w:firstLine="640" w:firstLineChars="200"/>
        <w:rPr>
          <w:rFonts w:hint="eastAsia" w:ascii="黑体" w:hAnsi="黑体" w:eastAsia="黑体" w:cs="黑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rPr>
        <w:t>我单位本年在职职工人数</w:t>
      </w:r>
      <w:r>
        <w:rPr>
          <w:rFonts w:hint="eastAsia" w:ascii="仿宋" w:hAnsi="仿宋" w:eastAsia="仿宋" w:cs="仿宋"/>
          <w:color w:val="auto"/>
          <w:sz w:val="32"/>
          <w:szCs w:val="32"/>
          <w:lang w:val="en-US" w:eastAsia="zh-CN"/>
        </w:rPr>
        <w:t>59</w:t>
      </w:r>
      <w:r>
        <w:rPr>
          <w:rFonts w:hint="eastAsia" w:ascii="仿宋" w:hAnsi="仿宋" w:eastAsia="仿宋" w:cs="仿宋"/>
          <w:color w:val="auto"/>
          <w:sz w:val="32"/>
          <w:szCs w:val="32"/>
        </w:rPr>
        <w:t>人，其中编制内实有人数</w:t>
      </w:r>
      <w:r>
        <w:rPr>
          <w:rFonts w:hint="eastAsia" w:ascii="仿宋" w:hAnsi="仿宋" w:eastAsia="仿宋" w:cs="仿宋"/>
          <w:color w:val="auto"/>
          <w:sz w:val="32"/>
          <w:szCs w:val="32"/>
          <w:lang w:val="en-US" w:eastAsia="zh-CN"/>
        </w:rPr>
        <w:t>44</w:t>
      </w:r>
      <w:r>
        <w:rPr>
          <w:rFonts w:hint="eastAsia" w:ascii="仿宋" w:hAnsi="仿宋" w:eastAsia="仿宋" w:cs="仿宋"/>
          <w:color w:val="auto"/>
          <w:sz w:val="32"/>
          <w:szCs w:val="32"/>
        </w:rPr>
        <w:t>人，后勤服务聘用人员控制数1人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单位自聘人员有</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人。</w:t>
      </w:r>
    </w:p>
    <w:p>
      <w:pPr>
        <w:jc w:val="both"/>
        <w:rPr>
          <w:rFonts w:hint="default" w:ascii="黑体" w:hAnsi="黑体" w:eastAsia="黑体" w:cs="黑体"/>
          <w:color w:val="auto"/>
          <w:sz w:val="32"/>
          <w:szCs w:val="32"/>
          <w:highlight w:val="none"/>
          <w:lang w:val="en-US" w:eastAsia="zh-CN"/>
        </w:rPr>
      </w:pPr>
    </w:p>
    <w:p>
      <w:pPr>
        <w:jc w:val="center"/>
        <w:rPr>
          <w:rFonts w:hint="default" w:ascii="Times New Roman" w:hAnsi="Times New Roman" w:eastAsia="仿宋_GB2312" w:cs="Times New Roman"/>
          <w:b/>
          <w:bCs/>
          <w:color w:val="auto"/>
          <w:sz w:val="32"/>
          <w:szCs w:val="32"/>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szCs w:val="32"/>
          <w:u w:color="auto"/>
          <w:lang w:val="en-US" w:eastAsia="zh-CN"/>
        </w:rPr>
        <w:t>环江毛南族自治县明伦镇中心卫生院</w:t>
      </w:r>
      <w:r>
        <w:rPr>
          <w:rFonts w:hint="eastAsia" w:ascii="黑体" w:hAnsi="黑体" w:eastAsia="黑体" w:cs="黑体"/>
          <w:color w:val="auto"/>
          <w:sz w:val="32"/>
          <w:szCs w:val="32"/>
          <w:highlight w:val="none"/>
        </w:rPr>
        <w:t>2022年度部门决算报表</w:t>
      </w:r>
      <w:r>
        <w:rPr>
          <w:rFonts w:hint="default" w:ascii="Times New Roman" w:hAnsi="Times New Roman" w:eastAsia="仿宋_GB2312" w:cs="Times New Roman"/>
          <w:b/>
          <w:bCs/>
          <w:color w:val="auto"/>
          <w:sz w:val="32"/>
          <w:szCs w:val="32"/>
        </w:rPr>
        <w:t>表</w:t>
      </w:r>
    </w:p>
    <w:p>
      <w:pPr>
        <w:jc w:val="center"/>
        <w:rPr>
          <w:rFonts w:ascii="黑体" w:hAnsi="黑体" w:eastAsia="黑体" w:cs="黑体"/>
          <w:color w:val="auto"/>
          <w:sz w:val="32"/>
          <w:szCs w:val="32"/>
          <w:highlight w:val="none"/>
        </w:rPr>
      </w:pPr>
      <w:r>
        <w:rPr>
          <w:rFonts w:hint="default" w:ascii="Times New Roman" w:hAnsi="Times New Roman" w:eastAsia="仿宋_GB2312" w:cs="Times New Roman"/>
          <w:b/>
          <w:bCs/>
          <w:color w:val="auto"/>
          <w:sz w:val="32"/>
          <w:szCs w:val="32"/>
        </w:rPr>
        <w:t>一：收入支出决算总表</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53"/>
        <w:gridCol w:w="834"/>
        <w:gridCol w:w="1718"/>
        <w:gridCol w:w="4575"/>
        <w:gridCol w:w="816"/>
        <w:gridCol w:w="1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51" w:type="pct"/>
            <w:gridSpan w:val="4"/>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部门：广西河池市环江毛南族自治县明伦镇中心卫生院</w:t>
            </w:r>
          </w:p>
        </w:tc>
        <w:tc>
          <w:tcPr>
            <w:tcW w:w="948" w:type="pct"/>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04"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收入</w:t>
            </w:r>
          </w:p>
        </w:tc>
        <w:tc>
          <w:tcPr>
            <w:tcW w:w="2495" w:type="pct"/>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5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67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7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一、一般公共预算财政拨款收入</w:t>
            </w: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837.01</w:t>
            </w: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一、一般公共服务支出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二、政府性基金预算财政拨款收入</w:t>
            </w: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二、外交支出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三、国有资本经营预算财政拨款收入</w:t>
            </w: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三、国防支出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四、上级补助收入</w:t>
            </w: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四、公共安全支出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五、事业收入</w:t>
            </w: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442.16</w:t>
            </w: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五、教育支出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六、经营收入</w:t>
            </w: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六、科学技术支出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七、附属单位上缴收入</w:t>
            </w: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七、文化旅游体育与传媒支出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八、其他收入</w:t>
            </w: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八、社会保障和就业支出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九、卫生健康支出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十、节能环保支出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十一、城乡社区支出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十二、农林水支出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十三、交通运输支出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十四、资源勘探工业信息等支出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十五、商业服务业等支出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十六、金融支出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十七、援助其他地区支出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十八、自然资源海洋气象等支出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十九、住房保障支出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二十、粮油物资储备支出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二十一、国有资本经营预算支出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二十二、灾害防治及应急管理支出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二十三、其他支出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二十四、债务还本支出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二十五、债务付息支出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二十六、抗疫特别国债安排的支出</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本年收入合计</w:t>
            </w: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1,281.25</w:t>
            </w: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本年支出合计</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使用非财政拨款结余</w:t>
            </w: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结余分配</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年初结转和结余</w:t>
            </w: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年末结转和结余</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672"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总计</w:t>
            </w:r>
          </w:p>
        </w:tc>
        <w:tc>
          <w:tcPr>
            <w:tcW w:w="28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5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1,281.25</w:t>
            </w:r>
          </w:p>
        </w:tc>
        <w:tc>
          <w:tcPr>
            <w:tcW w:w="15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总计</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6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2.本套报表金额单位转换时可能存在尾数误差。</w:t>
            </w:r>
          </w:p>
        </w:tc>
      </w:tr>
    </w:tbl>
    <w:p>
      <w:pPr>
        <w:rPr>
          <w:rFonts w:hint="eastAsia"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24"/>
          <w:szCs w:val="24"/>
        </w:rPr>
        <w:t>表二：收入决算表</w:t>
      </w:r>
    </w:p>
    <w:tbl>
      <w:tblPr>
        <w:tblStyle w:val="7"/>
        <w:tblW w:w="50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0"/>
        <w:gridCol w:w="4161"/>
        <w:gridCol w:w="1156"/>
        <w:gridCol w:w="932"/>
        <w:gridCol w:w="1516"/>
        <w:gridCol w:w="1516"/>
        <w:gridCol w:w="1516"/>
        <w:gridCol w:w="1516"/>
        <w:gridCol w:w="1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44" w:type="pct"/>
            <w:gridSpan w:val="4"/>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部门：广西河池市环江毛南族自治县明伦镇中心卫生院</w:t>
            </w:r>
          </w:p>
        </w:tc>
        <w:tc>
          <w:tcPr>
            <w:tcW w:w="509"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509"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09"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026" w:type="pct"/>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43"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w:t>
            </w:r>
          </w:p>
        </w:tc>
        <w:tc>
          <w:tcPr>
            <w:tcW w:w="388"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本年收入合计</w:t>
            </w:r>
          </w:p>
        </w:tc>
        <w:tc>
          <w:tcPr>
            <w:tcW w:w="312"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财政拨款收入</w:t>
            </w:r>
          </w:p>
        </w:tc>
        <w:tc>
          <w:tcPr>
            <w:tcW w:w="509"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上级补助收入</w:t>
            </w:r>
          </w:p>
        </w:tc>
        <w:tc>
          <w:tcPr>
            <w:tcW w:w="509"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事业收入</w:t>
            </w:r>
          </w:p>
        </w:tc>
        <w:tc>
          <w:tcPr>
            <w:tcW w:w="509"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经营收入</w:t>
            </w:r>
          </w:p>
        </w:tc>
        <w:tc>
          <w:tcPr>
            <w:tcW w:w="509"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附属单位上缴收入</w:t>
            </w:r>
          </w:p>
        </w:tc>
        <w:tc>
          <w:tcPr>
            <w:tcW w:w="516"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vMerge w:val="restar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科目代码</w:t>
            </w:r>
          </w:p>
        </w:tc>
        <w:tc>
          <w:tcPr>
            <w:tcW w:w="1396"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科目名称</w:t>
            </w:r>
          </w:p>
        </w:tc>
        <w:tc>
          <w:tcPr>
            <w:tcW w:w="388"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312"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509"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509"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509"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509"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516"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396"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312"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509"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509"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509"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509"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516"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43"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栏次</w:t>
            </w:r>
          </w:p>
        </w:tc>
        <w:tc>
          <w:tcPr>
            <w:tcW w:w="388"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12"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09"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509"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509"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509"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5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43"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1,281.25</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837.01</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442.16</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社会保障和就业支出</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20805</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行政事业单位养老支出</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2080505</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机关事业单位基本养老保险缴费支出</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卫生健康支出</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1,160.95</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716.72</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442.16</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21003</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基层医疗卫生机构</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830.19</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385.96</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442.16</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2100302</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乡镇卫生院</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736.62</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292.39</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442.16</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2100399</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其他基层医疗卫生机构支出</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93.57</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93.57</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21004</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公共卫生</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242.51</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242.51</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2100408</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基本公共卫生服务</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234.31</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234.31</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2100409</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重大公共卫生服务</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8.20</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21006</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中医药</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2100601</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中医（民族医）药专项</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21099</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其他卫生健康支出</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68.25</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68.25</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2109999</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其他卫生健康支出</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68.25</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68.25</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住房保障支出</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22102</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住房改革支出</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2210201</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住房公积金</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229</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其他支出</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22999</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其他支出</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2299999</w:t>
            </w:r>
          </w:p>
        </w:tc>
        <w:tc>
          <w:tcPr>
            <w:tcW w:w="13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其他支出</w:t>
            </w:r>
          </w:p>
        </w:tc>
        <w:tc>
          <w:tcPr>
            <w:tcW w:w="38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31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1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注：本表反映部门本年度取得的各项收入情况。</w:t>
            </w:r>
          </w:p>
        </w:tc>
      </w:tr>
    </w:tbl>
    <w:p>
      <w:pPr>
        <w:rPr>
          <w:rFonts w:hint="eastAsia" w:ascii="宋体" w:hAnsi="宋体" w:eastAsia="宋体" w:cs="宋体"/>
          <w:color w:val="auto"/>
          <w:kern w:val="0"/>
          <w:sz w:val="30"/>
          <w:szCs w:val="30"/>
          <w:highlight w:val="none"/>
          <w:lang w:bidi="ar"/>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表三：支出决算表</w:t>
      </w:r>
    </w:p>
    <w:tbl>
      <w:tblPr>
        <w:tblStyle w:val="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8"/>
        <w:gridCol w:w="3722"/>
        <w:gridCol w:w="1691"/>
        <w:gridCol w:w="1670"/>
        <w:gridCol w:w="1691"/>
        <w:gridCol w:w="1691"/>
        <w:gridCol w:w="1692"/>
        <w:gridCol w:w="1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10" w:type="pct"/>
            <w:gridSpan w:val="4"/>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部门：广西河池市环江毛南族自治县明伦镇中心卫生院</w:t>
            </w:r>
          </w:p>
        </w:tc>
        <w:tc>
          <w:tcPr>
            <w:tcW w:w="572"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1717" w:type="pct"/>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73"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w:t>
            </w:r>
          </w:p>
        </w:tc>
        <w:tc>
          <w:tcPr>
            <w:tcW w:w="572"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本年支出合计</w:t>
            </w:r>
          </w:p>
        </w:tc>
        <w:tc>
          <w:tcPr>
            <w:tcW w:w="564"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基本支出</w:t>
            </w:r>
          </w:p>
        </w:tc>
        <w:tc>
          <w:tcPr>
            <w:tcW w:w="572"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项目支出</w:t>
            </w:r>
          </w:p>
        </w:tc>
        <w:tc>
          <w:tcPr>
            <w:tcW w:w="572"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上缴上级支出</w:t>
            </w:r>
          </w:p>
        </w:tc>
        <w:tc>
          <w:tcPr>
            <w:tcW w:w="572"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经营支出</w:t>
            </w:r>
          </w:p>
        </w:tc>
        <w:tc>
          <w:tcPr>
            <w:tcW w:w="572"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科目代码</w:t>
            </w:r>
          </w:p>
        </w:tc>
        <w:tc>
          <w:tcPr>
            <w:tcW w:w="125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科目名称</w:t>
            </w:r>
          </w:p>
        </w:tc>
        <w:tc>
          <w:tcPr>
            <w:tcW w:w="572"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564"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572"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572"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572"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572"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73"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栏次</w:t>
            </w:r>
          </w:p>
        </w:tc>
        <w:tc>
          <w:tcPr>
            <w:tcW w:w="572"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64"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72"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572"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572"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572"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73"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1,281.06</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881.84</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399.22</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社会保障和就业支出</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20805</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行政事业单位养老支出</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2080505</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机关事业单位基本养老保险缴费支出</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卫生健康支出</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1,160.76</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761.54</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399.22</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21003</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基层医疗卫生机构</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830.00</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761.54</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68.45</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2100302</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乡镇卫生院</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736.43</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716.56</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19.86</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2100399</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其他基层医疗卫生机构支出</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93.57</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44.98</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48.59</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21004</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公共卫生</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242.51</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242.51</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2100408</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基本公共卫生服务</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234.31</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234.31</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2100409</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重大公共卫生服务</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8.20</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21006</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中医药</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2100601</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中医（民族医）药专项</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21099</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其他卫生健康支出</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68.25</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68.25</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2109999</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其他卫生健康支出</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68.25</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68.25</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住房保障支出</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22102</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住房改革支出</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2210201</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住房公积金</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229</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其他支出</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22999</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其他支出</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2299999</w:t>
            </w:r>
          </w:p>
        </w:tc>
        <w:tc>
          <w:tcPr>
            <w:tcW w:w="1258"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其他支出</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7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注：本表反映部门本年度各项支出情况。</w:t>
            </w:r>
          </w:p>
        </w:tc>
      </w:tr>
    </w:tbl>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表四：财政拨款收入支出决算总表</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48"/>
        <w:gridCol w:w="534"/>
        <w:gridCol w:w="1008"/>
        <w:gridCol w:w="3612"/>
        <w:gridCol w:w="562"/>
        <w:gridCol w:w="1109"/>
        <w:gridCol w:w="1567"/>
        <w:gridCol w:w="1567"/>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43" w:type="pct"/>
            <w:gridSpan w:val="4"/>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部门：广西河池市环江毛南族自治县明伦镇中心卫生院</w:t>
            </w:r>
          </w:p>
        </w:tc>
        <w:tc>
          <w:tcPr>
            <w:tcW w:w="190"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375"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30"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060" w:type="pct"/>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1"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收     入</w:t>
            </w:r>
          </w:p>
        </w:tc>
        <w:tc>
          <w:tcPr>
            <w:tcW w:w="3378"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9" w:type="pc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w:t>
            </w:r>
          </w:p>
        </w:tc>
        <w:tc>
          <w:tcPr>
            <w:tcW w:w="181"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行次</w:t>
            </w:r>
          </w:p>
        </w:tc>
        <w:tc>
          <w:tcPr>
            <w:tcW w:w="340"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金额</w:t>
            </w:r>
          </w:p>
        </w:tc>
        <w:tc>
          <w:tcPr>
            <w:tcW w:w="1221"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w:t>
            </w:r>
          </w:p>
        </w:tc>
        <w:tc>
          <w:tcPr>
            <w:tcW w:w="190"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行次</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530"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一般公共预算财政拨款</w:t>
            </w:r>
          </w:p>
        </w:tc>
        <w:tc>
          <w:tcPr>
            <w:tcW w:w="530"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政府性基金预算财政拨款</w:t>
            </w:r>
          </w:p>
        </w:tc>
        <w:tc>
          <w:tcPr>
            <w:tcW w:w="530"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栏次</w:t>
            </w: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3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栏次</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3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53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53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一、一般公共预算财政拨款</w:t>
            </w: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837.01</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一、一般公共服务支出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二、政府性基金预算财政拨款</w:t>
            </w: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二、外交支出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三、国有资本经营预算财政拨款</w:t>
            </w: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三、国防支出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四、公共安全支出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五、教育支出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六、科学技术支出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七、文化旅游体育与传媒支出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八、社会保障和就业支出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九、卫生健康支出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716.72</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716.72</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十、节能环保支出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十一、城乡社区支出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十二、农林水支出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十三、交通运输支出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十四、资源勘探工业信息等支出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十五、商业服务业等支出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十六、金融支出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十七、援助其他地区支出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十八、自然资源海洋气象等支出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十九、住房保障支出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二十、粮油物资储备支出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二十一、国有资本经营预算支出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二十二、灾害防治及应急管理支出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二十三、其他支出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二十四、债务还本支出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二十五、债务付息支出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二十六、抗疫特别国债安排的支出</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本年收入合计</w:t>
            </w: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837.01</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本年支出合计</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837.01</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837.01</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年初财政拨款结转和结余</w:t>
            </w: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年末财政拨款结转和结余</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一般公共预算财政拨款</w:t>
            </w: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375"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530"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530"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530"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政府性基金预算财政拨款</w:t>
            </w: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375"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530"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530"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530"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国有资本经营预算财政拨款</w:t>
            </w: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w:t>
            </w:r>
          </w:p>
        </w:tc>
        <w:tc>
          <w:tcPr>
            <w:tcW w:w="375"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530"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530"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530"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总计</w:t>
            </w:r>
          </w:p>
        </w:tc>
        <w:tc>
          <w:tcPr>
            <w:tcW w:w="1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3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837.01</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总计</w:t>
            </w:r>
          </w:p>
        </w:tc>
        <w:tc>
          <w:tcPr>
            <w:tcW w:w="1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37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837.01</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837.01</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53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注：本表反映部门本年度一般公共预算财政拨款、政府性基金预算财政拨款和国有资本经营预算财政拨款的总收支和年末结转结余情况。</w:t>
            </w:r>
          </w:p>
        </w:tc>
      </w:tr>
    </w:tbl>
    <w:p>
      <w:pPr>
        <w:rPr>
          <w:rFonts w:hint="eastAsia" w:ascii="宋体" w:hAnsi="宋体" w:eastAsia="宋体" w:cs="宋体"/>
          <w:color w:val="auto"/>
          <w:kern w:val="0"/>
          <w:sz w:val="30"/>
          <w:szCs w:val="30"/>
          <w:highlight w:val="none"/>
          <w:lang w:bidi="ar"/>
        </w:rPr>
      </w:pPr>
    </w:p>
    <w:p>
      <w:pPr>
        <w:rPr>
          <w:rFonts w:hint="eastAsia" w:ascii="宋体" w:hAnsi="宋体" w:eastAsia="宋体" w:cs="宋体"/>
          <w:color w:val="auto"/>
          <w:kern w:val="0"/>
          <w:sz w:val="30"/>
          <w:szCs w:val="30"/>
          <w:highlight w:val="none"/>
          <w:lang w:bidi="ar"/>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b/>
          <w:bCs/>
          <w:color w:val="auto"/>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b/>
          <w:bCs/>
          <w:color w:val="auto"/>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b/>
          <w:bCs/>
          <w:color w:val="auto"/>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b/>
          <w:bCs/>
          <w:color w:val="auto"/>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b/>
          <w:bCs/>
          <w:color w:val="auto"/>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b/>
          <w:bCs/>
          <w:color w:val="auto"/>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b/>
          <w:bCs/>
          <w:color w:val="auto"/>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b/>
          <w:bCs/>
          <w:color w:val="auto"/>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b/>
          <w:bCs/>
          <w:color w:val="auto"/>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表</w:t>
      </w:r>
      <w:r>
        <w:rPr>
          <w:rFonts w:hint="eastAsia"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rPr>
        <w:t>：一般公共预算财政拨款支出决算表</w:t>
      </w:r>
    </w:p>
    <w:tbl>
      <w:tblPr>
        <w:tblStyle w:val="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4"/>
        <w:gridCol w:w="6496"/>
        <w:gridCol w:w="1750"/>
        <w:gridCol w:w="2516"/>
        <w:gridCol w:w="2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28" w:type="pct"/>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部门：广西河池市环江毛南族自治县明伦镇中心卫生院</w:t>
            </w:r>
          </w:p>
        </w:tc>
        <w:tc>
          <w:tcPr>
            <w:tcW w:w="1671" w:type="pct"/>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36"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w:t>
            </w:r>
          </w:p>
        </w:tc>
        <w:tc>
          <w:tcPr>
            <w:tcW w:w="2263" w:type="pct"/>
            <w:gridSpan w:val="3"/>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科目代码</w:t>
            </w:r>
          </w:p>
        </w:tc>
        <w:tc>
          <w:tcPr>
            <w:tcW w:w="219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科目名称</w:t>
            </w:r>
          </w:p>
        </w:tc>
        <w:tc>
          <w:tcPr>
            <w:tcW w:w="591"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小计</w:t>
            </w:r>
          </w:p>
        </w:tc>
        <w:tc>
          <w:tcPr>
            <w:tcW w:w="851"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基本支出</w:t>
            </w:r>
          </w:p>
        </w:tc>
        <w:tc>
          <w:tcPr>
            <w:tcW w:w="820"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36"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栏次</w:t>
            </w:r>
          </w:p>
        </w:tc>
        <w:tc>
          <w:tcPr>
            <w:tcW w:w="5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2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36"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837.01</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437.80</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399.22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社会保障和就业支出</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20805</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行政事业单位养老支出</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2080505</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机关事业单位基本养老保险缴费支出</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40.70</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卫生健康支出</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716.72</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317.50</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21003</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基层医疗卫生机构</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385.96</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317.50</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2100302</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乡镇卫生院</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292.39</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272.52</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2100399</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其他基层医疗卫生机构支出</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93.57</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44.98</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21004</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公共卫生</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242.51</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2100408</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基本公共卫生服务</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234.31</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2100409</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重大公共卫生服务</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8.20</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21006</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中医药</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2100601</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中医（民族医）药专项</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21099</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其他卫生健康支出</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68.25</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2109999</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其他卫生健康支出</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68.25</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住房保障支出</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22102</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住房改革支出</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2210201</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住房公积金</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29.92</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229</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其他支出</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22999</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其他支出</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2299999</w:t>
            </w:r>
          </w:p>
        </w:tc>
        <w:tc>
          <w:tcPr>
            <w:tcW w:w="219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其他支出</w:t>
            </w:r>
          </w:p>
        </w:tc>
        <w:tc>
          <w:tcPr>
            <w:tcW w:w="59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851"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49.67</w:t>
            </w:r>
          </w:p>
        </w:tc>
        <w:tc>
          <w:tcPr>
            <w:tcW w:w="820"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5"/>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注：本表反映部门本年度一般公共预算财政拨款支出情况。</w:t>
            </w:r>
          </w:p>
        </w:tc>
      </w:tr>
    </w:tbl>
    <w:p>
      <w:pPr>
        <w:keepNext w:val="0"/>
        <w:keepLines w:val="0"/>
        <w:pageBreakBefore w:val="0"/>
        <w:kinsoku/>
        <w:wordWrap/>
        <w:overflowPunct/>
        <w:topLinePunct w:val="0"/>
        <w:bidi w:val="0"/>
        <w:snapToGrid/>
        <w:spacing w:line="560" w:lineRule="exact"/>
        <w:ind w:firstLine="645"/>
        <w:jc w:val="center"/>
        <w:textAlignment w:val="auto"/>
        <w:rPr>
          <w:rFonts w:hint="default" w:ascii="Times New Roman" w:hAnsi="Times New Roman" w:eastAsia="仿宋_GB2312" w:cs="Times New Roman"/>
          <w:b/>
          <w:bCs/>
          <w:color w:val="auto"/>
          <w:sz w:val="32"/>
          <w:szCs w:val="32"/>
        </w:rPr>
      </w:pPr>
    </w:p>
    <w:p>
      <w:pPr>
        <w:keepNext w:val="0"/>
        <w:keepLines w:val="0"/>
        <w:pageBreakBefore w:val="0"/>
        <w:kinsoku/>
        <w:wordWrap/>
        <w:overflowPunct/>
        <w:topLinePunct w:val="0"/>
        <w:bidi w:val="0"/>
        <w:snapToGrid/>
        <w:spacing w:line="560" w:lineRule="exact"/>
        <w:ind w:firstLine="645"/>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表六：一般公共预算财政拨款基本支出决算明细表</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6"/>
        <w:gridCol w:w="3216"/>
        <w:gridCol w:w="1117"/>
        <w:gridCol w:w="716"/>
        <w:gridCol w:w="2216"/>
        <w:gridCol w:w="896"/>
        <w:gridCol w:w="716"/>
        <w:gridCol w:w="4016"/>
        <w:gridCol w:w="1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841" w:type="pct"/>
            <w:gridSpan w:val="4"/>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部门：广西河池市环江毛南族自治县明伦镇中心卫生院</w:t>
            </w:r>
          </w:p>
        </w:tc>
        <w:tc>
          <w:tcPr>
            <w:tcW w:w="751"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487"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07"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711" w:type="pct"/>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3"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人员经费</w:t>
            </w:r>
          </w:p>
        </w:tc>
        <w:tc>
          <w:tcPr>
            <w:tcW w:w="3366"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vMerge w:val="restar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科目代码</w:t>
            </w:r>
          </w:p>
        </w:tc>
        <w:tc>
          <w:tcPr>
            <w:tcW w:w="955"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科目名称</w:t>
            </w:r>
          </w:p>
        </w:tc>
        <w:tc>
          <w:tcPr>
            <w:tcW w:w="471"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决算数</w:t>
            </w:r>
          </w:p>
        </w:tc>
        <w:tc>
          <w:tcPr>
            <w:tcW w:w="207"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科目代码</w:t>
            </w:r>
          </w:p>
        </w:tc>
        <w:tc>
          <w:tcPr>
            <w:tcW w:w="751"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科目名称</w:t>
            </w:r>
          </w:p>
        </w:tc>
        <w:tc>
          <w:tcPr>
            <w:tcW w:w="487"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决算数</w:t>
            </w:r>
          </w:p>
        </w:tc>
        <w:tc>
          <w:tcPr>
            <w:tcW w:w="207"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科目代码</w:t>
            </w:r>
          </w:p>
        </w:tc>
        <w:tc>
          <w:tcPr>
            <w:tcW w:w="1223"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科目名称</w:t>
            </w:r>
          </w:p>
        </w:tc>
        <w:tc>
          <w:tcPr>
            <w:tcW w:w="487"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955"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471"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07"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751"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487"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07"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23"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487"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工资福利支出</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429.97</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商品和服务支出</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307</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债务利息及费用支出</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30101</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基本工资</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152.96</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30201</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办公费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30701</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国内债务付息</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30102</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津贴补贴</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37.82</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30202</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印刷费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30702</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国外债务付息</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30103</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奖金</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30203</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咨询费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资本性支出</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30106</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伙食补助费</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30204</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手续费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31001</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房屋建筑物购建</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30107</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绩效工资</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142.78</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30205</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水费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31002</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办公设备购置</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30108</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机关事业单位基本养老保险缴费</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40.70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30206</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电费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31003</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专用设备购置</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30109</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职业年金缴费</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30207</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邮电费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31005</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基础设施建设</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30110</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职工基本医疗保险缴费</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16.44</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30208</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取暖费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31006</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大型修缮</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30111</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公务员医疗补助缴费</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30209</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物业管理费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31007</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信息网络及软件购置更新</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30112</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其他社会保障缴费</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2.95</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30211</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差旅费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31008</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物资储备</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30113</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住房公积金</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29.92</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30212</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因公出国（境）费用</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31009</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土地补偿</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30114</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医疗费</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30213</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维修（护）费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31010</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安置补助</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30199</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其他工资福利支出</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30214</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租赁费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31011</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地上附着物和青苗补偿</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对个人和家庭的补助</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7.82</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30215</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会议费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31012</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拆迁补偿</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30301</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离休费</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30216</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培训费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31013</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公务用车购置</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30302</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退休费</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30217</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公务接待费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31019</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其他交通工具购置</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30303</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退职（役）费</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30218</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专用材料费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31021</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文物和陈列品购置</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30304</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抚恤金</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30224</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被装购置费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31022</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无形资产购置</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30305</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生活补助</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7.81</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30225</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专用燃料费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31099</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其他资本性支出</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30306</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救济费</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30226</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劳务费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399</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其他支出</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30307</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医疗费补助</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30227</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委托业务费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39907</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国家赔偿费用支出</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30308</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助学金</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30228</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工会经费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39908</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对民间非营利组织和群众性自治组织补贴</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30309</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奖励金</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0.01</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30229</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福利费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39909</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经常性赠与</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30310</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个人农业生产补贴</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30231</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公务用车运行维护费</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39910</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资本性赠与</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30311</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代缴社会保险费</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30239</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其他交通费用</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39999</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其他支出</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30399</w:t>
            </w: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其他对个人和家庭的补助</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30240</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税金及附加费用</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487"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955"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30299</w:t>
            </w:r>
          </w:p>
        </w:tc>
        <w:tc>
          <w:tcPr>
            <w:tcW w:w="7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其他商品和服务支出</w:t>
            </w:r>
          </w:p>
        </w:tc>
        <w:tc>
          <w:tcPr>
            <w:tcW w:w="4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c>
          <w:tcPr>
            <w:tcW w:w="207"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487"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人员经费合计</w:t>
            </w:r>
          </w:p>
        </w:tc>
        <w:tc>
          <w:tcPr>
            <w:tcW w:w="4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437.80</w:t>
            </w:r>
          </w:p>
        </w:tc>
        <w:tc>
          <w:tcPr>
            <w:tcW w:w="2878" w:type="pct"/>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公用经费合计</w:t>
            </w:r>
          </w:p>
        </w:tc>
        <w:tc>
          <w:tcPr>
            <w:tcW w:w="48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注：本表反映部门本年度一般公共预算财政拨款基本支出明细情况。</w:t>
            </w:r>
          </w:p>
        </w:tc>
      </w:tr>
    </w:tbl>
    <w:p>
      <w:pPr>
        <w:rPr>
          <w:rFonts w:hint="eastAsia" w:ascii="宋体" w:hAnsi="宋体" w:eastAsia="宋体" w:cs="宋体"/>
          <w:color w:val="auto"/>
          <w:kern w:val="0"/>
          <w:sz w:val="30"/>
          <w:szCs w:val="30"/>
          <w:highlight w:val="none"/>
          <w:lang w:bidi="ar"/>
        </w:rPr>
      </w:pPr>
    </w:p>
    <w:p>
      <w:pPr>
        <w:rPr>
          <w:rFonts w:hint="default" w:ascii="Times New Roman" w:hAnsi="Times New Roman" w:eastAsia="仿宋_GB2312" w:cs="Times New Roman"/>
          <w:b/>
          <w:bCs/>
          <w:color w:val="auto"/>
          <w:sz w:val="32"/>
          <w:szCs w:val="32"/>
        </w:rPr>
      </w:pPr>
    </w:p>
    <w:p>
      <w:pPr>
        <w:rPr>
          <w:rFonts w:hint="default" w:ascii="Times New Roman" w:hAnsi="Times New Roman" w:eastAsia="仿宋_GB2312" w:cs="Times New Roman"/>
          <w:b/>
          <w:bCs/>
          <w:color w:val="auto"/>
          <w:sz w:val="32"/>
          <w:szCs w:val="32"/>
        </w:rPr>
      </w:pPr>
    </w:p>
    <w:p>
      <w:pPr>
        <w:rPr>
          <w:rFonts w:hint="default" w:ascii="Times New Roman" w:hAnsi="Times New Roman" w:eastAsia="仿宋_GB2312" w:cs="Times New Roman"/>
          <w:b/>
          <w:bCs/>
          <w:color w:val="auto"/>
          <w:sz w:val="32"/>
          <w:szCs w:val="32"/>
        </w:rPr>
      </w:pPr>
    </w:p>
    <w:p>
      <w:pPr>
        <w:rPr>
          <w:rFonts w:hint="default" w:ascii="Times New Roman" w:hAnsi="Times New Roman" w:eastAsia="仿宋_GB2312" w:cs="Times New Roman"/>
          <w:b/>
          <w:bCs/>
          <w:color w:val="auto"/>
          <w:sz w:val="32"/>
          <w:szCs w:val="32"/>
        </w:rPr>
      </w:pPr>
    </w:p>
    <w:p>
      <w:pPr>
        <w:rPr>
          <w:rFonts w:hint="default" w:ascii="Times New Roman" w:hAnsi="Times New Roman" w:eastAsia="仿宋_GB2312" w:cs="Times New Roman"/>
          <w:b/>
          <w:bCs/>
          <w:color w:val="auto"/>
          <w:sz w:val="32"/>
          <w:szCs w:val="32"/>
        </w:rPr>
      </w:pPr>
    </w:p>
    <w:p>
      <w:pPr>
        <w:rPr>
          <w:rFonts w:hint="default" w:ascii="Times New Roman" w:hAnsi="Times New Roman" w:eastAsia="仿宋_GB2312" w:cs="Times New Roman"/>
          <w:b/>
          <w:bCs/>
          <w:color w:val="auto"/>
          <w:sz w:val="32"/>
          <w:szCs w:val="32"/>
        </w:rPr>
      </w:pPr>
    </w:p>
    <w:p>
      <w:pPr>
        <w:rPr>
          <w:rFonts w:hint="default" w:ascii="Times New Roman" w:hAnsi="Times New Roman" w:eastAsia="仿宋_GB2312" w:cs="Times New Roman"/>
          <w:b/>
          <w:bCs/>
          <w:color w:val="auto"/>
          <w:sz w:val="32"/>
          <w:szCs w:val="32"/>
        </w:rPr>
      </w:pPr>
    </w:p>
    <w:p>
      <w:pPr>
        <w:rPr>
          <w:rFonts w:hint="default" w:ascii="Times New Roman" w:hAnsi="Times New Roman" w:eastAsia="仿宋_GB2312" w:cs="Times New Roman"/>
          <w:b/>
          <w:bCs/>
          <w:color w:val="auto"/>
          <w:sz w:val="32"/>
          <w:szCs w:val="32"/>
        </w:rPr>
      </w:pPr>
    </w:p>
    <w:p>
      <w:pPr>
        <w:rPr>
          <w:rFonts w:hint="default" w:ascii="Times New Roman" w:hAnsi="Times New Roman" w:eastAsia="仿宋_GB2312" w:cs="Times New Roman"/>
          <w:b/>
          <w:bCs/>
          <w:color w:val="auto"/>
          <w:sz w:val="32"/>
          <w:szCs w:val="32"/>
        </w:rPr>
      </w:pPr>
    </w:p>
    <w:p>
      <w:pPr>
        <w:rPr>
          <w:rFonts w:hint="default" w:ascii="Times New Roman" w:hAnsi="Times New Roman" w:eastAsia="仿宋_GB2312" w:cs="Times New Roman"/>
          <w:b/>
          <w:bCs/>
          <w:color w:val="auto"/>
          <w:sz w:val="32"/>
          <w:szCs w:val="32"/>
        </w:rPr>
      </w:pPr>
    </w:p>
    <w:p>
      <w:pPr>
        <w:rPr>
          <w:rFonts w:hint="default" w:ascii="Times New Roman" w:hAnsi="Times New Roman" w:eastAsia="仿宋_GB2312" w:cs="Times New Roman"/>
          <w:b/>
          <w:bCs/>
          <w:color w:val="auto"/>
          <w:sz w:val="32"/>
          <w:szCs w:val="32"/>
        </w:rPr>
      </w:pPr>
    </w:p>
    <w:p>
      <w:pPr>
        <w:jc w:val="center"/>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表七：一般公共预算财政拨款安排的“三公”经费支出决算表</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6"/>
        <w:gridCol w:w="1991"/>
        <w:gridCol w:w="1896"/>
        <w:gridCol w:w="1899"/>
        <w:gridCol w:w="990"/>
        <w:gridCol w:w="990"/>
        <w:gridCol w:w="996"/>
        <w:gridCol w:w="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96" w:type="pct"/>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部门：广西河池市环江毛南族自治县明伦镇中心卫生院</w:t>
            </w:r>
          </w:p>
        </w:tc>
        <w:tc>
          <w:tcPr>
            <w:tcW w:w="1958" w:type="pct"/>
            <w:gridSpan w:val="3"/>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335"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35"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674" w:type="pct"/>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70"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642"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年初结转和结余</w:t>
            </w:r>
          </w:p>
        </w:tc>
        <w:tc>
          <w:tcPr>
            <w:tcW w:w="643"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w:t>
            </w:r>
          </w:p>
        </w:tc>
        <w:tc>
          <w:tcPr>
            <w:tcW w:w="1007" w:type="pct"/>
            <w:gridSpan w:val="3"/>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c>
          <w:tcPr>
            <w:tcW w:w="337" w:type="pct"/>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96" w:type="pct"/>
            <w:vMerge w:val="restar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673"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642"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35"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335"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336"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337"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96" w:type="pct"/>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73"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42"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35"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35"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36"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37"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96" w:type="pct"/>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73"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42"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35"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35"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36"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37" w:type="pct"/>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7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64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3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3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3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3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7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642"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643"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335"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335"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336"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337"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p>
        </w:tc>
        <w:tc>
          <w:tcPr>
            <w:tcW w:w="673"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64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643"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33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96" w:type="pct"/>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673"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642"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643"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335"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335"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336"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337"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注：本部门2022年度没有</w:t>
            </w:r>
            <w:r>
              <w:rPr>
                <w:rFonts w:hint="default" w:ascii="宋体" w:hAnsi="宋体" w:eastAsia="宋体" w:cs="宋体"/>
                <w:i w:val="0"/>
                <w:iCs w:val="0"/>
                <w:color w:val="auto"/>
                <w:kern w:val="0"/>
                <w:sz w:val="22"/>
                <w:szCs w:val="22"/>
                <w:u w:val="none"/>
                <w:lang w:val="en-US" w:eastAsia="zh-CN" w:bidi="ar"/>
              </w:rPr>
              <w:t>一般公共预算财政拨款安排的“三公”经费支出</w:t>
            </w:r>
            <w:r>
              <w:rPr>
                <w:rFonts w:hint="eastAsia" w:ascii="宋体" w:hAnsi="宋体" w:eastAsia="宋体" w:cs="宋体"/>
                <w:i w:val="0"/>
                <w:iCs w:val="0"/>
                <w:color w:val="auto"/>
                <w:kern w:val="0"/>
                <w:sz w:val="22"/>
                <w:szCs w:val="22"/>
                <w:u w:val="none"/>
                <w:lang w:val="en-US" w:eastAsia="zh-CN" w:bidi="ar"/>
              </w:rPr>
              <w:t>，故本表无数据。</w:t>
            </w:r>
          </w:p>
        </w:tc>
      </w:tr>
    </w:tbl>
    <w:p>
      <w:pPr>
        <w:keepNext w:val="0"/>
        <w:keepLines w:val="0"/>
        <w:pageBreakBefore w:val="0"/>
        <w:kinsoku/>
        <w:wordWrap/>
        <w:overflowPunct/>
        <w:topLinePunct w:val="0"/>
        <w:bidi w:val="0"/>
        <w:snapToGrid/>
        <w:spacing w:line="560" w:lineRule="exact"/>
        <w:jc w:val="both"/>
        <w:textAlignment w:val="auto"/>
        <w:rPr>
          <w:rFonts w:hint="default" w:ascii="Times New Roman" w:hAnsi="Times New Roman" w:eastAsia="仿宋_GB2312" w:cs="Times New Roman"/>
          <w:b/>
          <w:bCs/>
          <w:color w:val="auto"/>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表八：国有资本经营预算财政拨款支出决算表</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30"/>
        <w:gridCol w:w="3745"/>
        <w:gridCol w:w="3615"/>
        <w:gridCol w:w="2489"/>
        <w:gridCol w:w="2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12" w:type="pct"/>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部门：广西河池市环江毛南族自治县明伦镇中心卫生院</w:t>
            </w:r>
          </w:p>
        </w:tc>
        <w:tc>
          <w:tcPr>
            <w:tcW w:w="1687" w:type="pct"/>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2910" w:type="pct"/>
            <w:gridSpan w:val="3"/>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2" w:type="pct"/>
            <w:vMerge w:val="restar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1266"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223"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842"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844"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2" w:type="pct"/>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66"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23"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42"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44"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2" w:type="pct"/>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66"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23"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42"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44"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2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4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223"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842"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844"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p>
        </w:tc>
        <w:tc>
          <w:tcPr>
            <w:tcW w:w="1266"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23"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842"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844" w:type="pc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2" w:type="pct"/>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266"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223"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42"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44"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5"/>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注：本部门2022年度没有国有资本经营预算财</w:t>
            </w:r>
            <w:r>
              <w:rPr>
                <w:rFonts w:hint="default" w:ascii="宋体" w:hAnsi="宋体" w:eastAsia="宋体" w:cs="宋体"/>
                <w:i w:val="0"/>
                <w:iCs w:val="0"/>
                <w:color w:val="auto"/>
                <w:kern w:val="0"/>
                <w:sz w:val="22"/>
                <w:szCs w:val="22"/>
                <w:u w:val="none"/>
                <w:lang w:val="en-US" w:eastAsia="zh-CN" w:bidi="ar"/>
              </w:rPr>
              <w:t>政拨款支出</w:t>
            </w:r>
            <w:r>
              <w:rPr>
                <w:rFonts w:hint="eastAsia" w:ascii="宋体" w:hAnsi="宋体" w:eastAsia="宋体" w:cs="宋体"/>
                <w:i w:val="0"/>
                <w:iCs w:val="0"/>
                <w:color w:val="auto"/>
                <w:kern w:val="0"/>
                <w:sz w:val="22"/>
                <w:szCs w:val="22"/>
                <w:u w:val="none"/>
                <w:lang w:val="en-US" w:eastAsia="zh-CN" w:bidi="ar"/>
              </w:rPr>
              <w:t>，故本表无数据。</w:t>
            </w:r>
          </w:p>
        </w:tc>
      </w:tr>
    </w:tbl>
    <w:p>
      <w:pPr>
        <w:rPr>
          <w:rFonts w:hint="eastAsia" w:ascii="Times New Roman" w:hAnsi="Times New Roman" w:eastAsia="仿宋_GB2312" w:cs="Times New Roman"/>
          <w:b/>
          <w:bCs/>
          <w:color w:val="auto"/>
          <w:sz w:val="32"/>
          <w:szCs w:val="32"/>
        </w:rPr>
      </w:pPr>
    </w:p>
    <w:p>
      <w:pPr>
        <w:rPr>
          <w:rFonts w:hint="default" w:ascii="Times New Roman" w:hAnsi="Times New Roman" w:eastAsia="仿宋_GB2312" w:cs="Times New Roman"/>
          <w:b/>
          <w:bCs/>
          <w:color w:val="auto"/>
          <w:sz w:val="32"/>
          <w:szCs w:val="32"/>
        </w:rPr>
      </w:pPr>
    </w:p>
    <w:p>
      <w:pPr>
        <w:jc w:val="center"/>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表九：财政拨款“三公”经费支出决算表</w:t>
      </w:r>
    </w:p>
    <w:tbl>
      <w:tblPr>
        <w:tblStyle w:val="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9"/>
        <w:gridCol w:w="1230"/>
        <w:gridCol w:w="1230"/>
        <w:gridCol w:w="1230"/>
        <w:gridCol w:w="1239"/>
        <w:gridCol w:w="1233"/>
        <w:gridCol w:w="1230"/>
        <w:gridCol w:w="1230"/>
        <w:gridCol w:w="1230"/>
        <w:gridCol w:w="1230"/>
        <w:gridCol w:w="1236"/>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83" w:type="pct"/>
            <w:gridSpan w:val="5"/>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部门：广西河池市环江毛南族自治县明伦镇中心卫生院</w:t>
            </w:r>
          </w:p>
        </w:tc>
        <w:tc>
          <w:tcPr>
            <w:tcW w:w="416"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416"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16"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16"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16"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833" w:type="pct"/>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00" w:type="pct"/>
            <w:gridSpan w:val="6"/>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预算数</w:t>
            </w:r>
          </w:p>
        </w:tc>
        <w:tc>
          <w:tcPr>
            <w:tcW w:w="2500" w:type="pct"/>
            <w:gridSpan w:val="6"/>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 w:type="pct"/>
            <w:vMerge w:val="restar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因公出国（境）费</w:t>
            </w:r>
          </w:p>
        </w:tc>
        <w:tc>
          <w:tcPr>
            <w:tcW w:w="1250" w:type="pct"/>
            <w:gridSpan w:val="3"/>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公务用车购置及运行维护费</w:t>
            </w:r>
          </w:p>
        </w:tc>
        <w:tc>
          <w:tcPr>
            <w:tcW w:w="416"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公务接待费</w:t>
            </w:r>
          </w:p>
        </w:tc>
        <w:tc>
          <w:tcPr>
            <w:tcW w:w="416"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因公出国（境）费</w:t>
            </w:r>
          </w:p>
        </w:tc>
        <w:tc>
          <w:tcPr>
            <w:tcW w:w="1250" w:type="pct"/>
            <w:gridSpan w:val="3"/>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公务用车购置及运行维护费</w:t>
            </w:r>
          </w:p>
        </w:tc>
        <w:tc>
          <w:tcPr>
            <w:tcW w:w="416" w:type="pct"/>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6" w:type="pct"/>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6"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公务用车购置费</w:t>
            </w: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公务用车运行维护费</w:t>
            </w:r>
          </w:p>
        </w:tc>
        <w:tc>
          <w:tcPr>
            <w:tcW w:w="416"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6"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6"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公务用车购置费</w:t>
            </w: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公务用车运行维护费</w:t>
            </w:r>
          </w:p>
        </w:tc>
        <w:tc>
          <w:tcPr>
            <w:tcW w:w="416" w:type="pct"/>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 w:type="pc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416" w:type="pc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 w:type="pct"/>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416"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416"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416"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416"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416"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416"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416"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416" w:type="pct"/>
            <w:tcBorders>
              <w:top w:val="nil"/>
              <w:left w:val="nil"/>
              <w:bottom w:val="single" w:color="000000" w:sz="4" w:space="0"/>
              <w:right w:val="single" w:color="000000" w:sz="4" w:space="0"/>
            </w:tcBorders>
            <w:noWrap/>
            <w:vAlign w:val="center"/>
          </w:tcPr>
          <w:p>
            <w:pPr>
              <w:keepNext w:val="0"/>
              <w:keepLines w:val="0"/>
              <w:suppressLineNumbers w:val="0"/>
              <w:wordWrap w:val="0"/>
              <w:spacing w:before="0" w:beforeAutospacing="0" w:after="0" w:afterAutospacing="0"/>
              <w:ind w:left="0" w:right="0"/>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 xml:space="preserve">0 </w:t>
            </w:r>
          </w:p>
        </w:tc>
        <w:tc>
          <w:tcPr>
            <w:tcW w:w="416"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416" w:type="pct"/>
            <w:tcBorders>
              <w:top w:val="nil"/>
              <w:left w:val="nil"/>
              <w:bottom w:val="single" w:color="000000" w:sz="4" w:space="0"/>
              <w:right w:val="single" w:color="000000" w:sz="4" w:space="0"/>
            </w:tcBorders>
            <w:noWrap/>
            <w:vAlign w:val="center"/>
          </w:tcPr>
          <w:p>
            <w:pPr>
              <w:keepNext w:val="0"/>
              <w:keepLines w:val="0"/>
              <w:suppressLineNumbers w:val="0"/>
              <w:wordWrap w:val="0"/>
              <w:spacing w:before="0" w:beforeAutospacing="0" w:after="0" w:afterAutospacing="0"/>
              <w:ind w:left="0" w:right="0"/>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 xml:space="preserve">0 </w:t>
            </w:r>
          </w:p>
        </w:tc>
        <w:tc>
          <w:tcPr>
            <w:tcW w:w="416" w:type="pct"/>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注：本部门2022年度没有</w:t>
            </w:r>
            <w:r>
              <w:rPr>
                <w:rFonts w:hint="default" w:ascii="宋体" w:hAnsi="宋体" w:eastAsia="宋体" w:cs="宋体"/>
                <w:i w:val="0"/>
                <w:iCs w:val="0"/>
                <w:color w:val="auto"/>
                <w:kern w:val="0"/>
                <w:sz w:val="22"/>
                <w:szCs w:val="22"/>
                <w:u w:val="none"/>
                <w:lang w:val="en-US" w:eastAsia="zh-CN" w:bidi="ar"/>
              </w:rPr>
              <w:t>财政拨款“三公”经费支出</w:t>
            </w:r>
            <w:r>
              <w:rPr>
                <w:rFonts w:hint="eastAsia" w:ascii="宋体" w:hAnsi="宋体" w:eastAsia="宋体" w:cs="宋体"/>
                <w:i w:val="0"/>
                <w:iCs w:val="0"/>
                <w:color w:val="auto"/>
                <w:kern w:val="0"/>
                <w:sz w:val="22"/>
                <w:szCs w:val="22"/>
                <w:u w:val="none"/>
                <w:lang w:val="en-US" w:eastAsia="zh-CN" w:bidi="ar"/>
              </w:rPr>
              <w:t>，故本表无数据。</w:t>
            </w:r>
          </w:p>
        </w:tc>
      </w:tr>
    </w:tbl>
    <w:p>
      <w:pPr>
        <w:rPr>
          <w:rFonts w:hint="eastAsia" w:ascii="Times New Roman" w:hAnsi="Times New Roman" w:eastAsia="仿宋_GB2312" w:cs="Times New Roman"/>
          <w:b/>
          <w:bCs/>
          <w:color w:val="auto"/>
          <w:sz w:val="32"/>
          <w:szCs w:val="32"/>
        </w:rPr>
      </w:pPr>
    </w:p>
    <w:p>
      <w:pPr>
        <w:rPr>
          <w:rFonts w:hint="eastAsia" w:ascii="宋体" w:hAnsi="宋体" w:eastAsia="宋体" w:cs="宋体"/>
          <w:color w:val="auto"/>
          <w:kern w:val="0"/>
          <w:sz w:val="30"/>
          <w:szCs w:val="30"/>
          <w:highlight w:val="none"/>
          <w:lang w:bidi="ar"/>
        </w:rPr>
      </w:pPr>
    </w:p>
    <w:p>
      <w:pPr>
        <w:rPr>
          <w:rFonts w:hint="eastAsia" w:ascii="宋体" w:hAnsi="宋体" w:eastAsia="宋体" w:cs="宋体"/>
          <w:color w:val="auto"/>
          <w:kern w:val="0"/>
          <w:sz w:val="30"/>
          <w:szCs w:val="30"/>
          <w:highlight w:val="none"/>
          <w:lang w:bidi="ar"/>
        </w:rPr>
      </w:pPr>
    </w:p>
    <w:p>
      <w:pPr>
        <w:rPr>
          <w:rFonts w:hint="eastAsia" w:ascii="宋体" w:hAnsi="宋体" w:eastAsia="宋体" w:cs="宋体"/>
          <w:color w:val="auto"/>
          <w:kern w:val="0"/>
          <w:sz w:val="30"/>
          <w:szCs w:val="30"/>
          <w:highlight w:val="none"/>
          <w:lang w:bidi="ar"/>
        </w:rPr>
      </w:pPr>
    </w:p>
    <w:p>
      <w:pPr>
        <w:rPr>
          <w:rFonts w:hint="eastAsia" w:ascii="宋体" w:hAnsi="宋体" w:eastAsia="宋体" w:cs="宋体"/>
          <w:color w:val="auto"/>
          <w:kern w:val="0"/>
          <w:sz w:val="30"/>
          <w:szCs w:val="30"/>
          <w:highlight w:val="none"/>
          <w:lang w:bidi="ar"/>
        </w:rPr>
      </w:pPr>
    </w:p>
    <w:p>
      <w:pPr>
        <w:rPr>
          <w:rFonts w:hint="eastAsia" w:ascii="宋体" w:hAnsi="宋体" w:eastAsia="宋体" w:cs="宋体"/>
          <w:color w:val="auto"/>
          <w:kern w:val="0"/>
          <w:sz w:val="30"/>
          <w:szCs w:val="30"/>
          <w:highlight w:val="none"/>
          <w:lang w:bidi="ar"/>
        </w:rPr>
      </w:pPr>
    </w:p>
    <w:p>
      <w:pPr>
        <w:rPr>
          <w:rFonts w:hint="eastAsia" w:ascii="宋体" w:hAnsi="宋体" w:eastAsia="宋体" w:cs="宋体"/>
          <w:color w:val="auto"/>
          <w:kern w:val="0"/>
          <w:sz w:val="30"/>
          <w:szCs w:val="30"/>
          <w:highlight w:val="none"/>
          <w:lang w:bidi="ar"/>
        </w:rPr>
      </w:pPr>
    </w:p>
    <w:p>
      <w:pPr>
        <w:jc w:val="left"/>
        <w:rPr>
          <w:rFonts w:ascii="仿宋" w:hAnsi="仿宋" w:eastAsia="仿宋" w:cs="仿宋"/>
          <w:color w:val="auto"/>
          <w:sz w:val="24"/>
          <w:highlight w:val="none"/>
        </w:rPr>
        <w:sectPr>
          <w:pgSz w:w="16838" w:h="11906" w:orient="landscape"/>
          <w:pgMar w:top="1134" w:right="1134" w:bottom="1134" w:left="1134" w:header="851" w:footer="992" w:gutter="0"/>
          <w:cols w:space="0" w:num="1"/>
          <w:rtlGutter w:val="0"/>
          <w:docGrid w:type="lines" w:linePitch="312" w:charSpace="0"/>
        </w:sectPr>
      </w:pPr>
    </w:p>
    <w:p>
      <w:pPr>
        <w:jc w:val="left"/>
        <w:rPr>
          <w:rFonts w:ascii="仿宋" w:hAnsi="仿宋" w:eastAsia="仿宋" w:cs="仿宋"/>
          <w:color w:val="auto"/>
          <w:sz w:val="24"/>
          <w:highlight w:val="none"/>
        </w:rPr>
      </w:pP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szCs w:val="32"/>
          <w:highlight w:val="none"/>
          <w:lang w:val="en-US" w:eastAsia="zh-CN"/>
        </w:rPr>
        <w:t>明伦镇中心卫生院</w:t>
      </w:r>
      <w:r>
        <w:rPr>
          <w:rFonts w:hint="eastAsia" w:ascii="黑体" w:hAnsi="黑体" w:eastAsia="黑体" w:cs="黑体"/>
          <w:color w:val="auto"/>
          <w:sz w:val="32"/>
          <w:szCs w:val="32"/>
          <w:highlight w:val="none"/>
        </w:rPr>
        <w:t>2022年度部门决算情况说明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一、2022年度收入支出决算总体情况</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（一）本部门202</w:t>
      </w:r>
      <w:r>
        <w:rPr>
          <w:rFonts w:hint="eastAsia"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年度总收入</w:t>
      </w:r>
      <w:r>
        <w:rPr>
          <w:rFonts w:hint="eastAsia" w:ascii="Times New Roman" w:hAnsi="Times New Roman" w:eastAsia="仿宋_GB2312" w:cs="Times New Roman"/>
          <w:color w:val="auto"/>
          <w:kern w:val="0"/>
          <w:sz w:val="32"/>
          <w:szCs w:val="32"/>
          <w:u w:val="none"/>
          <w:lang w:val="en-US" w:eastAsia="zh-CN"/>
        </w:rPr>
        <w:t>1281.25</w:t>
      </w:r>
      <w:r>
        <w:rPr>
          <w:rFonts w:hint="default" w:ascii="Times New Roman" w:hAnsi="Times New Roman" w:eastAsia="仿宋_GB2312" w:cs="Times New Roman"/>
          <w:color w:val="auto"/>
          <w:kern w:val="0"/>
          <w:sz w:val="32"/>
          <w:szCs w:val="32"/>
          <w:u w:val="none"/>
        </w:rPr>
        <w:t>万元，其中本年收入</w:t>
      </w:r>
      <w:r>
        <w:rPr>
          <w:rFonts w:hint="eastAsia" w:ascii="Times New Roman" w:hAnsi="Times New Roman" w:eastAsia="仿宋_GB2312" w:cs="Times New Roman"/>
          <w:color w:val="auto"/>
          <w:kern w:val="0"/>
          <w:sz w:val="32"/>
          <w:szCs w:val="32"/>
          <w:u w:val="none"/>
          <w:lang w:val="en-US" w:eastAsia="zh-CN"/>
        </w:rPr>
        <w:t>1281.25</w:t>
      </w:r>
      <w:r>
        <w:rPr>
          <w:rFonts w:hint="default" w:ascii="Times New Roman" w:hAnsi="Times New Roman" w:eastAsia="仿宋_GB2312" w:cs="Times New Roman"/>
          <w:color w:val="auto"/>
          <w:kern w:val="0"/>
          <w:sz w:val="32"/>
          <w:szCs w:val="32"/>
          <w:u w:val="none"/>
        </w:rPr>
        <w:t>万元, 较202</w:t>
      </w:r>
      <w:r>
        <w:rPr>
          <w:rFonts w:hint="eastAsia" w:ascii="Times New Roman" w:hAnsi="Times New Roman" w:eastAsia="仿宋_GB2312" w:cs="Times New Roman"/>
          <w:color w:val="auto"/>
          <w:kern w:val="0"/>
          <w:sz w:val="32"/>
          <w:szCs w:val="32"/>
          <w:u w:val="none"/>
          <w:lang w:val="en-US" w:eastAsia="zh-CN"/>
        </w:rPr>
        <w:t>1</w:t>
      </w:r>
      <w:r>
        <w:rPr>
          <w:rFonts w:hint="default" w:ascii="Times New Roman" w:hAnsi="Times New Roman" w:eastAsia="仿宋_GB2312" w:cs="Times New Roman"/>
          <w:color w:val="auto"/>
          <w:kern w:val="0"/>
          <w:sz w:val="32"/>
          <w:szCs w:val="32"/>
          <w:u w:val="none"/>
        </w:rPr>
        <w:t>年度决算数增加</w:t>
      </w:r>
      <w:r>
        <w:rPr>
          <w:rFonts w:hint="eastAsia" w:ascii="Times New Roman" w:hAnsi="Times New Roman" w:eastAsia="仿宋_GB2312" w:cs="Times New Roman"/>
          <w:color w:val="auto"/>
          <w:kern w:val="0"/>
          <w:sz w:val="32"/>
          <w:szCs w:val="32"/>
          <w:u w:val="none"/>
          <w:lang w:val="en-US" w:eastAsia="zh-CN"/>
        </w:rPr>
        <w:t xml:space="preserve"> 127.71</w:t>
      </w:r>
      <w:r>
        <w:rPr>
          <w:rFonts w:hint="default" w:ascii="Times New Roman" w:hAnsi="Times New Roman" w:eastAsia="仿宋_GB2312" w:cs="Times New Roman"/>
          <w:color w:val="auto"/>
          <w:kern w:val="0"/>
          <w:sz w:val="32"/>
          <w:szCs w:val="32"/>
          <w:u w:val="none"/>
        </w:rPr>
        <w:t>万元，增长</w:t>
      </w:r>
      <w:r>
        <w:rPr>
          <w:rFonts w:hint="eastAsia" w:ascii="Times New Roman" w:hAnsi="Times New Roman" w:eastAsia="仿宋_GB2312" w:cs="Times New Roman"/>
          <w:color w:val="auto"/>
          <w:kern w:val="0"/>
          <w:sz w:val="32"/>
          <w:szCs w:val="32"/>
          <w:u w:val="none"/>
          <w:lang w:val="en-US" w:eastAsia="zh-CN"/>
        </w:rPr>
        <w:t>11.07</w:t>
      </w:r>
      <w:r>
        <w:rPr>
          <w:rFonts w:hint="default" w:ascii="Times New Roman" w:hAnsi="Times New Roman" w:eastAsia="仿宋_GB2312" w:cs="Times New Roman"/>
          <w:color w:val="auto"/>
          <w:kern w:val="0"/>
          <w:sz w:val="32"/>
          <w:szCs w:val="32"/>
          <w:u w:val="none"/>
        </w:rPr>
        <w:t>%。收入具体情况如下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
        </w:rPr>
      </w:pPr>
      <w:r>
        <w:rPr>
          <w:rFonts w:hint="default" w:ascii="Times New Roman" w:hAnsi="Times New Roman" w:eastAsia="仿宋_GB2312" w:cs="Times New Roman"/>
          <w:color w:val="auto"/>
          <w:kern w:val="0"/>
          <w:sz w:val="32"/>
          <w:szCs w:val="32"/>
          <w:u w:val="none"/>
        </w:rPr>
        <w:t>1.一般公共预算财政拨款收入</w:t>
      </w:r>
      <w:r>
        <w:rPr>
          <w:rFonts w:hint="eastAsia" w:ascii="Times New Roman" w:hAnsi="Times New Roman" w:eastAsia="仿宋_GB2312" w:cs="Times New Roman"/>
          <w:color w:val="auto"/>
          <w:kern w:val="0"/>
          <w:sz w:val="32"/>
          <w:szCs w:val="32"/>
          <w:u w:val="none"/>
          <w:lang w:val="en-US" w:eastAsia="zh-CN"/>
        </w:rPr>
        <w:t>837.01</w:t>
      </w:r>
      <w:r>
        <w:rPr>
          <w:rFonts w:hint="default" w:ascii="Times New Roman" w:hAnsi="Times New Roman" w:eastAsia="仿宋_GB2312" w:cs="Times New Roman"/>
          <w:color w:val="auto"/>
          <w:kern w:val="0"/>
          <w:sz w:val="32"/>
          <w:szCs w:val="32"/>
          <w:u w:val="none"/>
        </w:rPr>
        <w:t xml:space="preserve"> 万元，为</w:t>
      </w:r>
      <w:r>
        <w:rPr>
          <w:rFonts w:hint="eastAsia" w:ascii="Times New Roman" w:hAnsi="Times New Roman" w:eastAsia="仿宋_GB2312" w:cs="Times New Roman"/>
          <w:color w:val="auto"/>
          <w:kern w:val="0"/>
          <w:sz w:val="32"/>
          <w:szCs w:val="32"/>
          <w:u w:val="none"/>
          <w:lang w:val="en-US" w:eastAsia="zh-CN"/>
        </w:rPr>
        <w:t>环江县</w:t>
      </w:r>
      <w:r>
        <w:rPr>
          <w:rFonts w:hint="default" w:ascii="Times New Roman" w:hAnsi="Times New Roman" w:eastAsia="仿宋_GB2312" w:cs="Times New Roman"/>
          <w:color w:val="auto"/>
          <w:kern w:val="0"/>
          <w:sz w:val="32"/>
          <w:szCs w:val="32"/>
          <w:u w:val="none"/>
        </w:rPr>
        <w:t>财政当年拨付的资金。较202</w:t>
      </w:r>
      <w:r>
        <w:rPr>
          <w:rFonts w:hint="eastAsia" w:ascii="Times New Roman" w:hAnsi="Times New Roman" w:eastAsia="仿宋_GB2312" w:cs="Times New Roman"/>
          <w:color w:val="auto"/>
          <w:kern w:val="0"/>
          <w:sz w:val="32"/>
          <w:szCs w:val="32"/>
          <w:u w:val="none"/>
          <w:lang w:val="en-US" w:eastAsia="zh-CN"/>
        </w:rPr>
        <w:t>1</w:t>
      </w:r>
      <w:r>
        <w:rPr>
          <w:rFonts w:hint="default" w:ascii="Times New Roman" w:hAnsi="Times New Roman" w:eastAsia="仿宋_GB2312" w:cs="Times New Roman"/>
          <w:color w:val="auto"/>
          <w:kern w:val="0"/>
          <w:sz w:val="32"/>
          <w:szCs w:val="32"/>
          <w:u w:val="none"/>
        </w:rPr>
        <w:t>年度决算数增加</w:t>
      </w:r>
      <w:r>
        <w:rPr>
          <w:rFonts w:hint="eastAsia" w:ascii="Times New Roman" w:hAnsi="Times New Roman" w:eastAsia="仿宋_GB2312" w:cs="Times New Roman"/>
          <w:color w:val="auto"/>
          <w:kern w:val="0"/>
          <w:sz w:val="32"/>
          <w:szCs w:val="32"/>
          <w:u w:val="none"/>
          <w:lang w:val="en-US" w:eastAsia="zh-CN"/>
        </w:rPr>
        <w:t>108</w:t>
      </w:r>
      <w:r>
        <w:rPr>
          <w:rFonts w:hint="default" w:ascii="Times New Roman" w:hAnsi="Times New Roman" w:eastAsia="仿宋_GB2312" w:cs="Times New Roman"/>
          <w:color w:val="auto"/>
          <w:kern w:val="0"/>
          <w:sz w:val="32"/>
          <w:szCs w:val="32"/>
          <w:u w:val="none"/>
        </w:rPr>
        <w:t xml:space="preserve"> 万元，增长</w:t>
      </w:r>
      <w:r>
        <w:rPr>
          <w:rFonts w:hint="eastAsia" w:ascii="Times New Roman" w:hAnsi="Times New Roman" w:eastAsia="仿宋_GB2312" w:cs="Times New Roman"/>
          <w:color w:val="auto"/>
          <w:kern w:val="0"/>
          <w:sz w:val="32"/>
          <w:szCs w:val="32"/>
          <w:u w:val="none"/>
          <w:lang w:val="en-US" w:eastAsia="zh-CN"/>
        </w:rPr>
        <w:t>14.8</w:t>
      </w:r>
      <w:r>
        <w:rPr>
          <w:rFonts w:hint="default" w:ascii="Times New Roman" w:hAnsi="Times New Roman" w:eastAsia="仿宋_GB2312" w:cs="Times New Roman"/>
          <w:color w:val="auto"/>
          <w:kern w:val="0"/>
          <w:sz w:val="32"/>
          <w:szCs w:val="32"/>
          <w:u w:val="none"/>
        </w:rPr>
        <w:t xml:space="preserve"> %，主要原因是</w:t>
      </w:r>
      <w:r>
        <w:rPr>
          <w:rFonts w:hint="eastAsia" w:ascii="Times New Roman" w:hAnsi="Times New Roman" w:eastAsia="仿宋_GB2312" w:cs="Times New Roman"/>
          <w:color w:val="auto"/>
          <w:kern w:val="0"/>
          <w:sz w:val="32"/>
          <w:szCs w:val="32"/>
          <w:u w:val="none"/>
          <w:lang w:val="en-US" w:eastAsia="zh-CN"/>
        </w:rPr>
        <w:t>2022年本单位的人员变动情况，因此社会保障和就业支出、养老支出、住房公积金等支出增多。</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Times New Roman" w:hAnsi="Times New Roman" w:eastAsia="仿宋_GB2312" w:cs="Times New Roman"/>
          <w:color w:val="auto"/>
          <w:kern w:val="0"/>
          <w:sz w:val="32"/>
          <w:szCs w:val="32"/>
          <w:u w:val="none"/>
          <w:lang w:val="en-US" w:eastAsia="zh-CN"/>
        </w:rPr>
        <w:t>环江县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val="en-US" w:eastAsia="zh-CN"/>
        </w:rPr>
        <w:t>环江县</w:t>
      </w:r>
      <w:r>
        <w:rPr>
          <w:rFonts w:hint="eastAsia" w:ascii="仿宋" w:hAnsi="仿宋" w:eastAsia="仿宋" w:cs="仿宋"/>
          <w:color w:val="auto"/>
          <w:kern w:val="2"/>
          <w:sz w:val="32"/>
          <w:szCs w:val="32"/>
          <w:highlight w:val="none"/>
          <w:lang w:val="en-US" w:eastAsia="zh-CN" w:bidi="ar"/>
        </w:rPr>
        <w:t>财政当年拨付的资金。较2022年度决算数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4.上级补助收入</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万元，为上级部门当年拨付的资金。较2022年度决算数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，主要原因是：：本单位没有上级补助资金。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w:t>
      </w:r>
      <w:r>
        <w:rPr>
          <w:rFonts w:hint="default" w:ascii="Times New Roman" w:hAnsi="Times New Roman" w:eastAsia="仿宋_GB2312" w:cs="Times New Roman"/>
          <w:color w:val="auto"/>
          <w:kern w:val="0"/>
          <w:sz w:val="32"/>
          <w:szCs w:val="32"/>
          <w:u w:val="none"/>
        </w:rPr>
        <w:t>事业收入 442.16万元，为事业单位开展业务活动取得的收入。较202</w:t>
      </w:r>
      <w:r>
        <w:rPr>
          <w:rFonts w:hint="eastAsia"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年度决算数增加</w:t>
      </w:r>
      <w:r>
        <w:rPr>
          <w:rFonts w:hint="eastAsia" w:ascii="Times New Roman" w:hAnsi="Times New Roman" w:eastAsia="仿宋_GB2312" w:cs="Times New Roman"/>
          <w:color w:val="auto"/>
          <w:kern w:val="0"/>
          <w:sz w:val="32"/>
          <w:szCs w:val="32"/>
          <w:u w:val="none"/>
          <w:lang w:val="en-US" w:eastAsia="zh-CN"/>
        </w:rPr>
        <w:t>19.75</w:t>
      </w:r>
      <w:r>
        <w:rPr>
          <w:rFonts w:hint="default" w:ascii="Times New Roman" w:hAnsi="Times New Roman" w:eastAsia="仿宋_GB2312" w:cs="Times New Roman"/>
          <w:color w:val="auto"/>
          <w:kern w:val="0"/>
          <w:sz w:val="32"/>
          <w:szCs w:val="32"/>
          <w:u w:val="none"/>
        </w:rPr>
        <w:t>万元，增长</w:t>
      </w:r>
      <w:r>
        <w:rPr>
          <w:rFonts w:hint="eastAsia" w:ascii="Times New Roman" w:hAnsi="Times New Roman" w:eastAsia="仿宋_GB2312" w:cs="Times New Roman"/>
          <w:color w:val="auto"/>
          <w:kern w:val="0"/>
          <w:sz w:val="32"/>
          <w:szCs w:val="32"/>
          <w:u w:val="none"/>
          <w:lang w:val="en-US" w:eastAsia="zh-CN"/>
        </w:rPr>
        <w:t>4.6</w:t>
      </w:r>
      <w:r>
        <w:rPr>
          <w:rFonts w:hint="default" w:ascii="Times New Roman" w:hAnsi="Times New Roman" w:eastAsia="仿宋_GB2312" w:cs="Times New Roman"/>
          <w:color w:val="auto"/>
          <w:kern w:val="0"/>
          <w:sz w:val="32"/>
          <w:szCs w:val="32"/>
          <w:u w:val="none"/>
        </w:rPr>
        <w:t xml:space="preserve"> %，主要原因是</w:t>
      </w:r>
      <w:r>
        <w:rPr>
          <w:rFonts w:hint="eastAsia" w:ascii="Times New Roman" w:hAnsi="Times New Roman" w:eastAsia="仿宋_GB2312" w:cs="Times New Roman"/>
          <w:color w:val="auto"/>
          <w:kern w:val="0"/>
          <w:sz w:val="32"/>
          <w:szCs w:val="32"/>
          <w:u w:val="none"/>
          <w:lang w:val="en-US" w:eastAsia="zh-CN"/>
        </w:rPr>
        <w:t>业务服务能力提升，人员增多，业务扩大。</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6.经营收入0.00万,为事业单位在业务活动之外开展非独立核算经营活动取得的收入。较2022年度决算数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w:t>
      </w:r>
      <w:r>
        <w:rPr>
          <w:rFonts w:hint="default" w:ascii="Times New Roman" w:hAnsi="Times New Roman" w:eastAsia="仿宋_GB2312" w:cs="Times New Roman"/>
          <w:color w:val="auto"/>
          <w:kern w:val="0"/>
          <w:sz w:val="32"/>
          <w:szCs w:val="32"/>
          <w:u w:val="none"/>
        </w:rPr>
        <w:t>其他收入</w:t>
      </w:r>
      <w:r>
        <w:rPr>
          <w:rFonts w:hint="eastAsia" w:ascii="Times New Roman" w:hAnsi="Times New Roman" w:eastAsia="仿宋_GB2312" w:cs="Times New Roman"/>
          <w:color w:val="auto"/>
          <w:kern w:val="0"/>
          <w:sz w:val="32"/>
          <w:szCs w:val="32"/>
          <w:u w:val="none"/>
          <w:lang w:val="en-US" w:eastAsia="zh-CN"/>
        </w:rPr>
        <w:t>2.08</w:t>
      </w:r>
      <w:r>
        <w:rPr>
          <w:rFonts w:hint="default" w:ascii="Times New Roman" w:hAnsi="Times New Roman" w:eastAsia="仿宋_GB2312" w:cs="Times New Roman"/>
          <w:color w:val="auto"/>
          <w:kern w:val="0"/>
          <w:sz w:val="32"/>
          <w:szCs w:val="32"/>
          <w:u w:val="none"/>
        </w:rPr>
        <w:t>万元，</w:t>
      </w:r>
      <w:r>
        <w:rPr>
          <w:rFonts w:hint="eastAsia" w:ascii="Times New Roman" w:hAnsi="Times New Roman" w:eastAsia="仿宋_GB2312" w:cs="Times New Roman"/>
          <w:color w:val="auto"/>
          <w:kern w:val="0"/>
          <w:sz w:val="32"/>
          <w:szCs w:val="32"/>
          <w:u w:val="none"/>
          <w:lang w:val="en-US" w:eastAsia="zh-CN"/>
        </w:rPr>
        <w:t>主要</w:t>
      </w:r>
      <w:r>
        <w:rPr>
          <w:rFonts w:hint="default" w:ascii="Times New Roman" w:hAnsi="Times New Roman" w:eastAsia="仿宋_GB2312" w:cs="Times New Roman"/>
          <w:color w:val="auto"/>
          <w:kern w:val="0"/>
          <w:sz w:val="32"/>
          <w:szCs w:val="32"/>
          <w:u w:val="none"/>
        </w:rPr>
        <w:t>为</w:t>
      </w:r>
      <w:r>
        <w:rPr>
          <w:rFonts w:hint="eastAsia" w:ascii="Times New Roman" w:hAnsi="Times New Roman" w:eastAsia="仿宋_GB2312" w:cs="Times New Roman"/>
          <w:color w:val="auto"/>
          <w:kern w:val="0"/>
          <w:sz w:val="32"/>
          <w:szCs w:val="32"/>
          <w:u w:val="none"/>
          <w:lang w:val="en-US" w:eastAsia="zh-CN"/>
        </w:rPr>
        <w:t>利息收入。</w:t>
      </w:r>
      <w:r>
        <w:rPr>
          <w:rFonts w:hint="default" w:ascii="Times New Roman" w:hAnsi="Times New Roman" w:eastAsia="仿宋_GB2312" w:cs="Times New Roman"/>
          <w:color w:val="auto"/>
          <w:kern w:val="0"/>
          <w:sz w:val="32"/>
          <w:szCs w:val="32"/>
          <w:u w:val="none"/>
        </w:rPr>
        <w:t>较202</w:t>
      </w:r>
      <w:r>
        <w:rPr>
          <w:rFonts w:hint="eastAsia" w:ascii="Times New Roman" w:hAnsi="Times New Roman" w:eastAsia="仿宋_GB2312" w:cs="Times New Roman"/>
          <w:color w:val="auto"/>
          <w:kern w:val="0"/>
          <w:sz w:val="32"/>
          <w:szCs w:val="32"/>
          <w:u w:val="none"/>
          <w:lang w:val="en-US" w:eastAsia="zh-CN"/>
        </w:rPr>
        <w:t>1</w:t>
      </w:r>
      <w:r>
        <w:rPr>
          <w:rFonts w:hint="default" w:ascii="Times New Roman" w:hAnsi="Times New Roman" w:eastAsia="仿宋_GB2312" w:cs="Times New Roman"/>
          <w:color w:val="auto"/>
          <w:kern w:val="0"/>
          <w:sz w:val="32"/>
          <w:szCs w:val="32"/>
          <w:u w:val="none"/>
        </w:rPr>
        <w:t>年度决算数增加</w:t>
      </w:r>
      <w:r>
        <w:rPr>
          <w:rFonts w:hint="eastAsia" w:ascii="Times New Roman" w:hAnsi="Times New Roman" w:eastAsia="仿宋_GB2312" w:cs="Times New Roman"/>
          <w:color w:val="auto"/>
          <w:kern w:val="0"/>
          <w:sz w:val="32"/>
          <w:szCs w:val="32"/>
          <w:u w:val="none"/>
          <w:lang w:val="en-US" w:eastAsia="zh-CN"/>
        </w:rPr>
        <w:t>0.17</w:t>
      </w:r>
      <w:r>
        <w:rPr>
          <w:rFonts w:hint="default" w:ascii="Times New Roman" w:hAnsi="Times New Roman" w:eastAsia="仿宋_GB2312" w:cs="Times New Roman"/>
          <w:color w:val="auto"/>
          <w:kern w:val="0"/>
          <w:sz w:val="32"/>
          <w:szCs w:val="32"/>
          <w:u w:val="none"/>
        </w:rPr>
        <w:t>万元，增长</w:t>
      </w:r>
      <w:r>
        <w:rPr>
          <w:rFonts w:hint="eastAsia" w:ascii="Times New Roman" w:hAnsi="Times New Roman" w:eastAsia="仿宋_GB2312" w:cs="Times New Roman"/>
          <w:color w:val="auto"/>
          <w:kern w:val="0"/>
          <w:sz w:val="32"/>
          <w:szCs w:val="32"/>
          <w:u w:val="none"/>
          <w:lang w:val="en-US" w:eastAsia="zh-CN"/>
        </w:rPr>
        <w:t>8.9</w:t>
      </w:r>
      <w:r>
        <w:rPr>
          <w:rFonts w:hint="default" w:ascii="Times New Roman" w:hAnsi="Times New Roman" w:eastAsia="仿宋_GB2312" w:cs="Times New Roman"/>
          <w:color w:val="auto"/>
          <w:kern w:val="0"/>
          <w:sz w:val="32"/>
          <w:szCs w:val="32"/>
          <w:u w:val="none"/>
        </w:rPr>
        <w:t>%，主要原因是</w:t>
      </w:r>
      <w:r>
        <w:rPr>
          <w:rFonts w:hint="default" w:ascii="Times New Roman" w:hAnsi="Times New Roman" w:eastAsia="仿宋_GB2312" w:cs="Times New Roman"/>
          <w:color w:val="auto"/>
          <w:sz w:val="32"/>
          <w:szCs w:val="32"/>
          <w:u w:val="none"/>
        </w:rPr>
        <w:t>本</w:t>
      </w:r>
      <w:r>
        <w:rPr>
          <w:rFonts w:hint="eastAsia" w:ascii="Times New Roman" w:hAnsi="Times New Roman" w:eastAsia="仿宋_GB2312" w:cs="Times New Roman"/>
          <w:color w:val="auto"/>
          <w:sz w:val="32"/>
          <w:szCs w:val="32"/>
          <w:u w:val="none"/>
          <w:lang w:val="en-US" w:eastAsia="zh-CN"/>
        </w:rPr>
        <w:t>单位</w:t>
      </w: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w:t>
      </w:r>
      <w:r>
        <w:rPr>
          <w:rFonts w:hint="eastAsia"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年度</w:t>
      </w:r>
      <w:r>
        <w:rPr>
          <w:rFonts w:hint="default" w:ascii="Times New Roman" w:hAnsi="Times New Roman" w:eastAsia="仿宋_GB2312" w:cs="Times New Roman"/>
          <w:color w:val="auto"/>
          <w:kern w:val="0"/>
          <w:sz w:val="32"/>
          <w:szCs w:val="32"/>
          <w:u w:val="none"/>
        </w:rPr>
        <w:t>业务</w:t>
      </w:r>
      <w:r>
        <w:rPr>
          <w:rFonts w:hint="eastAsia" w:ascii="Times New Roman" w:hAnsi="Times New Roman" w:eastAsia="仿宋_GB2312" w:cs="Times New Roman"/>
          <w:color w:val="auto"/>
          <w:kern w:val="0"/>
          <w:sz w:val="32"/>
          <w:szCs w:val="32"/>
          <w:u w:val="none"/>
          <w:lang w:val="en-US" w:eastAsia="zh-CN"/>
        </w:rPr>
        <w:t>收入增加，利息增加。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w:t>
      </w:r>
      <w:r>
        <w:rPr>
          <w:rFonts w:hint="default" w:ascii="Times New Roman" w:hAnsi="Times New Roman" w:eastAsia="仿宋_GB2312" w:cs="Times New Roman"/>
          <w:color w:val="auto"/>
          <w:kern w:val="0"/>
          <w:sz w:val="32"/>
          <w:szCs w:val="32"/>
          <w:u w:val="none"/>
        </w:rPr>
        <w:t>上年结转和结余</w:t>
      </w:r>
      <w:r>
        <w:rPr>
          <w:rFonts w:hint="eastAsia" w:ascii="Times New Roman" w:hAnsi="Times New Roman" w:eastAsia="仿宋_GB2312" w:cs="Times New Roman"/>
          <w:color w:val="auto"/>
          <w:kern w:val="0"/>
          <w:sz w:val="32"/>
          <w:szCs w:val="32"/>
          <w:u w:val="none"/>
          <w:lang w:val="en-US" w:eastAsia="zh-CN"/>
        </w:rPr>
        <w:t>0</w:t>
      </w:r>
      <w:r>
        <w:rPr>
          <w:rFonts w:hint="default" w:ascii="Times New Roman" w:hAnsi="Times New Roman" w:eastAsia="仿宋_GB2312" w:cs="Times New Roman"/>
          <w:color w:val="auto"/>
          <w:kern w:val="0"/>
          <w:sz w:val="32"/>
          <w:szCs w:val="32"/>
          <w:u w:val="none"/>
        </w:rPr>
        <w:t>万元，为以前年度支出预算因客观条件变化未执行完毕、结转到本年度按有关规定继续使用的资金。较202</w:t>
      </w:r>
      <w:r>
        <w:rPr>
          <w:rFonts w:hint="eastAsia" w:ascii="Times New Roman" w:hAnsi="Times New Roman" w:eastAsia="仿宋_GB2312" w:cs="Times New Roman"/>
          <w:color w:val="auto"/>
          <w:kern w:val="0"/>
          <w:sz w:val="32"/>
          <w:szCs w:val="32"/>
          <w:u w:val="none"/>
          <w:lang w:val="en-US" w:eastAsia="zh-CN"/>
        </w:rPr>
        <w:t>1</w:t>
      </w:r>
      <w:r>
        <w:rPr>
          <w:rFonts w:hint="default" w:ascii="Times New Roman" w:hAnsi="Times New Roman" w:eastAsia="仿宋_GB2312" w:cs="Times New Roman"/>
          <w:color w:val="auto"/>
          <w:kern w:val="0"/>
          <w:sz w:val="32"/>
          <w:szCs w:val="32"/>
          <w:u w:val="none"/>
        </w:rPr>
        <w:t>年度决算数减少</w:t>
      </w:r>
      <w:r>
        <w:rPr>
          <w:rFonts w:hint="eastAsia" w:ascii="Times New Roman" w:hAnsi="Times New Roman" w:eastAsia="仿宋_GB2312" w:cs="Times New Roman"/>
          <w:color w:val="auto"/>
          <w:kern w:val="0"/>
          <w:sz w:val="32"/>
          <w:szCs w:val="32"/>
          <w:u w:val="none"/>
          <w:lang w:val="en-US" w:eastAsia="zh-CN"/>
        </w:rPr>
        <w:t>1</w:t>
      </w:r>
      <w:r>
        <w:rPr>
          <w:rFonts w:hint="default" w:ascii="Times New Roman" w:hAnsi="Times New Roman" w:eastAsia="仿宋_GB2312" w:cs="Times New Roman"/>
          <w:color w:val="auto"/>
          <w:kern w:val="0"/>
          <w:sz w:val="32"/>
          <w:szCs w:val="32"/>
          <w:u w:val="none"/>
        </w:rPr>
        <w:t>万元，下降</w:t>
      </w:r>
      <w:r>
        <w:rPr>
          <w:rFonts w:hint="eastAsia" w:ascii="Times New Roman" w:hAnsi="Times New Roman" w:eastAsia="仿宋_GB2312" w:cs="Times New Roman"/>
          <w:color w:val="auto"/>
          <w:kern w:val="0"/>
          <w:sz w:val="32"/>
          <w:szCs w:val="32"/>
          <w:u w:val="none"/>
          <w:lang w:val="en-US" w:eastAsia="zh-CN"/>
        </w:rPr>
        <w:t>100</w:t>
      </w:r>
      <w:r>
        <w:rPr>
          <w:rFonts w:hint="default" w:ascii="Times New Roman" w:hAnsi="Times New Roman" w:eastAsia="仿宋_GB2312" w:cs="Times New Roman"/>
          <w:color w:val="auto"/>
          <w:kern w:val="0"/>
          <w:sz w:val="32"/>
          <w:szCs w:val="32"/>
          <w:u w:val="none"/>
        </w:rPr>
        <w:t>%，</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jc w:val="center"/>
        <w:rPr>
          <w:rFonts w:ascii="仿宋" w:hAnsi="仿宋" w:eastAsia="仿宋" w:cs="仿宋"/>
          <w:color w:val="auto"/>
          <w:sz w:val="32"/>
          <w:szCs w:val="32"/>
          <w:highlight w:val="none"/>
        </w:rPr>
      </w:pPr>
      <w:r>
        <w:rPr>
          <w:color w:val="auto"/>
        </w:rPr>
        <w:drawing>
          <wp:inline distT="0" distB="0" distL="114300" distR="114300">
            <wp:extent cx="4368800" cy="22098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（二）本部门2022年度总支出</w:t>
      </w:r>
      <w:r>
        <w:rPr>
          <w:rFonts w:hint="eastAsia" w:ascii="Times New Roman" w:hAnsi="Times New Roman" w:eastAsia="仿宋_GB2312" w:cs="Times New Roman"/>
          <w:color w:val="auto"/>
          <w:kern w:val="0"/>
          <w:sz w:val="32"/>
          <w:szCs w:val="32"/>
          <w:u w:val="none"/>
          <w:lang w:val="en-US" w:eastAsia="zh-CN"/>
        </w:rPr>
        <w:t>1281.06</w:t>
      </w:r>
      <w:r>
        <w:rPr>
          <w:rFonts w:hint="eastAsia" w:ascii="仿宋" w:hAnsi="仿宋" w:eastAsia="仿宋" w:cs="仿宋"/>
          <w:color w:val="auto"/>
          <w:sz w:val="32"/>
          <w:szCs w:val="32"/>
          <w:highlight w:val="none"/>
        </w:rPr>
        <w:t>万元，其中本年</w:t>
      </w:r>
      <w:r>
        <w:rPr>
          <w:rFonts w:hint="eastAsia" w:ascii="仿宋" w:hAnsi="仿宋" w:eastAsia="仿宋" w:cs="仿宋"/>
          <w:color w:val="auto"/>
          <w:sz w:val="32"/>
          <w:szCs w:val="32"/>
          <w:highlight w:val="none"/>
          <w:lang w:val="en-US" w:eastAsia="zh-CN"/>
        </w:rPr>
        <w:t>基本</w:t>
      </w:r>
      <w:r>
        <w:rPr>
          <w:rFonts w:hint="eastAsia" w:ascii="仿宋" w:hAnsi="仿宋" w:eastAsia="仿宋" w:cs="仿宋"/>
          <w:color w:val="auto"/>
          <w:sz w:val="32"/>
          <w:szCs w:val="32"/>
          <w:highlight w:val="none"/>
        </w:rPr>
        <w:t>支出</w:t>
      </w:r>
      <w:r>
        <w:rPr>
          <w:rFonts w:hint="default" w:ascii="Times New Roman" w:hAnsi="Times New Roman" w:eastAsia="仿宋_GB2312" w:cs="Times New Roman"/>
          <w:color w:val="auto"/>
          <w:kern w:val="0"/>
          <w:sz w:val="32"/>
          <w:szCs w:val="32"/>
          <w:u w:val="none"/>
        </w:rPr>
        <w:t>881.84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项目支出</w:t>
      </w:r>
      <w:r>
        <w:rPr>
          <w:rFonts w:hint="eastAsia" w:ascii="仿宋" w:hAnsi="仿宋" w:eastAsia="仿宋" w:cs="仿宋"/>
          <w:color w:val="auto"/>
          <w:sz w:val="32"/>
          <w:szCs w:val="32"/>
          <w:highlight w:val="none"/>
        </w:rPr>
        <w:t>399.22</w:t>
      </w:r>
      <w:r>
        <w:rPr>
          <w:rFonts w:hint="eastAsia" w:ascii="仿宋" w:hAnsi="仿宋" w:eastAsia="仿宋" w:cs="仿宋"/>
          <w:color w:val="auto"/>
          <w:sz w:val="32"/>
          <w:szCs w:val="32"/>
          <w:highlight w:val="none"/>
          <w:lang w:val="en-US" w:eastAsia="zh-CN"/>
        </w:rPr>
        <w:t>万元，</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rPr>
        <w:t>增加</w:t>
      </w:r>
      <w:r>
        <w:rPr>
          <w:rFonts w:hint="eastAsia" w:ascii="Times New Roman" w:hAnsi="Times New Roman" w:eastAsia="仿宋_GB2312" w:cs="Times New Roman"/>
          <w:color w:val="auto"/>
          <w:kern w:val="0"/>
          <w:sz w:val="32"/>
          <w:szCs w:val="32"/>
          <w:u w:val="none"/>
          <w:lang w:val="en-US" w:eastAsia="zh-CN"/>
        </w:rPr>
        <w:t>255.79</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val="en-US" w:eastAsia="zh-CN"/>
        </w:rPr>
        <w:t>增长</w:t>
      </w:r>
      <w:r>
        <w:rPr>
          <w:rFonts w:hint="eastAsia" w:ascii="Times New Roman" w:hAnsi="Times New Roman" w:eastAsia="仿宋_GB2312" w:cs="Times New Roman"/>
          <w:color w:val="auto"/>
          <w:kern w:val="0"/>
          <w:sz w:val="32"/>
          <w:szCs w:val="32"/>
          <w:u w:val="none"/>
          <w:lang w:val="en-US" w:eastAsia="zh-CN"/>
        </w:rPr>
        <w:t>24.94</w:t>
      </w:r>
      <w:r>
        <w:rPr>
          <w:rFonts w:ascii="仿宋" w:hAnsi="仿宋" w:eastAsia="仿宋" w:cs="仿宋"/>
          <w:color w:val="auto"/>
          <w:sz w:val="32"/>
          <w:u w:color="auto"/>
        </w:rPr>
        <w:t>%</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40.7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人员的养老保险支出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rPr>
        <w:t>增加</w:t>
      </w:r>
      <w:r>
        <w:rPr>
          <w:rFonts w:hint="eastAsia" w:ascii="仿宋" w:hAnsi="仿宋" w:eastAsia="仿宋" w:cs="仿宋"/>
          <w:color w:val="auto"/>
          <w:sz w:val="32"/>
          <w:szCs w:val="32"/>
          <w:highlight w:val="none"/>
          <w:lang w:val="en-US" w:eastAsia="zh-CN" w:bidi="ar"/>
        </w:rPr>
        <w:t>1.87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增长了</w:t>
      </w:r>
      <w:r>
        <w:rPr>
          <w:rFonts w:hint="eastAsia" w:ascii="仿宋" w:hAnsi="仿宋" w:eastAsia="仿宋" w:cs="仿宋"/>
          <w:color w:val="auto"/>
          <w:sz w:val="32"/>
          <w:szCs w:val="32"/>
          <w:highlight w:val="none"/>
          <w:lang w:val="en-US" w:eastAsia="zh-CN" w:bidi="ar"/>
        </w:rPr>
        <w:t>4.81</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卫生健康支出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210</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1160.76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基层医疗卫生机构、公共卫生、中医药和其他卫生健康支出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rPr>
        <w:t>增加了285.02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增长了</w:t>
      </w:r>
      <w:r>
        <w:rPr>
          <w:rFonts w:hint="eastAsia" w:ascii="仿宋" w:hAnsi="仿宋" w:eastAsia="仿宋" w:cs="仿宋"/>
          <w:color w:val="auto"/>
          <w:sz w:val="32"/>
          <w:szCs w:val="32"/>
          <w:highlight w:val="none"/>
          <w:lang w:val="en-US" w:eastAsia="zh-CN" w:bidi="ar"/>
        </w:rPr>
        <w:t>32.54</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主要原因是：业务量增加，成本增加。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u w:color="auto"/>
          <w:lang w:val="en-US" w:eastAsia="zh-CN"/>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29.92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人员的住房公积金</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rPr>
        <w:t>增加0.74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增长了2.5</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u w:color="auto"/>
          <w:lang w:val="en-US" w:eastAsia="zh-CN"/>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val="en-US" w:eastAsia="zh-CN" w:bidi="ar"/>
        </w:rPr>
        <w:t>其他</w:t>
      </w:r>
      <w:r>
        <w:rPr>
          <w:rFonts w:hint="eastAsia" w:ascii="仿宋" w:hAnsi="仿宋" w:eastAsia="仿宋" w:cs="仿宋"/>
          <w:color w:val="auto"/>
          <w:sz w:val="32"/>
          <w:szCs w:val="32"/>
          <w:highlight w:val="none"/>
          <w:lang w:bidi="ar"/>
        </w:rPr>
        <w:t>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w:t>
      </w:r>
      <w:r>
        <w:rPr>
          <w:rFonts w:hint="eastAsia" w:ascii="仿宋" w:hAnsi="仿宋" w:eastAsia="仿宋" w:cs="仿宋"/>
          <w:color w:val="auto"/>
          <w:sz w:val="32"/>
          <w:szCs w:val="32"/>
          <w:highlight w:val="none"/>
          <w:lang w:val="en-US" w:eastAsia="zh-CN" w:bidi="ar"/>
        </w:rPr>
        <w:t>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49.67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kern w:val="2"/>
          <w:sz w:val="32"/>
          <w:szCs w:val="32"/>
          <w:highlight w:val="none"/>
          <w:lang w:val="en-US" w:eastAsia="zh-CN" w:bidi="ar"/>
        </w:rPr>
        <w:t>伙食补助、绩效考评奖</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rPr>
        <w:t>减少31.83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下降了39</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主要原因是：2022年其他支出归口统计不一致。</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lang w:val="en-US" w:eastAsia="zh-CN"/>
        </w:rPr>
        <w:t>0.19</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减少了128.89</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lang w:val="en-US" w:eastAsia="zh-CN"/>
        </w:rPr>
        <w:t>下降了99.85</w:t>
      </w:r>
      <w:r>
        <w:rPr>
          <w:rFonts w:hint="eastAsia" w:ascii="仿宋_GB2312" w:hAnsi="微软雅黑" w:eastAsia="仿宋_GB2312" w:cs="仿宋_GB2312"/>
          <w:color w:val="auto"/>
          <w:sz w:val="31"/>
          <w:szCs w:val="31"/>
          <w:highlight w:val="none"/>
          <w:shd w:val="clear" w:color="auto" w:fill="FFFFFF"/>
        </w:rPr>
        <w:t>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w:t>
      </w:r>
      <w:r>
        <w:rPr>
          <w:rFonts w:hint="default" w:ascii="Times New Roman" w:hAnsi="Times New Roman" w:eastAsia="仿宋_GB2312" w:cs="Times New Roman"/>
          <w:color w:val="auto"/>
          <w:kern w:val="0"/>
          <w:sz w:val="32"/>
          <w:szCs w:val="32"/>
          <w:u w:val="none"/>
        </w:rPr>
        <w:t>主要原因是</w:t>
      </w:r>
      <w:r>
        <w:rPr>
          <w:rFonts w:hint="eastAsia" w:ascii="Times New Roman" w:hAnsi="Times New Roman" w:eastAsia="仿宋_GB2312" w:cs="Times New Roman"/>
          <w:color w:val="auto"/>
          <w:kern w:val="0"/>
          <w:sz w:val="32"/>
          <w:szCs w:val="32"/>
          <w:u w:val="none"/>
          <w:lang w:val="en-US" w:eastAsia="zh-CN"/>
        </w:rPr>
        <w:t>本部门2022年度为本年度或以前年度预算安排、因客观条件发生变化无法按原计划实施，需要延迟到以后年度按有关规定继续使用的资金。</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default" w:ascii="Times New Roman" w:hAnsi="Times New Roman" w:eastAsia="仿宋_GB2312" w:cs="Times New Roman"/>
          <w:color w:val="auto"/>
          <w:kern w:val="0"/>
          <w:sz w:val="32"/>
          <w:szCs w:val="32"/>
          <w:u w:val="none"/>
        </w:rPr>
        <w:t>主要原因是</w:t>
      </w:r>
      <w:r>
        <w:rPr>
          <w:rFonts w:hint="eastAsia" w:ascii="Times New Roman" w:hAnsi="Times New Roman" w:eastAsia="仿宋_GB2312" w:cs="Times New Roman"/>
          <w:color w:val="auto"/>
          <w:kern w:val="0"/>
          <w:sz w:val="32"/>
          <w:szCs w:val="32"/>
          <w:u w:val="none"/>
          <w:lang w:val="en-US" w:eastAsia="zh-CN"/>
        </w:rPr>
        <w:t>本部门本年度按规定按时使用本项资金。</w:t>
      </w:r>
    </w:p>
    <w:p>
      <w:pPr>
        <w:ind w:firstLine="420" w:firstLineChars="200"/>
        <w:jc w:val="center"/>
        <w:rPr>
          <w:rFonts w:ascii="仿宋" w:hAnsi="仿宋" w:eastAsia="仿宋" w:cs="仿宋"/>
          <w:color w:val="auto"/>
          <w:sz w:val="32"/>
          <w:szCs w:val="32"/>
          <w:highlight w:val="none"/>
        </w:rPr>
      </w:pPr>
      <w:r>
        <w:rPr>
          <w:color w:val="auto"/>
        </w:rPr>
        <w:drawing>
          <wp:inline distT="0" distB="0" distL="114300" distR="114300">
            <wp:extent cx="4683125" cy="2590800"/>
            <wp:effectExtent l="4445" t="4445" r="17780"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二、2022年度</w:t>
      </w:r>
      <w:bookmarkStart w:id="0" w:name="OLE_LINK1"/>
      <w:r>
        <w:rPr>
          <w:rFonts w:hint="eastAsia" w:ascii="黑体" w:hAnsi="黑体" w:eastAsia="黑体" w:cs="黑体"/>
          <w:color w:val="auto"/>
          <w:sz w:val="32"/>
          <w:szCs w:val="32"/>
          <w:highlight w:val="none"/>
        </w:rPr>
        <w:t>一般公共预算财政拨款支出决算情况</w:t>
      </w:r>
      <w:bookmarkEnd w:id="0"/>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明伦镇中心卫生院</w:t>
      </w:r>
      <w:r>
        <w:rPr>
          <w:rFonts w:hint="eastAsia" w:ascii="仿宋" w:hAnsi="仿宋" w:eastAsia="仿宋" w:cs="仿宋"/>
          <w:color w:val="auto"/>
          <w:sz w:val="32"/>
          <w:szCs w:val="32"/>
          <w:highlight w:val="none"/>
        </w:rPr>
        <w:t>2022年度一般公共预算财政拨款支出</w:t>
      </w:r>
      <w:r>
        <w:rPr>
          <w:rFonts w:hint="eastAsia" w:ascii="仿宋" w:hAnsi="仿宋" w:eastAsia="仿宋" w:cs="仿宋"/>
          <w:color w:val="auto"/>
          <w:sz w:val="32"/>
          <w:u w:color="auto"/>
          <w:lang w:val="en-US" w:eastAsia="zh-CN"/>
        </w:rPr>
        <w:t>837.01</w:t>
      </w:r>
      <w:r>
        <w:rPr>
          <w:rFonts w:hint="eastAsia" w:ascii="仿宋" w:hAnsi="仿宋" w:eastAsia="仿宋" w:cs="仿宋"/>
          <w:color w:val="auto"/>
          <w:sz w:val="32"/>
          <w:szCs w:val="32"/>
          <w:highlight w:val="none"/>
        </w:rPr>
        <w:t>元，较2021年度决算数</w:t>
      </w:r>
      <w:r>
        <w:rPr>
          <w:rFonts w:hint="eastAsia" w:ascii="仿宋" w:hAnsi="仿宋" w:eastAsia="仿宋" w:cs="仿宋"/>
          <w:color w:val="auto"/>
          <w:sz w:val="32"/>
          <w:u w:color="auto"/>
          <w:lang w:val="en-US" w:eastAsia="zh-CN"/>
        </w:rPr>
        <w:t>增加63.73</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val="en-US" w:eastAsia="zh-CN"/>
        </w:rPr>
        <w:t>增长9.50</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。其中：基本支出</w:t>
      </w:r>
      <w:r>
        <w:rPr>
          <w:rFonts w:hint="eastAsia" w:ascii="仿宋" w:hAnsi="仿宋" w:eastAsia="仿宋" w:cs="仿宋"/>
          <w:color w:val="auto"/>
          <w:sz w:val="32"/>
          <w:u w:color="auto"/>
          <w:lang w:val="en-US" w:eastAsia="zh-CN"/>
        </w:rPr>
        <w:t>453.51</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u w:color="auto"/>
          <w:lang w:val="en-US" w:eastAsia="zh-CN"/>
        </w:rPr>
        <w:t>276.55</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明伦镇中心卫生院</w:t>
      </w:r>
      <w:r>
        <w:rPr>
          <w:rFonts w:hint="eastAsia" w:ascii="仿宋" w:hAnsi="仿宋" w:eastAsia="仿宋" w:cs="仿宋"/>
          <w:color w:val="auto"/>
          <w:sz w:val="32"/>
          <w:szCs w:val="32"/>
          <w:highlight w:val="none"/>
        </w:rPr>
        <w:t>2022 年度一般公共预算财政拨款支出年初预算为</w:t>
      </w:r>
      <w:r>
        <w:rPr>
          <w:rFonts w:hint="eastAsia" w:ascii="仿宋" w:hAnsi="仿宋" w:eastAsia="仿宋" w:cs="仿宋"/>
          <w:color w:val="auto"/>
          <w:sz w:val="32"/>
          <w:u w:color="auto"/>
          <w:lang w:val="en-US" w:eastAsia="zh-CN"/>
        </w:rPr>
        <w:t>414.01</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837.01</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lang w:val="en-US" w:eastAsia="zh-CN"/>
        </w:rPr>
        <w:t>102.17</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p>
    <w:p>
      <w:pPr>
        <w:jc w:val="left"/>
        <w:rPr>
          <w:rFonts w:hint="eastAsia" w:eastAsia="仿宋"/>
          <w:color w:val="auto"/>
          <w:highlight w:val="none"/>
          <w:lang w:val="en-US" w:eastAsia="zh-CN"/>
        </w:rPr>
      </w:pPr>
      <w:bookmarkStart w:id="1" w:name="OLE_LINK2"/>
      <w:bookmarkEnd w:id="1"/>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一）</w:t>
      </w: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45.23</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40.07</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89</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请根据该实际情况自行补充原因。</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45.23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40.07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按照实际原因填写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45.23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40.07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ascii="仿宋" w:hAnsi="仿宋" w:eastAsia="仿宋"/>
          <w:color w:val="auto"/>
          <w:sz w:val="32"/>
          <w:szCs w:val="32"/>
          <w:highlight w:val="none"/>
        </w:rPr>
      </w:pPr>
      <w:r>
        <w:rPr>
          <w:color w:val="auto"/>
        </w:rPr>
        <w:drawing>
          <wp:inline distT="0" distB="0" distL="114300" distR="114300">
            <wp:extent cx="5092700" cy="3009900"/>
            <wp:effectExtent l="4445" t="4445" r="825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rPr>
          <w:rFonts w:hint="default" w:eastAsia="仿宋"/>
          <w:color w:val="auto"/>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二</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卫生健康支出</w:t>
      </w:r>
      <w:r>
        <w:rPr>
          <w:rFonts w:ascii="仿宋" w:hAnsi="仿宋" w:eastAsia="仿宋"/>
          <w:color w:val="auto"/>
          <w:sz w:val="32"/>
          <w:highlight w:val="none"/>
          <w:u w:color="auto"/>
        </w:rPr>
        <w:t>（210</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327.94</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716.72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其中公共卫生项目资242.51万元，中医药项目资金20万元，其他卫生健康支出68.25万元，</w:t>
      </w:r>
      <w:r>
        <w:rPr>
          <w:rFonts w:hint="eastAsia" w:ascii="仿宋" w:hAnsi="仿宋" w:eastAsia="仿宋"/>
          <w:color w:val="auto"/>
          <w:sz w:val="32"/>
          <w:szCs w:val="32"/>
          <w:highlight w:val="none"/>
        </w:rPr>
        <w:t>完成年初预算的</w:t>
      </w:r>
      <w:r>
        <w:rPr>
          <w:rFonts w:hint="eastAsia" w:ascii="仿宋" w:hAnsi="仿宋" w:eastAsia="仿宋"/>
          <w:color w:val="auto"/>
          <w:sz w:val="32"/>
          <w:szCs w:val="32"/>
          <w:highlight w:val="none"/>
          <w:lang w:val="en-US" w:eastAsia="zh-CN"/>
        </w:rPr>
        <w:t>117.69</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原因是：公共卫生、中医药、其他卫生健康等未纳入年初预算，且年中在职人员调动，医疗事业扩增，事业收入增多，其他卫生健康支出减少等，因为卫生健康支出与预算有差异。</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21003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基层医疗卫生机构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327.94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385.96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117.69%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 xml:space="preserve">  乡镇卫生院、其他基层医疗卫生机构支出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auto"/>
                <w:sz w:val="18"/>
                <w:szCs w:val="18"/>
                <w:highlight w:val="none"/>
                <w:lang w:val="en-US" w:eastAsia="zh-CN"/>
              </w:rPr>
              <w:t>医疗事业扩增，事业收入增多，其他卫生健康支出增加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21004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公共卫生</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242.51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 xml:space="preserve">  基本公共卫生服务</w:t>
            </w:r>
            <w:r>
              <w:rPr>
                <w:rFonts w:hint="eastAsia" w:ascii="宋体" w:hAnsi="宋体" w:eastAsia="宋体" w:cs="宋体"/>
                <w:i w:val="0"/>
                <w:iCs w:val="0"/>
                <w:color w:val="auto"/>
                <w:sz w:val="18"/>
                <w:szCs w:val="18"/>
                <w:highlight w:val="none"/>
                <w:u w:val="none"/>
                <w:lang w:val="en-US" w:eastAsia="zh-CN"/>
              </w:rPr>
              <w:t>、 重大公共卫生服务</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未纳入预算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21006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中医药</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中医（民族医）药专项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未纳入预算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21099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其他卫生健康支出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68.25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其他卫生健康支出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未纳入预算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327.94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716.72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color w:val="auto"/>
        </w:rPr>
        <w:drawing>
          <wp:inline distT="0" distB="0" distL="114300" distR="114300">
            <wp:extent cx="4826000" cy="2743200"/>
            <wp:effectExtent l="4445" t="4445" r="8255" b="14605"/>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numId w:val="0"/>
        </w:numPr>
        <w:suppressLineNumbers w:val="0"/>
        <w:spacing w:before="0" w:beforeAutospacing="0" w:after="0" w:afterAutospacing="0"/>
        <w:ind w:right="0" w:rightChars="0" w:firstLine="640" w:firstLineChars="200"/>
        <w:jc w:val="left"/>
        <w:rPr>
          <w:rFonts w:hint="eastAsia" w:eastAsia="仿宋"/>
          <w:color w:val="auto"/>
          <w:highlight w:val="none"/>
          <w:lang w:val="en-US" w:eastAsia="zh-CN"/>
        </w:rPr>
      </w:pPr>
      <w:bookmarkStart w:id="4" w:name="_GoBack"/>
      <w:bookmarkEnd w:id="4"/>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三</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34.47</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29.22</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84.76</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请根据该实际情况自行补充原因。</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34.47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29.92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86.8%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按照实际原因填写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34.47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29.92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color w:val="auto"/>
        </w:rPr>
        <w:drawing>
          <wp:inline distT="0" distB="0" distL="114300" distR="114300">
            <wp:extent cx="4826000" cy="2743200"/>
            <wp:effectExtent l="4445" t="4445" r="8255" b="1460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三、2022年度一般公共预算财政拨款基本支出决算情况说明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明伦镇中心卫生院</w:t>
      </w:r>
      <w:r>
        <w:rPr>
          <w:rFonts w:hint="eastAsia" w:ascii="仿宋" w:hAnsi="仿宋" w:eastAsia="仿宋" w:cs="仿宋"/>
          <w:color w:val="auto"/>
          <w:sz w:val="32"/>
          <w:szCs w:val="32"/>
          <w:highlight w:val="none"/>
        </w:rPr>
        <w:t>2022年度一般公共预算财政拨款基本支出</w:t>
      </w:r>
      <w:r>
        <w:rPr>
          <w:rFonts w:hint="eastAsia" w:ascii="仿宋" w:hAnsi="仿宋" w:eastAsia="仿宋" w:cs="仿宋"/>
          <w:color w:val="auto"/>
          <w:sz w:val="32"/>
          <w:u w:color="auto"/>
          <w:lang w:val="en-US" w:eastAsia="zh-CN"/>
        </w:rPr>
        <w:t>437.8</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 w:hAnsi="仿宋" w:eastAsia="仿宋" w:cs="仿宋"/>
          <w:color w:val="auto"/>
          <w:sz w:val="32"/>
          <w:u w:color="auto"/>
          <w:lang w:val="en-US" w:eastAsia="zh-CN"/>
        </w:rPr>
        <w:t>437.8</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 w:hAnsi="仿宋" w:eastAsia="仿宋" w:cs="仿宋"/>
          <w:color w:val="auto"/>
          <w:sz w:val="32"/>
          <w:szCs w:val="32"/>
          <w:highlight w:val="none"/>
          <w:lang w:val="en-US" w:eastAsia="zh-CN"/>
        </w:rPr>
        <w:t>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hint="eastAsia" w:ascii="仿宋" w:hAnsi="仿宋" w:eastAsia="仿宋" w:cs="仿宋"/>
          <w:color w:val="auto"/>
          <w:sz w:val="32"/>
          <w:u w:color="auto"/>
        </w:rPr>
        <w:t>429.97</w:t>
      </w:r>
      <w:r>
        <w:rPr>
          <w:rFonts w:ascii="仿宋" w:hAnsi="仿宋" w:eastAsia="仿宋" w:cs="仿宋"/>
          <w:color w:val="auto"/>
          <w:sz w:val="32"/>
          <w:u w:color="auto"/>
        </w:rPr>
        <w:t>万元，</w:t>
      </w:r>
      <w:r>
        <w:rPr>
          <w:rFonts w:hint="eastAsia" w:ascii="仿宋" w:hAnsi="仿宋" w:eastAsia="仿宋" w:cs="仿宋"/>
          <w:color w:val="auto"/>
          <w:sz w:val="32"/>
          <w:u w:color="auto"/>
          <w:lang w:val="en-US" w:eastAsia="zh-CN"/>
        </w:rPr>
        <w:t>年初预算数为353.9</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121.49</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主要原因是：人员增加。</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152.96万元，30102津贴补贴37.82万元，30103奖金0万元，30106伙食补助费6.4万元，30107绩效工资142.78万元，30108机关事业单位基本养老保险缴费40.7万元，30110职工基本医疗保险缴费16.44万元，30111公务员医疗补助缴费0万元，30112其他社会保障缴费2.95万元，30113住房公积金29.92万元，30199其他工资福利支出0万元。</w:t>
      </w:r>
    </w:p>
    <w:p>
      <w:pPr>
        <w:jc w:val="center"/>
        <w:rPr>
          <w:rFonts w:hint="eastAsia" w:ascii="仿宋" w:hAnsi="仿宋" w:cs="仿宋" w:eastAsiaTheme="minorEastAsia"/>
          <w:color w:val="auto"/>
          <w:sz w:val="32"/>
          <w:szCs w:val="32"/>
          <w:highlight w:val="none"/>
          <w:lang w:val="en-US" w:eastAsia="zh-CN"/>
        </w:rPr>
      </w:pPr>
      <w:r>
        <w:rPr>
          <w:color w:val="auto"/>
        </w:rPr>
        <w:drawing>
          <wp:inline distT="0" distB="0" distL="114300" distR="114300">
            <wp:extent cx="48260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color w:val="auto"/>
          <w:lang w:val="en-US" w:eastAsia="zh-CN"/>
        </w:rPr>
        <w:t>=</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商品和服务支出</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万元，</w:t>
      </w:r>
      <w:r>
        <w:rPr>
          <w:rFonts w:hint="eastAsia" w:ascii="仿宋" w:hAnsi="仿宋" w:eastAsia="仿宋" w:cs="仿宋"/>
          <w:color w:val="auto"/>
          <w:sz w:val="32"/>
          <w:u w:color="auto"/>
          <w:lang w:val="en-US" w:eastAsia="zh-CN"/>
        </w:rPr>
        <w:t>年初预算数为6.38，</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主要原因是：请根据该部分金额使用情况自行补充原因。</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u w:color="auto"/>
        </w:rPr>
        <w:t>7.82</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14.55</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主要原因是：请根据该部分金额使用情况自行补充原因。</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30305生活补助7.81万元；30309奖励金0.01万元。</w:t>
      </w:r>
    </w:p>
    <w:p>
      <w:pPr>
        <w:jc w:val="center"/>
        <w:rPr>
          <w:rFonts w:hint="eastAsia" w:ascii="仿宋" w:hAnsi="仿宋" w:eastAsia="仿宋" w:cs="仿宋"/>
          <w:color w:val="auto"/>
          <w:sz w:val="32"/>
          <w:szCs w:val="32"/>
          <w:highlight w:val="none"/>
        </w:rPr>
      </w:pPr>
      <w:r>
        <w:rPr>
          <w:color w:val="auto"/>
        </w:rPr>
        <w:drawing>
          <wp:inline distT="0" distB="0" distL="114300" distR="114300">
            <wp:extent cx="4826000" cy="2743200"/>
            <wp:effectExtent l="4445" t="4445" r="8255" b="14605"/>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债务利息及费用支出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主要原因是：本年度本单位无债务。</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主要原因是：本年度本本单位无资本性支出。</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其他支出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主要原因是：本年度本单位无共他支出。</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明伦镇中心卫生院</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主要原因是本年度本单位</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bookmarkStart w:id="2" w:name="PO_part3A5B1C1DiffReason1"/>
      <w:r>
        <w:rPr>
          <w:rFonts w:hint="eastAsia" w:ascii="仿宋" w:hAnsi="仿宋" w:eastAsia="仿宋" w:cs="仿宋"/>
          <w:sz w:val="32"/>
          <w:szCs w:val="32"/>
          <w:highlight w:val="none"/>
          <w:lang w:val="en-US" w:eastAsia="zh-CN"/>
        </w:rPr>
        <w:t>明伦镇中心卫生院</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明伦镇中心卫生院</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主要原因是本年度本单位</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u w:color="auto"/>
          <w:lang w:val="en-US" w:eastAsia="zh-CN"/>
        </w:rPr>
        <w:t>安排的支出</w:t>
      </w:r>
      <w:r>
        <w:rPr>
          <w:rFonts w:hint="eastAsia" w:ascii="仿宋_GB2312" w:hAnsi="Times New Roman" w:eastAsia="仿宋_GB2312" w:cs="Times New Roman"/>
          <w:color w:val="auto"/>
          <w:sz w:val="32"/>
          <w:szCs w:val="32"/>
          <w:lang w:eastAsia="zh-CN"/>
        </w:rPr>
        <w:t>。</w:t>
      </w:r>
      <w:bookmarkEnd w:id="2"/>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本部门</w:t>
      </w:r>
      <w:r>
        <w:rPr>
          <w:rFonts w:hint="eastAsia" w:ascii="仿宋" w:hAnsi="仿宋" w:eastAsia="仿宋" w:cs="仿宋"/>
          <w:color w:val="auto"/>
          <w:sz w:val="32"/>
          <w:szCs w:val="32"/>
          <w:highlight w:val="none"/>
        </w:rPr>
        <w:t>2022年度一般公共预算财政拨款安排的“三公”经费支出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主要原因是：本部分2022年度无一般公共预算财政拨款安排的“三公”经费支出；</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numPr>
          <w:numId w:val="0"/>
        </w:numPr>
        <w:ind w:firstLine="640" w:firstLineChars="200"/>
        <w:jc w:val="left"/>
        <w:rPr>
          <w:rFonts w:hint="eastAsia" w:ascii="仿宋_GB2312" w:hAnsi="Times New Roman" w:eastAsia="仿宋_GB2312" w:cs="Times New Roman"/>
          <w:color w:val="FF0000"/>
          <w:sz w:val="32"/>
          <w:szCs w:val="32"/>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原因是：本部门2022年度</w:t>
      </w:r>
      <w:r>
        <w:rPr>
          <w:rFonts w:hint="eastAsia" w:ascii="仿宋" w:hAnsi="仿宋" w:eastAsia="仿宋" w:cs="仿宋"/>
          <w:color w:val="auto"/>
          <w:sz w:val="32"/>
          <w:szCs w:val="32"/>
          <w:highlight w:val="none"/>
        </w:rPr>
        <w:t>因公出国（境）费</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无</w:t>
      </w:r>
      <w:r>
        <w:rPr>
          <w:rFonts w:hint="eastAsia" w:ascii="仿宋_GB2312" w:hAnsi="Times New Roman" w:eastAsia="仿宋_GB2312" w:cs="Times New Roman"/>
          <w:color w:val="FF0000"/>
          <w:sz w:val="32"/>
          <w:szCs w:val="32"/>
        </w:rPr>
        <w:t>。</w:t>
      </w:r>
    </w:p>
    <w:p>
      <w:pPr>
        <w:numPr>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lang w:val="en-US" w:eastAsia="zh-CN"/>
        </w:rPr>
        <w:t>2022年度</w:t>
      </w:r>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highlight w:val="none"/>
          <w:lang w:val="en-US" w:eastAsia="zh-CN"/>
        </w:rPr>
        <w:t>2022年度本部分无</w:t>
      </w:r>
      <w:r>
        <w:rPr>
          <w:rFonts w:hint="eastAsia" w:ascii="仿宋" w:hAnsi="仿宋" w:eastAsia="仿宋" w:cs="仿宋"/>
          <w:color w:val="auto"/>
          <w:sz w:val="32"/>
          <w:szCs w:val="32"/>
          <w:highlight w:val="none"/>
        </w:rPr>
        <w:t>公务用车运行维护支出。2022年，</w:t>
      </w:r>
      <w:r>
        <w:rPr>
          <w:rFonts w:hint="eastAsia" w:ascii="仿宋" w:hAnsi="仿宋" w:eastAsia="仿宋" w:cs="仿宋"/>
          <w:color w:val="auto"/>
          <w:sz w:val="32"/>
          <w:szCs w:val="32"/>
          <w:highlight w:val="none"/>
          <w:lang w:val="en-US" w:eastAsia="zh-CN"/>
        </w:rPr>
        <w:t>明伦镇中心卫生院</w:t>
      </w:r>
      <w:r>
        <w:rPr>
          <w:rFonts w:hint="eastAsia" w:ascii="仿宋" w:hAnsi="仿宋" w:eastAsia="仿宋" w:cs="仿宋"/>
          <w:color w:val="auto"/>
          <w:sz w:val="32"/>
          <w:szCs w:val="32"/>
          <w:highlight w:val="none"/>
        </w:rPr>
        <w:t>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（三）公务接待费支出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主要原因是：2022年度本部分</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国内公务接待批次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次，人次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default" w:ascii="仿宋" w:hAnsi="仿宋" w:eastAsia="仿宋" w:cs="仿宋"/>
          <w:color w:val="auto"/>
          <w:sz w:val="32"/>
          <w:szCs w:val="32"/>
          <w:highlight w:val="none"/>
        </w:rPr>
        <w:t>本部门</w:t>
      </w:r>
      <w:r>
        <w:rPr>
          <w:rFonts w:hint="eastAsia" w:ascii="仿宋" w:hAnsi="仿宋" w:eastAsia="仿宋" w:cs="仿宋"/>
          <w:color w:val="auto"/>
          <w:sz w:val="32"/>
          <w:szCs w:val="32"/>
          <w:highlight w:val="none"/>
          <w:lang w:val="en-US" w:eastAsia="zh-CN"/>
        </w:rPr>
        <w:t>无</w:t>
      </w:r>
      <w:r>
        <w:rPr>
          <w:rFonts w:hint="default" w:ascii="仿宋" w:hAnsi="仿宋" w:eastAsia="仿宋" w:cs="仿宋"/>
          <w:color w:val="auto"/>
          <w:sz w:val="32"/>
          <w:szCs w:val="32"/>
          <w:highlight w:val="none"/>
        </w:rPr>
        <w:t>机关运行经费支出</w:t>
      </w:r>
      <w:r>
        <w:rPr>
          <w:rFonts w:hint="eastAsia" w:ascii="仿宋" w:hAnsi="仿宋" w:eastAsia="仿宋" w:cs="仿宋"/>
          <w:color w:val="auto"/>
          <w:sz w:val="32"/>
          <w:szCs w:val="32"/>
          <w:highlight w:val="none"/>
          <w:lang w:eastAsia="zh-CN"/>
        </w:rPr>
        <w:t>。</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kinsoku/>
        <w:wordWrap/>
        <w:overflowPunct/>
        <w:topLinePunct w:val="0"/>
        <w:bidi w:val="0"/>
        <w:snapToGrid/>
        <w:spacing w:line="560" w:lineRule="exact"/>
        <w:textAlignment w:val="auto"/>
        <w:rPr>
          <w:rFonts w:ascii="仿宋" w:hAnsi="仿宋" w:eastAsia="仿宋" w:cs="仿宋"/>
          <w:sz w:val="32"/>
          <w:szCs w:val="32"/>
          <w:highlight w:val="none"/>
        </w:rPr>
      </w:pPr>
      <w:r>
        <w:rPr>
          <w:rFonts w:hint="eastAsia" w:ascii="仿宋" w:hAnsi="仿宋" w:eastAsia="仿宋" w:cs="仿宋"/>
          <w:color w:val="auto"/>
          <w:kern w:val="2"/>
          <w:sz w:val="32"/>
          <w:szCs w:val="32"/>
          <w:highlight w:val="none"/>
          <w:lang w:val="en-US" w:eastAsia="zh-CN" w:bidi="ar"/>
        </w:rPr>
        <w:t>主要原因是：</w:t>
      </w:r>
      <w:r>
        <w:rPr>
          <w:rFonts w:hint="default" w:ascii="仿宋" w:hAnsi="仿宋" w:eastAsia="仿宋" w:cs="仿宋"/>
          <w:color w:val="auto"/>
          <w:sz w:val="32"/>
          <w:szCs w:val="32"/>
          <w:highlight w:val="none"/>
        </w:rPr>
        <w:t>本部门</w:t>
      </w:r>
      <w:r>
        <w:rPr>
          <w:rFonts w:hint="eastAsia" w:ascii="仿宋" w:hAnsi="仿宋" w:eastAsia="仿宋" w:cs="仿宋"/>
          <w:color w:val="auto"/>
          <w:sz w:val="32"/>
          <w:szCs w:val="32"/>
          <w:highlight w:val="none"/>
          <w:lang w:val="en-US" w:eastAsia="zh-CN"/>
        </w:rPr>
        <w:t>无</w:t>
      </w:r>
      <w:r>
        <w:rPr>
          <w:rFonts w:hint="default" w:ascii="仿宋" w:hAnsi="仿宋" w:eastAsia="仿宋" w:cs="仿宋"/>
          <w:color w:val="auto"/>
          <w:sz w:val="32"/>
          <w:szCs w:val="32"/>
          <w:highlight w:val="none"/>
        </w:rPr>
        <w:t>政府采购支出</w:t>
      </w:r>
      <w:r>
        <w:rPr>
          <w:rFonts w:hint="eastAsia" w:ascii="仿宋" w:hAnsi="仿宋" w:eastAsia="仿宋" w:cs="仿宋"/>
          <w:color w:val="auto"/>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四等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721.65</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FF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（1）项目自评得分情况项目：</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个项目平均分</w:t>
      </w:r>
      <w:r>
        <w:rPr>
          <w:rFonts w:hint="eastAsia" w:ascii="仿宋" w:hAnsi="仿宋" w:eastAsia="仿宋" w:cs="仿宋"/>
          <w:sz w:val="32"/>
          <w:szCs w:val="32"/>
          <w:lang w:val="en-US" w:eastAsia="zh-CN"/>
        </w:rPr>
        <w:t>86.67</w:t>
      </w:r>
      <w:r>
        <w:rPr>
          <w:rFonts w:hint="eastAsia" w:ascii="仿宋" w:hAnsi="仿宋" w:eastAsia="仿宋" w:cs="仿宋"/>
          <w:sz w:val="32"/>
          <w:szCs w:val="32"/>
          <w:lang w:eastAsia="zh-CN"/>
        </w:rPr>
        <w:t>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其中：奖励性补贴自评得分100分；环江毛南族自治县明伦中心卫生院门诊住院综合楼项目自评得分20分；医药卫生体制改革和事业发展以奖代补项目自评得分100分；补助市县乡镇卫生院人员工资补助经费项目自评得分100分；中央财政基本公共卫生服务项目补助资金自评得分100分；中央财政基本药物制度补助资金自评得分100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（2）项目评分等级分布情况：</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个项目自评为“一等”</w:t>
      </w:r>
      <w:r>
        <w:rPr>
          <w:rFonts w:hint="eastAsia" w:ascii="仿宋" w:hAnsi="仿宋" w:eastAsia="仿宋" w:cs="仿宋"/>
          <w:sz w:val="32"/>
          <w:szCs w:val="32"/>
          <w:lang w:val="en-US" w:eastAsia="zh-CN"/>
        </w:rPr>
        <w:t>一个项目自评“四等”。“一等”项目分别为奖励性补贴、医药卫生体制改革和事业发展以奖代补项目、补助市县乡镇卫生院人员工资补助经费项目、中央财政基本公共卫生服务项目补助资金、中央财政基本药物制度补助资金；“四等”项目为环江毛南族自治县明伦中心卫生院门诊住院综合楼项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（3）财政拨款调整率大于等于30%的项目：无</w:t>
      </w:r>
    </w:p>
    <w:p>
      <w:pPr>
        <w:pStyle w:val="3"/>
        <w:pageBreakBefore w:val="0"/>
        <w:widowControl w:val="0"/>
        <w:kinsoku/>
        <w:wordWrap/>
        <w:overflowPunct/>
        <w:topLinePunct w:val="0"/>
        <w:autoSpaceDE/>
        <w:autoSpaceDN/>
        <w:bidi w:val="0"/>
        <w:adjustRightInd/>
        <w:snapToGrid/>
        <w:ind w:firstLine="643" w:firstLineChars="200"/>
        <w:textAlignment w:val="auto"/>
        <w:rPr>
          <w:rFonts w:hint="eastAsia" w:ascii="仿宋" w:eastAsia="仿宋" w:cs="仿宋"/>
          <w:b/>
          <w:bCs w:val="0"/>
          <w:color w:val="000000" w:themeColor="text1"/>
          <w:sz w:val="32"/>
          <w:szCs w:val="32"/>
          <w:lang w:val="en-US" w:eastAsia="zh-CN"/>
          <w14:textFill>
            <w14:solidFill>
              <w14:schemeClr w14:val="tx1"/>
            </w14:solidFill>
          </w14:textFill>
        </w:rPr>
      </w:pPr>
      <w:r>
        <w:rPr>
          <w:rFonts w:hint="eastAsia" w:ascii="仿宋" w:eastAsia="仿宋" w:cs="仿宋"/>
          <w:b/>
          <w:bCs w:val="0"/>
          <w:color w:val="000000" w:themeColor="text1"/>
          <w:sz w:val="32"/>
          <w:szCs w:val="32"/>
          <w:lang w:val="en-US" w:eastAsia="zh-CN"/>
          <w14:textFill>
            <w14:solidFill>
              <w14:schemeClr w14:val="tx1"/>
            </w14:solidFill>
          </w14:textFill>
        </w:rPr>
        <w:t>经过自评发现以下问题及整改措施如下：</w:t>
      </w:r>
    </w:p>
    <w:p>
      <w:pPr>
        <w:pStyle w:val="3"/>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b/>
          <w:bCs w:val="0"/>
          <w:color w:val="000000" w:themeColor="text1"/>
          <w:sz w:val="32"/>
          <w:szCs w:val="32"/>
          <w:lang w:val="en-US"/>
          <w14:textFill>
            <w14:solidFill>
              <w14:schemeClr w14:val="tx1"/>
            </w14:solidFill>
          </w14:textFill>
        </w:rPr>
      </w:pPr>
      <w:r>
        <w:rPr>
          <w:rFonts w:hint="eastAsia" w:ascii="仿宋" w:hAnsi="仿宋" w:eastAsia="仿宋" w:cs="仿宋"/>
          <w:sz w:val="32"/>
          <w:szCs w:val="32"/>
          <w:lang w:val="en-US" w:eastAsia="zh-CN"/>
        </w:rPr>
        <w:t>被自评</w:t>
      </w:r>
      <w:r>
        <w:rPr>
          <w:rFonts w:hint="eastAsia" w:ascii="仿宋" w:eastAsia="仿宋" w:cs="仿宋"/>
          <w:sz w:val="32"/>
          <w:szCs w:val="32"/>
          <w:lang w:val="en-US" w:eastAsia="zh-CN"/>
        </w:rPr>
        <w:t>为</w:t>
      </w:r>
      <w:r>
        <w:rPr>
          <w:rFonts w:hint="eastAsia" w:ascii="仿宋" w:hAnsi="仿宋" w:eastAsia="仿宋" w:cs="仿宋"/>
          <w:sz w:val="32"/>
          <w:szCs w:val="32"/>
          <w:lang w:val="en-US" w:eastAsia="zh-CN"/>
        </w:rPr>
        <w:t>“四等”</w:t>
      </w:r>
      <w:r>
        <w:rPr>
          <w:rFonts w:hint="eastAsia" w:ascii="仿宋" w:eastAsia="仿宋" w:cs="仿宋"/>
          <w:sz w:val="32"/>
          <w:szCs w:val="32"/>
          <w:lang w:val="en-US" w:eastAsia="zh-CN"/>
        </w:rPr>
        <w:t>项目为</w:t>
      </w:r>
      <w:r>
        <w:rPr>
          <w:rFonts w:hint="eastAsia" w:ascii="仿宋" w:hAnsi="仿宋" w:eastAsia="仿宋" w:cs="仿宋"/>
          <w:sz w:val="32"/>
          <w:szCs w:val="32"/>
          <w:lang w:val="en-US" w:eastAsia="zh-CN"/>
        </w:rPr>
        <w:t>环江毛南族自治县明伦中心卫生院门诊住院综合楼项目自评得分20分</w:t>
      </w:r>
      <w:r>
        <w:rPr>
          <w:rFonts w:hint="eastAsia" w:ascii="仿宋" w:eastAsia="仿宋" w:cs="仿宋"/>
          <w:sz w:val="32"/>
          <w:szCs w:val="32"/>
          <w:lang w:val="en-US" w:eastAsia="zh-CN"/>
        </w:rPr>
        <w:t>，主要原因是：部门对</w:t>
      </w:r>
      <w:r>
        <w:rPr>
          <w:rFonts w:hint="eastAsia" w:ascii="仿宋" w:hAnsi="仿宋" w:eastAsia="仿宋" w:cs="仿宋"/>
          <w:sz w:val="32"/>
          <w:szCs w:val="48"/>
          <w:lang w:val="en-US" w:eastAsia="zh-CN"/>
        </w:rPr>
        <w:t>财务指标理解不透彻</w:t>
      </w:r>
      <w:r>
        <w:rPr>
          <w:rFonts w:hint="eastAsia" w:ascii="仿宋" w:eastAsia="仿宋" w:cs="仿宋"/>
          <w:sz w:val="32"/>
          <w:szCs w:val="48"/>
          <w:lang w:val="en-US" w:eastAsia="zh-CN"/>
        </w:rPr>
        <w:t>及</w:t>
      </w:r>
      <w:r>
        <w:rPr>
          <w:rFonts w:hint="eastAsia" w:ascii="仿宋" w:hAnsi="仿宋" w:eastAsia="仿宋" w:cs="仿宋"/>
          <w:sz w:val="32"/>
          <w:szCs w:val="36"/>
          <w:lang w:val="en-US" w:eastAsia="zh-CN"/>
        </w:rPr>
        <w:t>项目前期</w:t>
      </w:r>
      <w:r>
        <w:rPr>
          <w:rFonts w:hint="eastAsia" w:ascii="仿宋" w:eastAsia="仿宋" w:cs="仿宋"/>
          <w:sz w:val="32"/>
          <w:szCs w:val="36"/>
          <w:lang w:val="en-US" w:eastAsia="zh-CN"/>
        </w:rPr>
        <w:t>征地</w:t>
      </w:r>
      <w:r>
        <w:rPr>
          <w:rFonts w:hint="eastAsia" w:ascii="仿宋" w:hAnsi="仿宋" w:eastAsia="仿宋" w:cs="仿宋"/>
          <w:sz w:val="32"/>
          <w:szCs w:val="36"/>
          <w:lang w:val="en-US" w:eastAsia="zh-CN"/>
        </w:rPr>
        <w:t>工作不到位，导致</w:t>
      </w:r>
      <w:r>
        <w:rPr>
          <w:rFonts w:hint="eastAsia" w:ascii="仿宋" w:eastAsia="仿宋" w:cs="仿宋"/>
          <w:sz w:val="32"/>
          <w:szCs w:val="36"/>
          <w:lang w:val="en-US" w:eastAsia="zh-CN"/>
        </w:rPr>
        <w:t>该</w:t>
      </w:r>
      <w:r>
        <w:rPr>
          <w:rFonts w:hint="eastAsia" w:ascii="仿宋" w:hAnsi="仿宋" w:eastAsia="仿宋" w:cs="仿宋"/>
          <w:sz w:val="32"/>
          <w:szCs w:val="36"/>
          <w:lang w:val="en-US" w:eastAsia="zh-CN"/>
        </w:rPr>
        <w:t>项目无法进行</w:t>
      </w:r>
      <w:r>
        <w:rPr>
          <w:rFonts w:hint="eastAsia" w:ascii="仿宋" w:eastAsia="仿宋" w:cs="仿宋"/>
          <w:sz w:val="32"/>
          <w:szCs w:val="36"/>
          <w:lang w:val="en-US" w:eastAsia="zh-CN"/>
        </w:rPr>
        <w:t>；其整改措施：已对该项目资金做出调整，后续要加强对业务的学习和经费的审批和控制，规范支出标准与范围，并严格按规定执行。</w:t>
      </w:r>
    </w:p>
    <w:p>
      <w:pPr>
        <w:jc w:val="center"/>
        <w:rPr>
          <w:rFonts w:hint="eastAsia" w:ascii="仿宋" w:eastAsia="仿宋" w:cs="仿宋"/>
          <w:sz w:val="32"/>
          <w:szCs w:val="36"/>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szCs w:val="32"/>
          <w:highlight w:val="none"/>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hint="default" w:ascii="仿宋" w:eastAsia="仿宋" w:cs="仿宋"/>
          <w:sz w:val="32"/>
          <w:szCs w:val="36"/>
          <w:lang w:val="en-US" w:eastAsia="zh-CN"/>
        </w:rPr>
      </w:pPr>
    </w:p>
    <w:p>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83AA3"/>
    <w:multiLevelType w:val="singleLevel"/>
    <w:tmpl w:val="9FE83AA3"/>
    <w:lvl w:ilvl="0" w:tentative="0">
      <w:start w:val="2"/>
      <w:numFmt w:val="chineseCounting"/>
      <w:suff w:val="nothing"/>
      <w:lvlText w:val="（%1）"/>
      <w:lvlJc w:val="left"/>
      <w:rPr>
        <w:rFonts w:hint="eastAsia"/>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xZWFlODIxYjFjZDFkNjQ0MjdmNmViMmEzYWYyMzk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403C97"/>
    <w:rsid w:val="05466687"/>
    <w:rsid w:val="05992762"/>
    <w:rsid w:val="07B0770E"/>
    <w:rsid w:val="0942143F"/>
    <w:rsid w:val="0A455B62"/>
    <w:rsid w:val="0B7218AA"/>
    <w:rsid w:val="0D100297"/>
    <w:rsid w:val="0D202B45"/>
    <w:rsid w:val="0DF3028E"/>
    <w:rsid w:val="0F8D4C87"/>
    <w:rsid w:val="10505FAA"/>
    <w:rsid w:val="105F7E7E"/>
    <w:rsid w:val="11E56B5B"/>
    <w:rsid w:val="125C77AB"/>
    <w:rsid w:val="1314709D"/>
    <w:rsid w:val="14CB726E"/>
    <w:rsid w:val="164426DC"/>
    <w:rsid w:val="170E4165"/>
    <w:rsid w:val="17E92249"/>
    <w:rsid w:val="18D304F1"/>
    <w:rsid w:val="197F2F99"/>
    <w:rsid w:val="19F32577"/>
    <w:rsid w:val="19F45B80"/>
    <w:rsid w:val="1B0C078D"/>
    <w:rsid w:val="1B2B31E2"/>
    <w:rsid w:val="1B4C295A"/>
    <w:rsid w:val="1B522B5E"/>
    <w:rsid w:val="1B973C63"/>
    <w:rsid w:val="1BA1001E"/>
    <w:rsid w:val="1CE53447"/>
    <w:rsid w:val="1D317259"/>
    <w:rsid w:val="1D6334B4"/>
    <w:rsid w:val="1E664F5B"/>
    <w:rsid w:val="1EA70285"/>
    <w:rsid w:val="1EB34BE1"/>
    <w:rsid w:val="215E639F"/>
    <w:rsid w:val="21EC3183"/>
    <w:rsid w:val="225E72CD"/>
    <w:rsid w:val="246E2F77"/>
    <w:rsid w:val="254B4E2B"/>
    <w:rsid w:val="25F2430C"/>
    <w:rsid w:val="283D7C94"/>
    <w:rsid w:val="2895027D"/>
    <w:rsid w:val="29480E03"/>
    <w:rsid w:val="2983634D"/>
    <w:rsid w:val="2A64465C"/>
    <w:rsid w:val="2AE3426F"/>
    <w:rsid w:val="2BB02055"/>
    <w:rsid w:val="2C575A56"/>
    <w:rsid w:val="2D7D745E"/>
    <w:rsid w:val="2F257714"/>
    <w:rsid w:val="2F3275E5"/>
    <w:rsid w:val="30AA08EF"/>
    <w:rsid w:val="30D23D1C"/>
    <w:rsid w:val="31221CF5"/>
    <w:rsid w:val="31400178"/>
    <w:rsid w:val="321E3342"/>
    <w:rsid w:val="327759C8"/>
    <w:rsid w:val="33185FE3"/>
    <w:rsid w:val="34EE2E36"/>
    <w:rsid w:val="34F655E2"/>
    <w:rsid w:val="36777241"/>
    <w:rsid w:val="38A951DB"/>
    <w:rsid w:val="38B31605"/>
    <w:rsid w:val="39003F4F"/>
    <w:rsid w:val="399B3B8A"/>
    <w:rsid w:val="3B3B7DE1"/>
    <w:rsid w:val="3C07002B"/>
    <w:rsid w:val="3D0D152A"/>
    <w:rsid w:val="3DF62756"/>
    <w:rsid w:val="3F1B7587"/>
    <w:rsid w:val="41E57B4F"/>
    <w:rsid w:val="432F26F6"/>
    <w:rsid w:val="43880F63"/>
    <w:rsid w:val="441C5A6F"/>
    <w:rsid w:val="44C44FCC"/>
    <w:rsid w:val="44CC7369"/>
    <w:rsid w:val="457F5108"/>
    <w:rsid w:val="46951B6B"/>
    <w:rsid w:val="49A34401"/>
    <w:rsid w:val="49F65643"/>
    <w:rsid w:val="4A3E30AB"/>
    <w:rsid w:val="4A687598"/>
    <w:rsid w:val="4AC14DAC"/>
    <w:rsid w:val="4D154C85"/>
    <w:rsid w:val="4EC8553A"/>
    <w:rsid w:val="4F686D10"/>
    <w:rsid w:val="50581D26"/>
    <w:rsid w:val="508F4E24"/>
    <w:rsid w:val="51461E90"/>
    <w:rsid w:val="51463753"/>
    <w:rsid w:val="51517578"/>
    <w:rsid w:val="51555D6A"/>
    <w:rsid w:val="52553A93"/>
    <w:rsid w:val="53521F8B"/>
    <w:rsid w:val="53E22F47"/>
    <w:rsid w:val="54522FF8"/>
    <w:rsid w:val="55450629"/>
    <w:rsid w:val="56074066"/>
    <w:rsid w:val="56692963"/>
    <w:rsid w:val="568B0F48"/>
    <w:rsid w:val="5786217B"/>
    <w:rsid w:val="59337A15"/>
    <w:rsid w:val="59810274"/>
    <w:rsid w:val="5CA96A00"/>
    <w:rsid w:val="5CF730BC"/>
    <w:rsid w:val="5D967917"/>
    <w:rsid w:val="5E5F0DCE"/>
    <w:rsid w:val="5FA40A7B"/>
    <w:rsid w:val="5FD56D29"/>
    <w:rsid w:val="5FEC7F3F"/>
    <w:rsid w:val="60F74BC3"/>
    <w:rsid w:val="61477142"/>
    <w:rsid w:val="617D3BF8"/>
    <w:rsid w:val="61841F6A"/>
    <w:rsid w:val="623007A9"/>
    <w:rsid w:val="6312115B"/>
    <w:rsid w:val="637D7558"/>
    <w:rsid w:val="644F19AC"/>
    <w:rsid w:val="65AA4920"/>
    <w:rsid w:val="67694F1E"/>
    <w:rsid w:val="69597934"/>
    <w:rsid w:val="6B4E7042"/>
    <w:rsid w:val="6B945E48"/>
    <w:rsid w:val="6B964DDC"/>
    <w:rsid w:val="6C783074"/>
    <w:rsid w:val="6D9E65C6"/>
    <w:rsid w:val="6DA81947"/>
    <w:rsid w:val="6EB66DE2"/>
    <w:rsid w:val="6ED3075F"/>
    <w:rsid w:val="6F2A2D4B"/>
    <w:rsid w:val="6F8A0C1E"/>
    <w:rsid w:val="6FF718B1"/>
    <w:rsid w:val="703F45D4"/>
    <w:rsid w:val="70BA44CE"/>
    <w:rsid w:val="715D6546"/>
    <w:rsid w:val="71BE069E"/>
    <w:rsid w:val="732E6B82"/>
    <w:rsid w:val="73953409"/>
    <w:rsid w:val="73E069A3"/>
    <w:rsid w:val="7745398F"/>
    <w:rsid w:val="78104AA8"/>
    <w:rsid w:val="78C072FC"/>
    <w:rsid w:val="78E257C5"/>
    <w:rsid w:val="79476868"/>
    <w:rsid w:val="794B35BE"/>
    <w:rsid w:val="79623FDF"/>
    <w:rsid w:val="7B0A3A31"/>
    <w:rsid w:val="7B3360ED"/>
    <w:rsid w:val="7B5319F3"/>
    <w:rsid w:val="7BDF037E"/>
    <w:rsid w:val="7BF50948"/>
    <w:rsid w:val="7CE66A78"/>
    <w:rsid w:val="7D23564C"/>
    <w:rsid w:val="7D5E062D"/>
    <w:rsid w:val="7DDC0FE0"/>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font11"/>
    <w:basedOn w:val="8"/>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收入决算图表</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[工作簿1]Sheet1!$A$1:$A$3</c:f>
              <c:strCache>
                <c:ptCount val="3"/>
                <c:pt idx="0">
                  <c:v>一般公共预算财政拨款收入</c:v>
                </c:pt>
                <c:pt idx="1">
                  <c:v>事业收入</c:v>
                </c:pt>
                <c:pt idx="2">
                  <c:v>其他收入</c:v>
                </c:pt>
              </c:strCache>
            </c:strRef>
          </c:cat>
          <c:val>
            <c:numRef>
              <c:f>[工作簿1]Sheet1!$B$1:$B$3</c:f>
              <c:numCache>
                <c:formatCode>#,##0.00</c:formatCode>
                <c:ptCount val="3"/>
                <c:pt idx="0">
                  <c:v>837.01</c:v>
                </c:pt>
                <c:pt idx="1">
                  <c:v>442.16</c:v>
                </c:pt>
                <c:pt idx="2">
                  <c:v>2.08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支出决算图表</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[工作簿1]Sheet1!$A$1:$A$4</c:f>
              <c:strCache>
                <c:ptCount val="4"/>
                <c:pt idx="0">
                  <c:v>社会保障和就业支出</c:v>
                </c:pt>
                <c:pt idx="1">
                  <c:v>卫生健康支出</c:v>
                </c:pt>
                <c:pt idx="2">
                  <c:v>住房保障支出</c:v>
                </c:pt>
                <c:pt idx="3">
                  <c:v>其他支出</c:v>
                </c:pt>
              </c:strCache>
            </c:strRef>
          </c:cat>
          <c:val>
            <c:numRef>
              <c:f>[工作簿1]Sheet1!$B$1:$B$4</c:f>
              <c:numCache>
                <c:formatCode>#,##0.00</c:formatCode>
                <c:ptCount val="4"/>
                <c:pt idx="0">
                  <c:v>40.7</c:v>
                </c:pt>
                <c:pt idx="1">
                  <c:v>1160.76</c:v>
                </c:pt>
                <c:pt idx="2">
                  <c:v>29.92</c:v>
                </c:pt>
                <c:pt idx="3">
                  <c:v>49.67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社会保障和就业支出图表</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[工作簿1]Sheet1!$A$3:$B$3</c:f>
              <c:numCache>
                <c:formatCode>General</c:formatCode>
                <c:ptCount val="2"/>
                <c:pt idx="0">
                  <c:v>2080505</c:v>
                </c:pt>
                <c:pt idx="1">
                  <c:v>40.07</c:v>
                </c:pt>
              </c:numCache>
            </c:numRef>
          </c:val>
        </c:ser>
        <c:dLbls>
          <c:showLegendKey val="0"/>
          <c:showVal val="1"/>
          <c:showCatName val="0"/>
          <c:showSerName val="0"/>
          <c:showPercent val="0"/>
          <c:showBubbleSize val="0"/>
        </c:dLbls>
        <c:gapWidth val="150"/>
        <c:overlap val="-25"/>
        <c:axId val="460397735"/>
        <c:axId val="565514824"/>
      </c:barChart>
      <c:catAx>
        <c:axId val="4603977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514824"/>
        <c:crosses val="autoZero"/>
        <c:auto val="1"/>
        <c:lblAlgn val="ctr"/>
        <c:lblOffset val="100"/>
        <c:noMultiLvlLbl val="0"/>
      </c:catAx>
      <c:valAx>
        <c:axId val="56551482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0397735"/>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卫生健康支出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[工作簿1]Sheet1!$A$1:$A$4</c:f>
              <c:strCache>
                <c:ptCount val="4"/>
                <c:pt idx="0">
                  <c:v>21003</c:v>
                </c:pt>
                <c:pt idx="1">
                  <c:v>21004</c:v>
                </c:pt>
                <c:pt idx="2">
                  <c:v>21006</c:v>
                </c:pt>
                <c:pt idx="3">
                  <c:v>21099</c:v>
                </c:pt>
              </c:strCache>
            </c:strRef>
          </c:cat>
          <c:val>
            <c:numRef>
              <c:f>[工作簿1]Sheet1!$B$1:$B$4</c:f>
              <c:numCache>
                <c:formatCode>#,##0.00</c:formatCode>
                <c:ptCount val="4"/>
                <c:pt idx="0">
                  <c:v>385.96</c:v>
                </c:pt>
                <c:pt idx="1">
                  <c:v>242.51</c:v>
                </c:pt>
                <c:pt idx="2">
                  <c:v>20</c:v>
                </c:pt>
                <c:pt idx="3">
                  <c:v>68.25</c:v>
                </c:pt>
              </c:numCache>
            </c:numRef>
          </c:val>
        </c:ser>
        <c:dLbls>
          <c:showLegendKey val="0"/>
          <c:showVal val="0"/>
          <c:showCatName val="0"/>
          <c:showSerName val="0"/>
          <c:showPercent val="0"/>
          <c:showBubbleSize val="0"/>
        </c:dLbls>
        <c:gapWidth val="246"/>
        <c:overlap val="-28"/>
        <c:axId val="199229124"/>
        <c:axId val="580512266"/>
      </c:barChart>
      <c:catAx>
        <c:axId val="1992291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0512266"/>
        <c:crosses val="autoZero"/>
        <c:auto val="1"/>
        <c:lblAlgn val="ctr"/>
        <c:lblOffset val="100"/>
        <c:noMultiLvlLbl val="0"/>
      </c:catAx>
      <c:valAx>
        <c:axId val="580512266"/>
        <c:scaling>
          <c:orientation val="minMax"/>
        </c:scaling>
        <c:delete val="0"/>
        <c:axPos val="l"/>
        <c:majorGridlines>
          <c:spPr>
            <a:ln w="9525" cap="flat" cmpd="sng" algn="ctr">
              <a:solidFill>
                <a:schemeClr val="bg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2291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住房保障支出</a:t>
            </a:r>
          </a:p>
        </c:rich>
      </c:tx>
      <c:layout/>
      <c:overlay val="0"/>
      <c:spPr>
        <a:noFill/>
        <a:ln>
          <a:noFill/>
        </a:ln>
        <a:effectLst/>
      </c:spPr>
    </c:title>
    <c:autoTitleDeleted val="0"/>
    <c:plotArea>
      <c:layout/>
      <c:barChart>
        <c:barDir val="col"/>
        <c:grouping val="clustered"/>
        <c:varyColors val="0"/>
        <c:ser>
          <c:idx val="0"/>
          <c:order val="0"/>
          <c:tx>
            <c:strRef>
              <c:f>[工作簿1]Sheet1!$A$1</c:f>
              <c:strCache>
                <c:ptCount val="1"/>
                <c:pt idx="0">
                  <c:v>2210201</c:v>
                </c:pt>
              </c:strCache>
            </c:strRef>
          </c:tx>
          <c:spPr>
            <a:solidFill>
              <a:schemeClr val="accent1"/>
            </a:solidFill>
            <a:ln>
              <a:noFill/>
            </a:ln>
            <a:effectLst/>
          </c:spPr>
          <c:invertIfNegative val="0"/>
          <c:dLbls>
            <c:delete val="1"/>
          </c:dLbls>
          <c:val>
            <c:numRef>
              <c:f>[工作簿1]Sheet1!$B$1</c:f>
              <c:numCache>
                <c:formatCode>General</c:formatCode>
                <c:ptCount val="1"/>
                <c:pt idx="0">
                  <c:v>29.92</c:v>
                </c:pt>
              </c:numCache>
            </c:numRef>
          </c:val>
        </c:ser>
        <c:dLbls>
          <c:showLegendKey val="0"/>
          <c:showVal val="0"/>
          <c:showCatName val="0"/>
          <c:showSerName val="0"/>
          <c:showPercent val="0"/>
          <c:showBubbleSize val="0"/>
        </c:dLbls>
        <c:gapWidth val="246"/>
        <c:overlap val="-28"/>
        <c:axId val="602023442"/>
        <c:axId val="432599636"/>
      </c:barChart>
      <c:catAx>
        <c:axId val="6020234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2599636"/>
        <c:crosses val="autoZero"/>
        <c:auto val="1"/>
        <c:lblAlgn val="ctr"/>
        <c:lblOffset val="100"/>
        <c:noMultiLvlLbl val="0"/>
      </c:catAx>
      <c:valAx>
        <c:axId val="43259963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202344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工资副利支出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[工作簿1]Sheet1!$A$1:$A$8</c:f>
              <c:strCache>
                <c:ptCount val="8"/>
                <c:pt idx="0">
                  <c:v>30101</c:v>
                </c:pt>
                <c:pt idx="1">
                  <c:v>30102</c:v>
                </c:pt>
                <c:pt idx="2">
                  <c:v>30106</c:v>
                </c:pt>
                <c:pt idx="3">
                  <c:v>30107</c:v>
                </c:pt>
                <c:pt idx="4">
                  <c:v>30108</c:v>
                </c:pt>
                <c:pt idx="5">
                  <c:v>30110</c:v>
                </c:pt>
                <c:pt idx="6">
                  <c:v>30112</c:v>
                </c:pt>
                <c:pt idx="7">
                  <c:v>30113</c:v>
                </c:pt>
              </c:strCache>
            </c:strRef>
          </c:cat>
          <c:val>
            <c:numRef>
              <c:f>[工作簿1]Sheet1!$B$1:$B$8</c:f>
              <c:numCache>
                <c:formatCode>#,##0.00</c:formatCode>
                <c:ptCount val="8"/>
                <c:pt idx="0">
                  <c:v>152.96</c:v>
                </c:pt>
                <c:pt idx="1">
                  <c:v>37.82</c:v>
                </c:pt>
                <c:pt idx="2">
                  <c:v>6.4</c:v>
                </c:pt>
                <c:pt idx="3">
                  <c:v>142.78</c:v>
                </c:pt>
                <c:pt idx="4">
                  <c:v>40.7</c:v>
                </c:pt>
                <c:pt idx="5">
                  <c:v>16.44</c:v>
                </c:pt>
                <c:pt idx="6">
                  <c:v>2.95</c:v>
                </c:pt>
                <c:pt idx="7">
                  <c:v>29.92</c:v>
                </c:pt>
              </c:numCache>
            </c:numRef>
          </c:val>
        </c:ser>
        <c:dLbls>
          <c:showLegendKey val="0"/>
          <c:showVal val="0"/>
          <c:showCatName val="0"/>
          <c:showSerName val="0"/>
          <c:showPercent val="0"/>
          <c:showBubbleSize val="0"/>
        </c:dLbls>
        <c:gapWidth val="246"/>
        <c:overlap val="-28"/>
        <c:axId val="785255481"/>
        <c:axId val="803726887"/>
      </c:barChart>
      <c:catAx>
        <c:axId val="7852554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726887"/>
        <c:crosses val="autoZero"/>
        <c:auto val="1"/>
        <c:lblAlgn val="ctr"/>
        <c:lblOffset val="100"/>
        <c:noMultiLvlLbl val="0"/>
      </c:catAx>
      <c:valAx>
        <c:axId val="803726887"/>
        <c:scaling>
          <c:orientation val="minMax"/>
        </c:scaling>
        <c:delete val="0"/>
        <c:axPos val="l"/>
        <c:majorGridlines>
          <c:spPr>
            <a:ln w="9525" cap="flat" cmpd="sng" algn="ctr">
              <a:solidFill>
                <a:schemeClr val="bg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52554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对个人和家庭补助</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[工作簿1]Sheet1!$A$1:$A$2</c:f>
              <c:strCache>
                <c:ptCount val="2"/>
                <c:pt idx="0">
                  <c:v>30305</c:v>
                </c:pt>
                <c:pt idx="1">
                  <c:v>30309</c:v>
                </c:pt>
              </c:strCache>
            </c:strRef>
          </c:cat>
          <c:val>
            <c:numRef>
              <c:f>[工作簿1]Sheet1!$B$1:$B$2</c:f>
              <c:numCache>
                <c:formatCode>#,##0.00</c:formatCode>
                <c:ptCount val="2"/>
                <c:pt idx="0">
                  <c:v>7.81</c:v>
                </c:pt>
                <c:pt idx="1">
                  <c:v>0.01</c:v>
                </c:pt>
              </c:numCache>
            </c:numRef>
          </c:val>
        </c:ser>
        <c:dLbls>
          <c:showLegendKey val="0"/>
          <c:showVal val="0"/>
          <c:showCatName val="0"/>
          <c:showSerName val="0"/>
          <c:showPercent val="0"/>
          <c:showBubbleSize val="0"/>
        </c:dLbls>
        <c:gapWidth val="246"/>
        <c:overlap val="-28"/>
        <c:axId val="785255481"/>
        <c:axId val="803726887"/>
      </c:barChart>
      <c:catAx>
        <c:axId val="7852554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726887"/>
        <c:crosses val="autoZero"/>
        <c:auto val="1"/>
        <c:lblAlgn val="ctr"/>
        <c:lblOffset val="100"/>
        <c:noMultiLvlLbl val="0"/>
      </c:catAx>
      <c:valAx>
        <c:axId val="803726887"/>
        <c:scaling>
          <c:orientation val="minMax"/>
        </c:scaling>
        <c:delete val="0"/>
        <c:axPos val="l"/>
        <c:majorGridlines>
          <c:spPr>
            <a:ln w="9525" cap="flat" cmpd="sng" algn="ctr">
              <a:solidFill>
                <a:schemeClr val="bg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52554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3</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2023-11-27T01:37:16Z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CB511299546346ED85C1FF93014186EC_13</vt:lpwstr>
  </property>
</Properties>
</file>