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bookmarkStart w:id="4" w:name="_GoBack"/>
      <w:r>
        <w:rPr>
          <w:rFonts w:hint="eastAsia" w:ascii="黑体" w:hAnsi="黑体" w:eastAsia="黑体" w:cs="黑体"/>
          <w:b/>
          <w:bCs/>
          <w:sz w:val="52"/>
          <w:szCs w:val="52"/>
          <w:highlight w:val="none"/>
          <w:lang w:val="en-US" w:eastAsia="zh-CN"/>
        </w:rPr>
        <w:t>环江毛南族自治县驯乐苗族乡卫生院</w:t>
      </w:r>
      <w:bookmarkEnd w:id="4"/>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环江县驯乐乡卫生院</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环江县驯乐乡卫生院</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环江县驯乐乡卫生院</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b/>
          <w:bCs/>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u w:color="auto"/>
          <w:lang w:val="en-US" w:eastAsia="zh-CN"/>
        </w:rPr>
        <w:t>环江县驯乐乡卫生院</w:t>
      </w:r>
      <w:r>
        <w:rPr>
          <w:rFonts w:hint="eastAsia" w:ascii="黑体" w:hAnsi="黑体" w:eastAsia="黑体" w:cs="黑体"/>
          <w:b/>
          <w:bCs/>
          <w:sz w:val="32"/>
          <w:szCs w:val="32"/>
          <w:highlight w:val="none"/>
        </w:rPr>
        <w:t>概况</w:t>
      </w:r>
    </w:p>
    <w:p>
      <w:pPr>
        <w:jc w:val="left"/>
        <w:rPr>
          <w:rFonts w:hint="eastAsia" w:ascii="黑体" w:hAnsi="黑体" w:eastAsia="黑体" w:cs="黑体"/>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widowControl/>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根据《环江毛南族自治县人民政府办公室关于印发环江毛南族自治县卫生和计划生育委员会主要职责内设机构和人员编制规定的通知》（环政办发[2015]168</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 xml:space="preserve">）文件规定，本部门主要职责是： </w:t>
      </w:r>
    </w:p>
    <w:p>
      <w:pPr>
        <w:widowControl/>
        <w:wordWrap w:val="0"/>
        <w:autoSpaceDN w:val="0"/>
        <w:spacing w:line="580" w:lineRule="exact"/>
        <w:ind w:firstLine="640" w:firstLineChars="200"/>
        <w:jc w:val="left"/>
        <w:rPr>
          <w:rFonts w:hint="eastAsia" w:ascii="仿宋" w:hAnsi="仿宋" w:eastAsia="仿宋" w:cs="仿宋"/>
          <w:color w:val="FF0000"/>
          <w:sz w:val="32"/>
          <w:szCs w:val="32"/>
          <w:lang w:val="en-US" w:eastAsia="zh-CN"/>
        </w:rPr>
      </w:pPr>
      <w:r>
        <w:rPr>
          <w:rFonts w:hint="eastAsia" w:ascii="仿宋_GB2312" w:hAnsi="仿宋_GB2312" w:eastAsia="仿宋_GB2312" w:cs="仿宋_GB2312"/>
          <w:kern w:val="0"/>
          <w:sz w:val="32"/>
          <w:szCs w:val="32"/>
        </w:rPr>
        <w:t>为人民身体健康提供医疗与预防保健服务，医疗、常见病多发病护理、恢复期病人康复与护理、预防保健、卫生技术人员培训、合作医疗组织与管理、卫生监督与卫生信息管理。</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年部门决算共</w:t>
      </w:r>
      <w:r>
        <w:rPr>
          <w:rFonts w:hint="eastAsia" w:ascii="仿宋_GB2312" w:eastAsia="仿宋_GB2312"/>
          <w:sz w:val="32"/>
          <w:szCs w:val="32"/>
          <w:lang w:val="en-US" w:eastAsia="zh-CN"/>
        </w:rPr>
        <w:t>1</w:t>
      </w:r>
      <w:r>
        <w:rPr>
          <w:rFonts w:hint="eastAsia" w:ascii="仿宋_GB2312" w:eastAsia="仿宋_GB2312"/>
          <w:sz w:val="32"/>
          <w:szCs w:val="32"/>
        </w:rPr>
        <w:t>个，乡镇卫生院1个。</w:t>
      </w:r>
      <w:r>
        <w:rPr>
          <w:rFonts w:hint="eastAsia" w:ascii="仿宋_GB2312" w:eastAsia="仿宋_GB2312"/>
          <w:sz w:val="32"/>
          <w:szCs w:val="32"/>
          <w:lang w:eastAsia="zh-CN"/>
        </w:rPr>
        <w:t>较</w:t>
      </w:r>
      <w:r>
        <w:rPr>
          <w:rFonts w:hint="eastAsia" w:ascii="仿宋_GB2312" w:eastAsia="仿宋_GB2312"/>
          <w:sz w:val="32"/>
          <w:szCs w:val="32"/>
          <w:lang w:val="en-US" w:eastAsia="zh-CN"/>
        </w:rPr>
        <w:t>2021年1个无变化。</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600" w:header="851" w:footer="992" w:gutter="0"/>
          <w:cols w:space="425" w:num="1"/>
          <w:docGrid w:type="lines" w:linePitch="312" w:charSpace="0"/>
        </w:sectPr>
      </w:pPr>
    </w:p>
    <w:p>
      <w:pPr>
        <w:ind w:firstLine="1920" w:firstLineChars="600"/>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环江毛南族自治县县驯乐乡卫生院</w:t>
      </w:r>
      <w:r>
        <w:rPr>
          <w:rFonts w:hint="eastAsia" w:ascii="黑体" w:hAnsi="黑体" w:eastAsia="黑体" w:cs="黑体"/>
          <w:sz w:val="32"/>
          <w:szCs w:val="32"/>
          <w:highlight w:val="none"/>
        </w:rPr>
        <w:t>2022年度部门决算报表</w:t>
      </w:r>
    </w:p>
    <w:p>
      <w:pPr>
        <w:jc w:val="center"/>
        <w:rPr>
          <w:rFonts w:hint="eastAsia" w:ascii="黑体" w:hAnsi="黑体" w:eastAsia="黑体" w:cs="黑体"/>
          <w:sz w:val="21"/>
          <w:szCs w:val="21"/>
          <w:highlight w:val="none"/>
        </w:rPr>
      </w:pPr>
    </w:p>
    <w:p>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表一：收入支出决算总表</w:t>
      </w:r>
    </w:p>
    <w:tbl>
      <w:tblPr>
        <w:tblStyle w:val="6"/>
        <w:tblW w:w="139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3"/>
        <w:gridCol w:w="1252"/>
        <w:gridCol w:w="1381"/>
        <w:gridCol w:w="3600"/>
        <w:gridCol w:w="1032"/>
        <w:gridCol w:w="1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4" w:hRule="atLeast"/>
        </w:trPr>
        <w:tc>
          <w:tcPr>
            <w:tcW w:w="13946"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52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12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8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3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2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25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部门：广西河池市环江毛南族自治县驯乐乡卫生院</w:t>
            </w:r>
          </w:p>
        </w:tc>
        <w:tc>
          <w:tcPr>
            <w:tcW w:w="12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8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60"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060"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711.06</w:t>
            </w: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484.69</w:t>
            </w: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3"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52"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1" w:type="dxa"/>
            <w:tcBorders>
              <w:top w:val="nil"/>
              <w:left w:val="nil"/>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00"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032"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2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52"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81"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00"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032"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28"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3"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52"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81"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032"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28" w:type="dxa"/>
            <w:tcBorders>
              <w:top w:val="single" w:color="auto" w:sz="4" w:space="0"/>
              <w:left w:val="nil"/>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3" w:type="dxa"/>
            <w:tcBorders>
              <w:top w:val="nil"/>
              <w:left w:val="single" w:color="auto"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52"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81" w:type="dxa"/>
            <w:tcBorders>
              <w:top w:val="nil"/>
              <w:left w:val="nil"/>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00"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032"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2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52"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81"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32"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1,195.75</w:t>
            </w: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1,195.75</w:t>
            </w:r>
          </w:p>
        </w:tc>
        <w:tc>
          <w:tcPr>
            <w:tcW w:w="3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46"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46"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jc w:val="left"/>
        <w:rPr>
          <w:rFonts w:hint="eastAsia" w:ascii="宋体" w:hAnsi="宋体" w:eastAsia="宋体" w:cs="宋体"/>
          <w:sz w:val="30"/>
          <w:szCs w:val="30"/>
          <w:highlight w:val="none"/>
          <w:lang w:val="en-US" w:eastAsia="zh-CN"/>
        </w:rPr>
      </w:pPr>
    </w:p>
    <w:p>
      <w:pPr>
        <w:jc w:val="left"/>
        <w:rPr>
          <w:rFonts w:hint="eastAsia" w:ascii="宋体" w:hAnsi="宋体" w:eastAsia="宋体" w:cs="宋体"/>
          <w:sz w:val="30"/>
          <w:szCs w:val="30"/>
          <w:highlight w:val="none"/>
          <w:lang w:val="en-US" w:eastAsia="zh-CN"/>
        </w:rPr>
      </w:pPr>
    </w:p>
    <w:p>
      <w:pPr>
        <w:jc w:val="left"/>
        <w:rPr>
          <w:rFonts w:hint="eastAsia" w:ascii="宋体" w:hAnsi="宋体" w:eastAsia="宋体" w:cs="宋体"/>
          <w:sz w:val="30"/>
          <w:szCs w:val="30"/>
          <w:highlight w:val="none"/>
          <w:lang w:val="en-US" w:eastAsia="zh-CN"/>
        </w:rPr>
      </w:pPr>
    </w:p>
    <w:p>
      <w:pPr>
        <w:jc w:val="left"/>
        <w:rPr>
          <w:rFonts w:hint="eastAsia" w:ascii="宋体" w:hAnsi="宋体" w:eastAsia="宋体" w:cs="宋体"/>
          <w:sz w:val="30"/>
          <w:szCs w:val="30"/>
          <w:highlight w:val="none"/>
          <w:lang w:val="en-US" w:eastAsia="zh-CN"/>
        </w:rPr>
      </w:pPr>
    </w:p>
    <w:p>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表二：收入决算表</w:t>
      </w:r>
    </w:p>
    <w:tbl>
      <w:tblPr>
        <w:tblStyle w:val="6"/>
        <w:tblW w:w="139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2"/>
        <w:gridCol w:w="262"/>
        <w:gridCol w:w="869"/>
        <w:gridCol w:w="4201"/>
        <w:gridCol w:w="1284"/>
        <w:gridCol w:w="1188"/>
        <w:gridCol w:w="1188"/>
        <w:gridCol w:w="1104"/>
        <w:gridCol w:w="1164"/>
        <w:gridCol w:w="1164"/>
        <w:gridCol w:w="1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3958"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2"/>
                <w:szCs w:val="32"/>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26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6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20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8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8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8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0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6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6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7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254"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部门：广西河池市环江毛南族自治县驯乐乡卫生院</w:t>
            </w:r>
          </w:p>
        </w:tc>
        <w:tc>
          <w:tcPr>
            <w:tcW w:w="110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6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3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8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8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8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0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7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93"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201"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8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01"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01"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94"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94"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1,195.75</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711.06</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484.69</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1,082.94</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598.25</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484.69</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w:t>
            </w:r>
          </w:p>
        </w:tc>
        <w:tc>
          <w:tcPr>
            <w:tcW w:w="4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833.61</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348.92</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484.69</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4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乡镇卫生院</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774.01</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289.32</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484.69</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4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4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161.08</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161.08</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4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4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25.28</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25.28</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w:t>
            </w:r>
          </w:p>
        </w:tc>
        <w:tc>
          <w:tcPr>
            <w:tcW w:w="4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2100601</w:t>
            </w:r>
          </w:p>
        </w:tc>
        <w:tc>
          <w:tcPr>
            <w:tcW w:w="4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 w:type="dxa"/>
            <w:gridSpan w:val="3"/>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420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128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68.25</w:t>
            </w:r>
          </w:p>
        </w:tc>
        <w:tc>
          <w:tcPr>
            <w:tcW w:w="118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68.25</w:t>
            </w:r>
          </w:p>
        </w:tc>
        <w:tc>
          <w:tcPr>
            <w:tcW w:w="118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 w:type="dxa"/>
            <w:gridSpan w:val="3"/>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4201"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1284"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68.25</w:t>
            </w:r>
          </w:p>
        </w:tc>
        <w:tc>
          <w:tcPr>
            <w:tcW w:w="1188"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68.25</w:t>
            </w:r>
          </w:p>
        </w:tc>
        <w:tc>
          <w:tcPr>
            <w:tcW w:w="1188"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4"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 w:type="dxa"/>
            <w:gridSpan w:val="3"/>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201"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28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118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118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single" w:color="auto" w:sz="4" w:space="0"/>
              <w:left w:val="nil"/>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 w:type="dxa"/>
            <w:gridSpan w:val="3"/>
            <w:tcBorders>
              <w:top w:val="nil"/>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 w:type="dxa"/>
            <w:gridSpan w:val="3"/>
            <w:tcBorders>
              <w:top w:val="nil"/>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20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8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118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118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201"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8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46.41</w:t>
            </w:r>
          </w:p>
        </w:tc>
        <w:tc>
          <w:tcPr>
            <w:tcW w:w="118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46.41</w:t>
            </w:r>
          </w:p>
        </w:tc>
        <w:tc>
          <w:tcPr>
            <w:tcW w:w="118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4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46.41</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46.41</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46.41</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46.41</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58"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eastAsia" w:ascii="宋体" w:hAnsi="宋体" w:eastAsia="宋体" w:cs="宋体"/>
          <w:sz w:val="24"/>
          <w:szCs w:val="24"/>
          <w:highlight w:val="none"/>
          <w:lang w:val="en-US" w:eastAsia="zh-CN"/>
        </w:rPr>
      </w:pPr>
    </w:p>
    <w:p>
      <w:pPr>
        <w:jc w:val="left"/>
        <w:rPr>
          <w:rFonts w:hint="eastAsia" w:ascii="宋体" w:hAnsi="宋体" w:eastAsia="宋体" w:cs="宋体"/>
          <w:sz w:val="24"/>
          <w:szCs w:val="24"/>
          <w:highlight w:val="none"/>
          <w:lang w:val="en-US" w:eastAsia="zh-CN"/>
        </w:rPr>
      </w:pPr>
    </w:p>
    <w:p>
      <w:pPr>
        <w:jc w:val="left"/>
        <w:rPr>
          <w:rFonts w:hint="eastAsia" w:ascii="宋体" w:hAnsi="宋体" w:eastAsia="宋体" w:cs="宋体"/>
          <w:sz w:val="24"/>
          <w:szCs w:val="24"/>
          <w:highlight w:val="none"/>
          <w:lang w:val="en-US" w:eastAsia="zh-CN"/>
        </w:rPr>
      </w:pPr>
    </w:p>
    <w:p>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表三：支出决算表</w:t>
      </w:r>
    </w:p>
    <w:tbl>
      <w:tblPr>
        <w:tblStyle w:val="6"/>
        <w:tblW w:w="1391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1"/>
        <w:gridCol w:w="272"/>
        <w:gridCol w:w="791"/>
        <w:gridCol w:w="4116"/>
        <w:gridCol w:w="1572"/>
        <w:gridCol w:w="1536"/>
        <w:gridCol w:w="1272"/>
        <w:gridCol w:w="1428"/>
        <w:gridCol w:w="1248"/>
        <w:gridCol w:w="1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3910"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2"/>
                <w:szCs w:val="32"/>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2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7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1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7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7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2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0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83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部门：广西河池市环江毛南族自治县驯乐乡卫生院</w:t>
            </w:r>
          </w:p>
        </w:tc>
        <w:tc>
          <w:tcPr>
            <w:tcW w:w="142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652"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7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7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2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4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0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116"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2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0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16"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2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0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16"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2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0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5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5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1,195.39</w:t>
            </w:r>
          </w:p>
        </w:tc>
        <w:tc>
          <w:tcPr>
            <w:tcW w:w="15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879.64</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315.76</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15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15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15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1,082.58</w:t>
            </w:r>
          </w:p>
        </w:tc>
        <w:tc>
          <w:tcPr>
            <w:tcW w:w="15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766.82</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315.76</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w:t>
            </w:r>
          </w:p>
        </w:tc>
        <w:tc>
          <w:tcPr>
            <w:tcW w:w="4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833.25</w:t>
            </w:r>
          </w:p>
        </w:tc>
        <w:tc>
          <w:tcPr>
            <w:tcW w:w="15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766.82</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66.43</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4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乡镇卫生院</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773.65</w:t>
            </w:r>
          </w:p>
        </w:tc>
        <w:tc>
          <w:tcPr>
            <w:tcW w:w="15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746.65</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26.99</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4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59.60</w:t>
            </w:r>
          </w:p>
        </w:tc>
        <w:tc>
          <w:tcPr>
            <w:tcW w:w="15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39.44</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4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161.08</w:t>
            </w:r>
          </w:p>
        </w:tc>
        <w:tc>
          <w:tcPr>
            <w:tcW w:w="15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161.08</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4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135.80</w:t>
            </w:r>
          </w:p>
        </w:tc>
        <w:tc>
          <w:tcPr>
            <w:tcW w:w="15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135.80</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4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25.28</w:t>
            </w:r>
          </w:p>
        </w:tc>
        <w:tc>
          <w:tcPr>
            <w:tcW w:w="15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25.28</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w:t>
            </w:r>
          </w:p>
        </w:tc>
        <w:tc>
          <w:tcPr>
            <w:tcW w:w="4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5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2100601</w:t>
            </w:r>
          </w:p>
        </w:tc>
        <w:tc>
          <w:tcPr>
            <w:tcW w:w="4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5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411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1572"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68.25</w:t>
            </w:r>
          </w:p>
        </w:tc>
        <w:tc>
          <w:tcPr>
            <w:tcW w:w="153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68.25</w:t>
            </w:r>
          </w:p>
        </w:tc>
        <w:tc>
          <w:tcPr>
            <w:tcW w:w="142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4116"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1572"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68.25</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68.25</w:t>
            </w:r>
          </w:p>
        </w:tc>
        <w:tc>
          <w:tcPr>
            <w:tcW w:w="1428"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11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572"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153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1272"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single" w:color="auto" w:sz="4" w:space="0"/>
              <w:left w:val="nil"/>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tcBorders>
              <w:top w:val="nil"/>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15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tcBorders>
              <w:top w:val="nil"/>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15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tcBorders>
              <w:top w:val="nil"/>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11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72"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46.41</w:t>
            </w:r>
          </w:p>
        </w:tc>
        <w:tc>
          <w:tcPr>
            <w:tcW w:w="153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46.41</w:t>
            </w:r>
          </w:p>
        </w:tc>
        <w:tc>
          <w:tcPr>
            <w:tcW w:w="1272"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411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72"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46.41</w:t>
            </w:r>
          </w:p>
        </w:tc>
        <w:tc>
          <w:tcPr>
            <w:tcW w:w="153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46.41</w:t>
            </w:r>
          </w:p>
        </w:tc>
        <w:tc>
          <w:tcPr>
            <w:tcW w:w="1272"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46.41</w:t>
            </w:r>
          </w:p>
        </w:tc>
        <w:tc>
          <w:tcPr>
            <w:tcW w:w="15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46.41</w:t>
            </w:r>
          </w:p>
        </w:tc>
        <w:tc>
          <w:tcPr>
            <w:tcW w:w="12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10"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eastAsia" w:ascii="宋体" w:hAnsi="宋体" w:eastAsia="宋体" w:cs="宋体"/>
          <w:sz w:val="24"/>
          <w:szCs w:val="24"/>
          <w:highlight w:val="none"/>
          <w:lang w:val="en-US" w:eastAsia="zh-CN"/>
        </w:rPr>
      </w:pPr>
    </w:p>
    <w:p>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表四：财政拨款收入支出决算总表</w:t>
      </w:r>
    </w:p>
    <w:tbl>
      <w:tblPr>
        <w:tblStyle w:val="6"/>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30"/>
        <w:gridCol w:w="768"/>
        <w:gridCol w:w="960"/>
        <w:gridCol w:w="3588"/>
        <w:gridCol w:w="804"/>
        <w:gridCol w:w="1200"/>
        <w:gridCol w:w="1248"/>
        <w:gridCol w:w="1128"/>
        <w:gridCol w:w="1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14078"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2"/>
                <w:szCs w:val="32"/>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323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7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58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0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2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5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546"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部门：广西河池市环江毛南族自治县驯乐乡卫生院</w:t>
            </w:r>
          </w:p>
        </w:tc>
        <w:tc>
          <w:tcPr>
            <w:tcW w:w="80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80"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120"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323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6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8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0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00"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2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5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23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8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0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711.06</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598.25</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598.25</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60" w:type="dxa"/>
            <w:tcBorders>
              <w:top w:val="nil"/>
              <w:left w:val="nil"/>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0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00"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8"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60"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04"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00"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8"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60"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04"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00"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6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0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single" w:color="auto" w:sz="4" w:space="0"/>
              <w:left w:val="nil"/>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auto"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60" w:type="dxa"/>
            <w:tcBorders>
              <w:top w:val="nil"/>
              <w:left w:val="nil"/>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0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00"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124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112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23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6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0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46.41</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46.41</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711.06</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711.06</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711.06</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711.06</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711.06</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711.06</w:t>
            </w:r>
          </w:p>
        </w:tc>
        <w:tc>
          <w:tcPr>
            <w:tcW w:w="11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78" w:type="dxa"/>
            <w:gridSpan w:val="9"/>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bl>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表五：一般公共预算财政拨款支出决算表</w:t>
      </w:r>
    </w:p>
    <w:tbl>
      <w:tblPr>
        <w:tblStyle w:val="6"/>
        <w:tblW w:w="1387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6"/>
        <w:gridCol w:w="307"/>
        <w:gridCol w:w="810"/>
        <w:gridCol w:w="5527"/>
        <w:gridCol w:w="2352"/>
        <w:gridCol w:w="2028"/>
        <w:gridCol w:w="2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13874"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2"/>
                <w:szCs w:val="32"/>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3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3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1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52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02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54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950"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部门：广西河池市环江毛南族自治县驯乐乡卫生院</w:t>
            </w:r>
          </w:p>
        </w:tc>
        <w:tc>
          <w:tcPr>
            <w:tcW w:w="23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02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54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9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92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3"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527"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35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02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54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423"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527"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5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2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4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3"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527"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5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2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4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95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95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711.06</w:t>
            </w:r>
          </w:p>
        </w:tc>
        <w:tc>
          <w:tcPr>
            <w:tcW w:w="20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395.31</w:t>
            </w:r>
          </w:p>
        </w:tc>
        <w:tc>
          <w:tcPr>
            <w:tcW w:w="25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5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20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25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5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20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25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5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20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25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5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598.25</w:t>
            </w:r>
          </w:p>
        </w:tc>
        <w:tc>
          <w:tcPr>
            <w:tcW w:w="20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282.49</w:t>
            </w:r>
          </w:p>
        </w:tc>
        <w:tc>
          <w:tcPr>
            <w:tcW w:w="25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w:t>
            </w:r>
          </w:p>
        </w:tc>
        <w:tc>
          <w:tcPr>
            <w:tcW w:w="55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348.92</w:t>
            </w:r>
          </w:p>
        </w:tc>
        <w:tc>
          <w:tcPr>
            <w:tcW w:w="20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282.49</w:t>
            </w:r>
          </w:p>
        </w:tc>
        <w:tc>
          <w:tcPr>
            <w:tcW w:w="25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55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乡镇卫生院</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289.32</w:t>
            </w:r>
          </w:p>
        </w:tc>
        <w:tc>
          <w:tcPr>
            <w:tcW w:w="20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262.33</w:t>
            </w:r>
          </w:p>
        </w:tc>
        <w:tc>
          <w:tcPr>
            <w:tcW w:w="25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55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59.60</w:t>
            </w:r>
          </w:p>
        </w:tc>
        <w:tc>
          <w:tcPr>
            <w:tcW w:w="20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w:t>
            </w:r>
          </w:p>
        </w:tc>
        <w:tc>
          <w:tcPr>
            <w:tcW w:w="25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55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161.08</w:t>
            </w:r>
          </w:p>
        </w:tc>
        <w:tc>
          <w:tcPr>
            <w:tcW w:w="20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55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135.80</w:t>
            </w:r>
          </w:p>
        </w:tc>
        <w:tc>
          <w:tcPr>
            <w:tcW w:w="20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55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25.28</w:t>
            </w:r>
          </w:p>
        </w:tc>
        <w:tc>
          <w:tcPr>
            <w:tcW w:w="20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w:t>
            </w:r>
          </w:p>
        </w:tc>
        <w:tc>
          <w:tcPr>
            <w:tcW w:w="55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20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3" w:type="dxa"/>
            <w:gridSpan w:val="3"/>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2100601</w:t>
            </w:r>
          </w:p>
        </w:tc>
        <w:tc>
          <w:tcPr>
            <w:tcW w:w="5527"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2352"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202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3" w:type="dxa"/>
            <w:gridSpan w:val="3"/>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5527"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2352"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68.25</w:t>
            </w:r>
          </w:p>
        </w:tc>
        <w:tc>
          <w:tcPr>
            <w:tcW w:w="2028"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4"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3"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5527"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2352"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68.25</w:t>
            </w:r>
          </w:p>
        </w:tc>
        <w:tc>
          <w:tcPr>
            <w:tcW w:w="2028"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4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3"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5527"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352"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2028"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254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3"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5527"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352"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20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254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55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20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25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55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46.41</w:t>
            </w:r>
          </w:p>
        </w:tc>
        <w:tc>
          <w:tcPr>
            <w:tcW w:w="20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46.41</w:t>
            </w:r>
          </w:p>
        </w:tc>
        <w:tc>
          <w:tcPr>
            <w:tcW w:w="25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55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46.41</w:t>
            </w:r>
          </w:p>
        </w:tc>
        <w:tc>
          <w:tcPr>
            <w:tcW w:w="20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46.41</w:t>
            </w:r>
          </w:p>
        </w:tc>
        <w:tc>
          <w:tcPr>
            <w:tcW w:w="25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55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3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46.41</w:t>
            </w:r>
          </w:p>
        </w:tc>
        <w:tc>
          <w:tcPr>
            <w:tcW w:w="20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46.41</w:t>
            </w:r>
          </w:p>
        </w:tc>
        <w:tc>
          <w:tcPr>
            <w:tcW w:w="25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874"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表六：一般公共预算财政拨款基本支出决算明细表</w:t>
      </w:r>
    </w:p>
    <w:tbl>
      <w:tblPr>
        <w:tblStyle w:val="6"/>
        <w:tblW w:w="141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0"/>
        <w:gridCol w:w="3576"/>
        <w:gridCol w:w="936"/>
        <w:gridCol w:w="852"/>
        <w:gridCol w:w="2484"/>
        <w:gridCol w:w="900"/>
        <w:gridCol w:w="828"/>
        <w:gridCol w:w="2880"/>
        <w:gridCol w:w="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14138"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2"/>
                <w:szCs w:val="32"/>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7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357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8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2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792"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618" w:type="dxa"/>
            <w:gridSpan w:val="5"/>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部门：广西河池市环江毛南族自治县驯乐乡卫生院</w:t>
            </w:r>
          </w:p>
        </w:tc>
        <w:tc>
          <w:tcPr>
            <w:tcW w:w="9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2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792"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2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856"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7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3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5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2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1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7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3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8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1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364.59</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125.45</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40.27</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62.65</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63.51</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57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3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w:t>
            </w:r>
          </w:p>
        </w:tc>
        <w:tc>
          <w:tcPr>
            <w:tcW w:w="852"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8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00"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880"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12"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77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576"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36"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2"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84"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00"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880"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12"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57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3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2"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8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8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12"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5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346"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375.14</w:t>
            </w:r>
          </w:p>
        </w:tc>
        <w:tc>
          <w:tcPr>
            <w:tcW w:w="7944"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38" w:type="dxa"/>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eastAsia" w:ascii="宋体" w:hAnsi="宋体" w:eastAsia="宋体" w:cs="宋体"/>
          <w:sz w:val="24"/>
          <w:szCs w:val="24"/>
          <w:highlight w:val="none"/>
          <w:lang w:val="en-US" w:eastAsia="zh-CN"/>
        </w:rPr>
      </w:pPr>
    </w:p>
    <w:p>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表七：</w:t>
      </w:r>
      <w:r>
        <w:rPr>
          <w:rFonts w:hint="eastAsia" w:ascii="宋体" w:hAnsi="宋体" w:eastAsia="宋体" w:cs="宋体"/>
          <w:i w:val="0"/>
          <w:iCs w:val="0"/>
          <w:color w:val="000000"/>
          <w:kern w:val="0"/>
          <w:sz w:val="24"/>
          <w:szCs w:val="24"/>
          <w:u w:val="none"/>
          <w:lang w:val="en-US" w:eastAsia="zh-CN" w:bidi="ar"/>
        </w:rPr>
        <w:t>政府性基金预算财政拨款收入支出决算表</w:t>
      </w:r>
    </w:p>
    <w:tbl>
      <w:tblPr>
        <w:tblStyle w:val="6"/>
        <w:tblW w:w="1400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6"/>
        <w:gridCol w:w="222"/>
        <w:gridCol w:w="240"/>
        <w:gridCol w:w="1188"/>
        <w:gridCol w:w="1188"/>
        <w:gridCol w:w="1152"/>
        <w:gridCol w:w="1092"/>
        <w:gridCol w:w="1320"/>
        <w:gridCol w:w="1152"/>
        <w:gridCol w:w="1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14006"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6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8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8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9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83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266"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部门：广西河池市环江毛南族自治县驯乐乡卫生院</w:t>
            </w:r>
          </w:p>
        </w:tc>
        <w:tc>
          <w:tcPr>
            <w:tcW w:w="118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9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83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8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15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56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8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7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88"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8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2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5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7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8"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7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8"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6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6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0.00</w:t>
            </w: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0.00</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0.00</w:t>
            </w: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0.00</w:t>
            </w:r>
          </w:p>
        </w:tc>
        <w:tc>
          <w:tcPr>
            <w:tcW w:w="183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3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06"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4006" w:type="dxa"/>
            <w:gridSpan w:val="10"/>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firstLine="420" w:firstLineChars="200"/>
              <w:rPr>
                <w:rFonts w:hint="default" w:ascii="Arial" w:hAnsi="Arial" w:cs="Arial"/>
                <w:i w:val="0"/>
                <w:iCs w:val="0"/>
                <w:color w:val="auto"/>
                <w:sz w:val="20"/>
                <w:szCs w:val="20"/>
                <w:u w:val="none"/>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tc>
      </w:tr>
    </w:tbl>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eastAsia" w:ascii="宋体" w:hAnsi="宋体" w:eastAsia="宋体" w:cs="宋体"/>
          <w:sz w:val="24"/>
          <w:szCs w:val="24"/>
          <w:highlight w:val="none"/>
          <w:lang w:val="en-US" w:eastAsia="zh-CN"/>
        </w:rPr>
      </w:pPr>
    </w:p>
    <w:p>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表八：</w:t>
      </w:r>
      <w:r>
        <w:rPr>
          <w:rFonts w:hint="eastAsia" w:ascii="宋体" w:hAnsi="宋体" w:eastAsia="宋体" w:cs="宋体"/>
          <w:i w:val="0"/>
          <w:iCs w:val="0"/>
          <w:color w:val="000000"/>
          <w:kern w:val="0"/>
          <w:sz w:val="24"/>
          <w:szCs w:val="24"/>
          <w:u w:val="none"/>
          <w:lang w:val="en-US" w:eastAsia="zh-CN" w:bidi="ar"/>
        </w:rPr>
        <w:t>国有资本经营预算财政拨款支出决算表</w:t>
      </w:r>
    </w:p>
    <w:tbl>
      <w:tblPr>
        <w:tblStyle w:val="6"/>
        <w:tblW w:w="1398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6"/>
        <w:gridCol w:w="222"/>
        <w:gridCol w:w="240"/>
        <w:gridCol w:w="2628"/>
        <w:gridCol w:w="2112"/>
        <w:gridCol w:w="2184"/>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13982"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6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62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11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18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98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6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部门：广西河池市环江毛南族自治县驯乐乡卫生院</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62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11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18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98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27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7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628"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1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9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7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28"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1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8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7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28"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1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8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0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0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1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0.00</w:t>
            </w:r>
          </w:p>
        </w:tc>
        <w:tc>
          <w:tcPr>
            <w:tcW w:w="218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0.00</w:t>
            </w:r>
          </w:p>
        </w:tc>
        <w:tc>
          <w:tcPr>
            <w:tcW w:w="19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11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18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82"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注：1.本表反映部门本年度国有资本经营预算财政拨款支出情况。</w:t>
            </w:r>
          </w:p>
          <w:p>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highlight w:val="none"/>
                <w:lang w:val="en-US" w:eastAsia="zh-CN"/>
              </w:rPr>
              <w:t>2.</w:t>
            </w:r>
            <w:r>
              <w:rPr>
                <w:rFonts w:hint="default" w:ascii="宋体" w:hAnsi="宋体" w:eastAsia="宋体" w:cs="宋体"/>
                <w:sz w:val="22"/>
                <w:szCs w:val="22"/>
                <w:highlight w:val="none"/>
                <w:lang w:val="en-US" w:eastAsia="zh-CN"/>
              </w:rPr>
              <w:t>本部门2022年度没有国有资本经营预算财政拨款收入，也没有国有资本经营预算财政拨款安排的支出，故本表无数据</w:t>
            </w:r>
          </w:p>
        </w:tc>
      </w:tr>
    </w:tbl>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eastAsia" w:ascii="宋体" w:hAnsi="宋体" w:eastAsia="宋体" w:cs="宋体"/>
          <w:sz w:val="24"/>
          <w:szCs w:val="24"/>
          <w:highlight w:val="none"/>
          <w:lang w:val="en-US" w:eastAsia="zh-CN"/>
        </w:rPr>
      </w:pPr>
    </w:p>
    <w:p>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表九：一般公共预算</w:t>
      </w:r>
      <w:r>
        <w:rPr>
          <w:rFonts w:hint="eastAsia" w:ascii="宋体" w:hAnsi="宋体" w:eastAsia="宋体" w:cs="宋体"/>
          <w:i w:val="0"/>
          <w:iCs w:val="0"/>
          <w:color w:val="000000"/>
          <w:kern w:val="0"/>
          <w:sz w:val="24"/>
          <w:szCs w:val="24"/>
          <w:u w:val="none"/>
          <w:lang w:val="en-US" w:eastAsia="zh-CN" w:bidi="ar"/>
        </w:rPr>
        <w:t>财政拨款安排的“三公”经费支出决算表</w:t>
      </w:r>
    </w:p>
    <w:tbl>
      <w:tblPr>
        <w:tblStyle w:val="6"/>
        <w:tblW w:w="1423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0"/>
        <w:gridCol w:w="1368"/>
        <w:gridCol w:w="1008"/>
        <w:gridCol w:w="1296"/>
        <w:gridCol w:w="1368"/>
        <w:gridCol w:w="1368"/>
        <w:gridCol w:w="960"/>
        <w:gridCol w:w="1116"/>
        <w:gridCol w:w="780"/>
        <w:gridCol w:w="1176"/>
        <w:gridCol w:w="1140"/>
        <w:gridCol w:w="1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14234" w:type="dxa"/>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2"/>
                <w:szCs w:val="32"/>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31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13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9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7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84"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350" w:type="dxa"/>
            <w:gridSpan w:val="5"/>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部门：广西河池市环江毛南族自治县驯乐乡卫生院</w:t>
            </w:r>
          </w:p>
        </w:tc>
        <w:tc>
          <w:tcPr>
            <w:tcW w:w="13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7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84"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516"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6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7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36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09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34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31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36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34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color w:val="000000"/>
                <w:sz w:val="22"/>
                <w:szCs w:val="22"/>
                <w:highlight w:val="none"/>
              </w:rPr>
              <w:t>0.00</w:t>
            </w:r>
          </w:p>
        </w:tc>
        <w:tc>
          <w:tcPr>
            <w:tcW w:w="136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highlight w:val="none"/>
              </w:rPr>
              <w:t>0.00</w:t>
            </w:r>
          </w:p>
        </w:tc>
        <w:tc>
          <w:tcPr>
            <w:tcW w:w="100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highlight w:val="none"/>
              </w:rPr>
              <w:t>0.00</w:t>
            </w:r>
          </w:p>
        </w:tc>
        <w:tc>
          <w:tcPr>
            <w:tcW w:w="129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highlight w:val="none"/>
              </w:rPr>
              <w:t>0.00</w:t>
            </w:r>
          </w:p>
        </w:tc>
        <w:tc>
          <w:tcPr>
            <w:tcW w:w="136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highlight w:val="none"/>
              </w:rPr>
              <w:t>0.00</w:t>
            </w:r>
          </w:p>
        </w:tc>
        <w:tc>
          <w:tcPr>
            <w:tcW w:w="136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highlight w:val="none"/>
              </w:rPr>
              <w:t>0.00</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highlight w:val="none"/>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highlight w:val="none"/>
              </w:rPr>
              <w:t>0.00</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highlight w:val="none"/>
              </w:rPr>
              <w:t>0.00</w:t>
            </w:r>
          </w:p>
        </w:tc>
        <w:tc>
          <w:tcPr>
            <w:tcW w:w="11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highlight w:val="none"/>
              </w:rPr>
              <w:t>0.00</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highlight w:val="none"/>
              </w:rPr>
              <w:t>0.00</w:t>
            </w:r>
          </w:p>
        </w:tc>
        <w:tc>
          <w:tcPr>
            <w:tcW w:w="134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r>
              <w:rPr>
                <w:rFonts w:hint="eastAsia" w:ascii="宋体" w:hAnsi="宋体" w:eastAsia="宋体" w:cs="宋体"/>
                <w:color w:val="000000"/>
                <w:sz w:val="22"/>
                <w:szCs w:val="22"/>
                <w:highlight w:val="none"/>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4234" w:type="dxa"/>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注：1.本表反映部门本年度财政拨款“三公”经费支出预决算情况。其中，预算数为“三公”经费全年预算数，反映按规定程序调整后的预算数；决算数是包括当年财政拨款和以前年度结转资金安排的实际支出。</w:t>
            </w:r>
          </w:p>
        </w:tc>
      </w:tr>
    </w:tbl>
    <w:p>
      <w:pPr>
        <w:ind w:firstLine="630" w:firstLineChars="300"/>
        <w:jc w:val="left"/>
        <w:rPr>
          <w:rFonts w:hint="default" w:ascii="宋体" w:hAnsi="宋体" w:eastAsia="宋体" w:cs="宋体"/>
          <w:color w:val="auto"/>
          <w:sz w:val="30"/>
          <w:szCs w:val="30"/>
          <w:highlight w:val="none"/>
          <w:lang w:val="en-US" w:eastAsia="zh-CN"/>
        </w:rPr>
      </w:pPr>
      <w:r>
        <w:rPr>
          <w:rFonts w:hint="eastAsia" w:ascii="宋体" w:hAnsi="宋体" w:eastAsia="宋体" w:cs="宋体"/>
          <w:color w:val="auto"/>
          <w:kern w:val="2"/>
          <w:sz w:val="21"/>
          <w:szCs w:val="21"/>
          <w:lang w:val="en-US" w:eastAsia="zh-CN" w:bidi="ar"/>
        </w:rPr>
        <w:t>2.本部门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jc w:val="left"/>
        <w:rPr>
          <w:rFonts w:hint="default" w:ascii="宋体" w:hAnsi="宋体" w:eastAsia="宋体" w:cs="宋体"/>
          <w:sz w:val="30"/>
          <w:szCs w:val="30"/>
          <w:highlight w:val="none"/>
          <w:lang w:val="en-US" w:eastAsia="zh-CN"/>
        </w:rPr>
      </w:pP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ind w:right="-313" w:rightChars="-149"/>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环江县驯乐乡卫生院</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color w:val="auto"/>
          <w:sz w:val="32"/>
          <w:highlight w:val="none"/>
          <w:u w:color="auto"/>
        </w:rPr>
        <w:t>1195.75</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highlight w:val="none"/>
          <w:u w:color="auto"/>
          <w:lang w:val="en-US" w:eastAsia="zh-CN"/>
        </w:rPr>
        <w:t>71.4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highlight w:val="none"/>
          <w:u w:color="auto"/>
          <w:lang w:val="en-US" w:eastAsia="zh-CN"/>
        </w:rPr>
        <w:t>6.35</w:t>
      </w:r>
      <w:r>
        <w:rPr>
          <w:rFonts w:ascii="仿宋" w:hAnsi="仿宋" w:eastAsia="仿宋" w:cs="仿宋"/>
          <w:sz w:val="32"/>
          <w:highlight w:val="none"/>
          <w:u w:color="auto"/>
        </w:rPr>
        <w:t>%</w:t>
      </w:r>
      <w:r>
        <w:rPr>
          <w:rFonts w:hint="eastAsia" w:ascii="仿宋" w:hAnsi="仿宋" w:eastAsia="仿宋" w:cs="仿宋"/>
          <w:sz w:val="32"/>
          <w:szCs w:val="32"/>
          <w:highlight w:val="none"/>
        </w:rPr>
        <w:t>，其中本年收入</w:t>
      </w:r>
      <w:r>
        <w:rPr>
          <w:rFonts w:hint="eastAsia" w:ascii="仿宋" w:hAnsi="仿宋" w:eastAsia="仿宋" w:cs="仿宋"/>
          <w:sz w:val="32"/>
          <w:highlight w:val="none"/>
          <w:u w:color="auto"/>
          <w:lang w:val="en-US" w:eastAsia="zh-CN"/>
        </w:rPr>
        <w:t>1195.75</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highlight w:val="none"/>
          <w:u w:color="auto"/>
        </w:rPr>
        <w:t>711.06</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 w:hAnsi="仿宋" w:eastAsia="仿宋" w:cs="仿宋"/>
          <w:sz w:val="32"/>
          <w:highlight w:val="none"/>
          <w:u w:color="auto"/>
          <w:lang w:val="en-US" w:eastAsia="zh-CN"/>
        </w:rPr>
        <w:t>增加85.96</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highlight w:val="none"/>
          <w:u w:color="auto"/>
          <w:lang w:val="en-US" w:eastAsia="zh-CN"/>
        </w:rPr>
        <w:t>增长13.75</w:t>
      </w:r>
      <w:r>
        <w:rPr>
          <w:rFonts w:ascii="仿宋" w:hAnsi="仿宋" w:eastAsia="仿宋" w:cs="仿宋"/>
          <w:sz w:val="32"/>
          <w:highlight w:val="none"/>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主要原因：疫情投入增加，卫生基建项目财政拨款增加</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highlight w:val="none"/>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highlight w:val="none"/>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auto"/>
          <w:kern w:val="2"/>
          <w:sz w:val="32"/>
          <w:szCs w:val="32"/>
          <w:highlight w:val="none"/>
          <w:lang w:val="en-US" w:eastAsia="zh-CN" w:bidi="ar"/>
        </w:rPr>
        <w:t>主要原因是：本单位没有</w:t>
      </w:r>
      <w:r>
        <w:rPr>
          <w:rFonts w:hint="eastAsia" w:ascii="仿宋" w:hAnsi="仿宋" w:eastAsia="仿宋" w:cs="仿宋"/>
          <w:kern w:val="2"/>
          <w:sz w:val="32"/>
          <w:szCs w:val="32"/>
          <w:highlight w:val="none"/>
          <w:lang w:val="en-US" w:eastAsia="zh-CN" w:bidi="ar"/>
        </w:rPr>
        <w:t>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highlight w:val="none"/>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highlight w:val="none"/>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auto"/>
          <w:kern w:val="2"/>
          <w:sz w:val="32"/>
          <w:szCs w:val="32"/>
          <w:highlight w:val="none"/>
          <w:lang w:val="en-US" w:eastAsia="zh-CN" w:bidi="ar"/>
        </w:rPr>
        <w:t>主要原因是：本单位没有国有资本经营预算财政拨款收入</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highlight w:val="none"/>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highlight w:val="none"/>
          <w:u w:color="auto"/>
        </w:rPr>
        <w:t>增加</w:t>
      </w:r>
      <w:r>
        <w:rPr>
          <w:rFonts w:hint="eastAsia" w:ascii="仿宋" w:hAnsi="仿宋" w:eastAsia="仿宋" w:cs="仿宋"/>
          <w:sz w:val="32"/>
          <w:highlight w:val="none"/>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增长</w:t>
      </w:r>
      <w:r>
        <w:rPr>
          <w:rFonts w:hint="eastAsia" w:ascii="仿宋" w:hAnsi="仿宋" w:eastAsia="仿宋" w:cs="仿宋"/>
          <w:sz w:val="32"/>
          <w:highlight w:val="none"/>
          <w:u w:color="auto"/>
          <w:lang w:val="en-US" w:eastAsia="zh-CN"/>
        </w:rPr>
        <w:t>0</w:t>
      </w:r>
      <w:r>
        <w:rPr>
          <w:rFonts w:ascii="仿宋" w:hAnsi="仿宋" w:eastAsia="仿宋" w:cs="仿宋"/>
          <w:sz w:val="32"/>
          <w:highlight w:val="none"/>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auto"/>
          <w:kern w:val="2"/>
          <w:sz w:val="32"/>
          <w:szCs w:val="32"/>
          <w:highlight w:val="none"/>
          <w:lang w:val="en-US" w:eastAsia="zh-CN" w:bidi="ar"/>
        </w:rPr>
        <w:t>主要原因是：本单位没有上级补助收入</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hint="eastAsia" w:ascii="仿宋" w:hAnsi="仿宋" w:eastAsia="仿宋" w:cs="仿宋"/>
          <w:sz w:val="32"/>
          <w:highlight w:val="none"/>
          <w:u w:color="auto"/>
        </w:rPr>
        <w:t>484.69</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hint="eastAsia" w:ascii="仿宋" w:hAnsi="仿宋" w:eastAsia="仿宋" w:cs="仿宋"/>
          <w:sz w:val="32"/>
          <w:highlight w:val="none"/>
          <w:u w:color="auto"/>
          <w:lang w:val="en-US" w:eastAsia="zh-CN"/>
        </w:rPr>
        <w:t>减少4.73</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highlight w:val="none"/>
          <w:u w:color="auto"/>
          <w:lang w:val="en-US" w:eastAsia="zh-CN"/>
        </w:rPr>
        <w:t>下降0.97%</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主要原因是：业务收入减少。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highlight w:val="none"/>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auto"/>
          <w:kern w:val="2"/>
          <w:sz w:val="32"/>
          <w:szCs w:val="32"/>
          <w:highlight w:val="none"/>
          <w:lang w:val="en-US" w:eastAsia="zh-CN" w:bidi="ar"/>
        </w:rPr>
        <w:t>主要原因是：本单位没有经营收入</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highlight w:val="none"/>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highlight w:val="none"/>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auto"/>
          <w:kern w:val="2"/>
          <w:sz w:val="32"/>
          <w:szCs w:val="32"/>
          <w:highlight w:val="none"/>
          <w:lang w:val="en-US" w:eastAsia="zh-CN" w:bidi="ar"/>
        </w:rPr>
        <w:t>主要原因是：本单位没有附属单位上缴收入。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highlight w:val="none"/>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highlight w:val="none"/>
          <w:u w:color="auto"/>
        </w:rPr>
        <w:t>减少</w:t>
      </w:r>
      <w:r>
        <w:rPr>
          <w:rFonts w:hint="eastAsia" w:ascii="仿宋" w:hAnsi="仿宋" w:eastAsia="仿宋" w:cs="仿宋"/>
          <w:sz w:val="32"/>
          <w:highlight w:val="none"/>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下降</w:t>
      </w:r>
      <w:r>
        <w:rPr>
          <w:rFonts w:hint="eastAsia" w:ascii="仿宋" w:hAnsi="仿宋" w:eastAsia="仿宋" w:cs="仿宋"/>
          <w:sz w:val="32"/>
          <w:highlight w:val="none"/>
          <w:u w:color="auto"/>
          <w:lang w:val="en-US" w:eastAsia="zh-CN"/>
        </w:rPr>
        <w:t>0</w:t>
      </w:r>
      <w:r>
        <w:rPr>
          <w:rFonts w:ascii="仿宋" w:hAnsi="仿宋" w:eastAsia="仿宋" w:cs="仿宋"/>
          <w:sz w:val="32"/>
          <w:highlight w:val="none"/>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auto"/>
          <w:kern w:val="2"/>
          <w:sz w:val="32"/>
          <w:szCs w:val="32"/>
          <w:highlight w:val="none"/>
          <w:lang w:val="en-US" w:eastAsia="zh-CN" w:bidi="ar"/>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highlight w:val="none"/>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highlight w:val="none"/>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auto"/>
          <w:kern w:val="2"/>
          <w:sz w:val="32"/>
          <w:szCs w:val="32"/>
          <w:highlight w:val="none"/>
          <w:lang w:val="en-US" w:eastAsia="zh-CN" w:bidi="ar"/>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highlight w:val="none"/>
          <w:u w:color="auto"/>
          <w:lang w:val="en-US" w:eastAsia="zh-CN"/>
        </w:rPr>
        <w:t>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32"/>
          <w:highlight w:val="none"/>
          <w:u w:color="auto"/>
        </w:rPr>
        <w:t>减少</w:t>
      </w:r>
      <w:r>
        <w:rPr>
          <w:rFonts w:hint="eastAsia" w:ascii="仿宋" w:hAnsi="仿宋" w:eastAsia="仿宋" w:cs="仿宋"/>
          <w:color w:val="auto"/>
          <w:sz w:val="32"/>
          <w:highlight w:val="none"/>
          <w:u w:color="auto"/>
          <w:lang w:val="en-US" w:eastAsia="zh-CN"/>
        </w:rPr>
        <w:t>9.84</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下降</w:t>
      </w:r>
      <w:r>
        <w:rPr>
          <w:rFonts w:hint="eastAsia" w:ascii="仿宋" w:hAnsi="仿宋" w:eastAsia="仿宋" w:cs="仿宋"/>
          <w:color w:val="auto"/>
          <w:sz w:val="32"/>
          <w:highlight w:val="none"/>
          <w:u w:color="auto"/>
          <w:lang w:val="en-US" w:eastAsia="zh-CN"/>
        </w:rPr>
        <w:t>100</w:t>
      </w:r>
      <w:r>
        <w:rPr>
          <w:rFonts w:ascii="仿宋" w:hAnsi="仿宋" w:eastAsia="仿宋" w:cs="仿宋"/>
          <w:color w:val="auto"/>
          <w:sz w:val="32"/>
          <w:highlight w:val="none"/>
          <w:u w:color="auto"/>
        </w:rPr>
        <w:t>%</w:t>
      </w:r>
      <w:r>
        <w:rPr>
          <w:rFonts w:hint="eastAsia" w:ascii="仿宋" w:hAnsi="仿宋" w:eastAsia="仿宋" w:cs="仿宋"/>
          <w:color w:val="auto"/>
          <w:kern w:val="2"/>
          <w:sz w:val="32"/>
          <w:szCs w:val="32"/>
          <w:highlight w:val="none"/>
          <w:lang w:val="en-US" w:eastAsia="zh-CN" w:bidi="ar"/>
        </w:rPr>
        <w:t>，主要原因：项目已在本年执行完毕，不需要结转至下年继续执行。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928235" cy="3191510"/>
            <wp:effectExtent l="4445" t="4445" r="20320" b="234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highlight w:val="none"/>
          <w:u w:color="auto"/>
        </w:rPr>
        <w:t>1195.75</w:t>
      </w:r>
      <w:r>
        <w:rPr>
          <w:rFonts w:hint="eastAsia" w:ascii="仿宋" w:hAnsi="仿宋" w:eastAsia="仿宋" w:cs="仿宋"/>
          <w:sz w:val="32"/>
          <w:szCs w:val="32"/>
          <w:highlight w:val="none"/>
        </w:rPr>
        <w:t>万元，其中本年支出</w:t>
      </w:r>
      <w:r>
        <w:rPr>
          <w:rFonts w:hint="eastAsia" w:ascii="仿宋" w:hAnsi="仿宋" w:eastAsia="仿宋" w:cs="仿宋"/>
          <w:sz w:val="32"/>
          <w:highlight w:val="none"/>
          <w:u w:color="auto"/>
        </w:rPr>
        <w:t>1195.39</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highlight w:val="none"/>
          <w:u w:color="auto"/>
          <w:lang w:val="en-US" w:eastAsia="zh-CN"/>
        </w:rPr>
        <w:t>71.4</w:t>
      </w:r>
      <w:r>
        <w:rPr>
          <w:rFonts w:hint="eastAsia" w:ascii="仿宋" w:hAnsi="仿宋" w:eastAsia="仿宋" w:cs="仿宋"/>
          <w:sz w:val="32"/>
          <w:szCs w:val="32"/>
          <w:highlight w:val="none"/>
        </w:rPr>
        <w:t>万元，</w:t>
      </w:r>
      <w:r>
        <w:rPr>
          <w:rFonts w:hint="eastAsia" w:ascii="仿宋" w:hAnsi="仿宋" w:eastAsia="仿宋" w:cs="仿宋"/>
          <w:sz w:val="32"/>
          <w:highlight w:val="none"/>
          <w:u w:color="auto"/>
          <w:lang w:eastAsia="zh-CN"/>
        </w:rPr>
        <w:t>增长</w:t>
      </w:r>
      <w:r>
        <w:rPr>
          <w:rFonts w:hint="eastAsia" w:ascii="仿宋" w:hAnsi="仿宋" w:eastAsia="仿宋" w:cs="仿宋"/>
          <w:sz w:val="32"/>
          <w:highlight w:val="none"/>
          <w:u w:color="auto"/>
          <w:lang w:val="en-US" w:eastAsia="zh-CN"/>
        </w:rPr>
        <w:t>6.35</w:t>
      </w:r>
      <w:r>
        <w:rPr>
          <w:rFonts w:ascii="仿宋" w:hAnsi="仿宋" w:eastAsia="仿宋" w:cs="仿宋"/>
          <w:sz w:val="32"/>
          <w:highlight w:val="none"/>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1</w:t>
      </w:r>
      <w:r>
        <w:rPr>
          <w:rFonts w:ascii="仿宋" w:hAnsi="仿宋" w:eastAsia="仿宋" w:cs="仿宋"/>
          <w:sz w:val="32"/>
          <w:highlight w:val="none"/>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38.37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color w:val="auto"/>
          <w:kern w:val="0"/>
          <w:sz w:val="32"/>
          <w:szCs w:val="32"/>
          <w:highlight w:val="none"/>
        </w:rPr>
        <w:t>在职人员养老保险</w:t>
      </w:r>
      <w:r>
        <w:rPr>
          <w:rFonts w:hint="eastAsia" w:ascii="仿宋_GB2312" w:eastAsia="仿宋_GB2312" w:cs="仿宋_GB2312"/>
          <w:color w:val="auto"/>
          <w:kern w:val="0"/>
          <w:sz w:val="32"/>
          <w:szCs w:val="32"/>
          <w:highlight w:val="none"/>
          <w:lang w:eastAsia="zh-CN"/>
        </w:rPr>
        <w:t>缴费支出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0.28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0.72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人员的正常变动。</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highlight w:val="none"/>
          <w:u w:color="auto"/>
          <w:lang w:val="en-US" w:eastAsia="zh-CN"/>
        </w:rPr>
        <w:t>2</w:t>
      </w:r>
      <w:r>
        <w:rPr>
          <w:rFonts w:ascii="仿宋" w:hAnsi="仿宋" w:eastAsia="仿宋" w:cs="仿宋"/>
          <w:sz w:val="32"/>
          <w:highlight w:val="none"/>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1082.58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color w:val="auto"/>
          <w:kern w:val="0"/>
          <w:sz w:val="32"/>
          <w:szCs w:val="32"/>
          <w:highlight w:val="none"/>
        </w:rPr>
        <w:t>一是医疗卫生机构按国家规定发放的在职人员工资</w:t>
      </w:r>
      <w:r>
        <w:rPr>
          <w:rFonts w:hint="eastAsia" w:ascii="仿宋_GB2312" w:eastAsia="仿宋_GB2312" w:cs="仿宋_GB2312"/>
          <w:color w:val="auto"/>
          <w:kern w:val="0"/>
          <w:sz w:val="32"/>
          <w:szCs w:val="32"/>
          <w:highlight w:val="none"/>
          <w:lang w:eastAsia="zh-CN"/>
        </w:rPr>
        <w:t>、</w:t>
      </w:r>
      <w:r>
        <w:rPr>
          <w:rFonts w:hint="eastAsia" w:ascii="仿宋_GB2312" w:eastAsia="仿宋_GB2312" w:cs="仿宋_GB2312"/>
          <w:color w:val="auto"/>
          <w:kern w:val="0"/>
          <w:sz w:val="32"/>
          <w:szCs w:val="32"/>
          <w:highlight w:val="none"/>
        </w:rPr>
        <w:t>津贴补贴及离退休人员工</w:t>
      </w:r>
      <w:r>
        <w:rPr>
          <w:rFonts w:hint="eastAsia" w:ascii="仿宋_GB2312" w:eastAsia="仿宋_GB2312" w:cs="仿宋_GB2312"/>
          <w:color w:val="auto"/>
          <w:kern w:val="0"/>
          <w:sz w:val="32"/>
          <w:szCs w:val="32"/>
          <w:highlight w:val="none"/>
          <w:lang w:eastAsia="zh-CN"/>
        </w:rPr>
        <w:t>资</w:t>
      </w:r>
      <w:r>
        <w:rPr>
          <w:rFonts w:hint="eastAsia" w:ascii="仿宋_GB2312" w:eastAsia="仿宋_GB2312" w:cs="仿宋_GB2312"/>
          <w:color w:val="auto"/>
          <w:kern w:val="0"/>
          <w:sz w:val="32"/>
          <w:szCs w:val="32"/>
          <w:highlight w:val="none"/>
        </w:rPr>
        <w:t>方面的支出；二是卫生计生项目类支出。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331.16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增长</w:t>
      </w:r>
      <w:r>
        <w:rPr>
          <w:rFonts w:hint="eastAsia" w:ascii="仿宋" w:hAnsi="仿宋" w:eastAsia="仿宋" w:cs="仿宋"/>
          <w:sz w:val="32"/>
          <w:szCs w:val="32"/>
          <w:highlight w:val="none"/>
          <w:lang w:val="en-US" w:eastAsia="zh-CN" w:bidi="ar"/>
        </w:rPr>
        <w:t>44.07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s="仿宋_GB2312"/>
          <w:color w:val="auto"/>
          <w:kern w:val="0"/>
          <w:sz w:val="32"/>
          <w:szCs w:val="32"/>
          <w:highlight w:val="none"/>
          <w:lang w:eastAsia="zh-CN"/>
        </w:rPr>
        <w:t>属于正常变动</w:t>
      </w:r>
      <w:r>
        <w:rPr>
          <w:rFonts w:hint="eastAsia" w:ascii="仿宋" w:hAnsi="仿宋" w:eastAsia="仿宋" w:cs="仿宋"/>
          <w:color w:val="auto"/>
          <w:kern w:val="2"/>
          <w:sz w:val="32"/>
          <w:szCs w:val="32"/>
          <w:highlight w:val="none"/>
          <w:lang w:val="en-US" w:eastAsia="zh-CN" w:bidi="ar"/>
        </w:rPr>
        <w:t>。</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lang w:eastAsia="zh-CN"/>
        </w:rPr>
      </w:pPr>
      <w:r>
        <w:rPr>
          <w:rFonts w:hint="eastAsia" w:ascii="仿宋" w:hAnsi="仿宋" w:eastAsia="仿宋" w:cs="仿宋"/>
          <w:sz w:val="32"/>
          <w:highlight w:val="none"/>
          <w:u w:color="auto"/>
          <w:lang w:val="en-US" w:eastAsia="zh-CN"/>
        </w:rPr>
        <w:t>3</w:t>
      </w:r>
      <w:r>
        <w:rPr>
          <w:rFonts w:ascii="仿宋" w:hAnsi="仿宋" w:eastAsia="仿宋" w:cs="仿宋"/>
          <w:sz w:val="32"/>
          <w:highlight w:val="none"/>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28.04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color w:val="auto"/>
          <w:kern w:val="0"/>
          <w:sz w:val="32"/>
          <w:szCs w:val="32"/>
          <w:highlight w:val="none"/>
        </w:rPr>
        <w:t>按照国家政策规定代职工上缴住房公积金等支出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0.87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3.01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s="仿宋_GB2312"/>
          <w:color w:val="auto"/>
          <w:kern w:val="0"/>
          <w:sz w:val="32"/>
          <w:szCs w:val="32"/>
          <w:highlight w:val="none"/>
          <w:lang w:eastAsia="zh-CN"/>
        </w:rPr>
        <w:t>正常人员变动。</w:t>
      </w:r>
    </w:p>
    <w:p>
      <w:pPr>
        <w:autoSpaceDE w:val="0"/>
        <w:autoSpaceDN w:val="0"/>
        <w:adjustRightInd w:val="0"/>
        <w:spacing w:line="560" w:lineRule="exact"/>
        <w:ind w:firstLine="640" w:firstLineChars="200"/>
        <w:jc w:val="left"/>
        <w:rPr>
          <w:rFonts w:hint="eastAsia" w:ascii="仿宋" w:hAnsi="仿宋" w:eastAsia="仿宋" w:cs="仿宋"/>
          <w:sz w:val="32"/>
          <w:szCs w:val="32"/>
          <w:highlight w:val="none"/>
          <w:lang w:val="en-US"/>
        </w:rPr>
      </w:pPr>
      <w:r>
        <w:rPr>
          <w:rFonts w:hint="eastAsia" w:ascii="仿宋_GB2312" w:eastAsia="仿宋_GB2312" w:cs="仿宋_GB2312"/>
          <w:color w:val="auto"/>
          <w:kern w:val="0"/>
          <w:sz w:val="32"/>
          <w:szCs w:val="32"/>
          <w:highlight w:val="none"/>
          <w:lang w:val="en-US" w:eastAsia="zh-CN"/>
        </w:rPr>
        <w:t>4.其他支出46.41万元，</w:t>
      </w:r>
      <w:r>
        <w:rPr>
          <w:rFonts w:hint="eastAsia" w:ascii="仿宋_GB2312" w:eastAsia="仿宋_GB2312" w:cs="仿宋_GB2312"/>
          <w:color w:val="auto"/>
          <w:kern w:val="0"/>
          <w:sz w:val="32"/>
          <w:szCs w:val="32"/>
          <w:highlight w:val="none"/>
        </w:rPr>
        <w:t>主要是</w:t>
      </w:r>
      <w:r>
        <w:rPr>
          <w:rFonts w:hint="eastAsia" w:ascii="仿宋_GB2312" w:eastAsia="仿宋_GB2312" w:cs="仿宋_GB2312"/>
          <w:color w:val="auto"/>
          <w:kern w:val="0"/>
          <w:sz w:val="32"/>
          <w:szCs w:val="32"/>
          <w:highlight w:val="none"/>
          <w:lang w:eastAsia="zh-CN"/>
        </w:rPr>
        <w:t>伙食补助、</w:t>
      </w:r>
      <w:r>
        <w:rPr>
          <w:rFonts w:hint="eastAsia" w:ascii="仿宋_GB2312" w:eastAsia="仿宋_GB2312" w:cs="仿宋_GB2312"/>
          <w:color w:val="auto"/>
          <w:kern w:val="0"/>
          <w:sz w:val="32"/>
          <w:szCs w:val="32"/>
          <w:highlight w:val="none"/>
        </w:rPr>
        <w:t>政府绩效考评奖支出。较</w:t>
      </w:r>
      <w:r>
        <w:rPr>
          <w:rFonts w:hint="eastAsia" w:ascii="仿宋_GB2312" w:eastAsia="仿宋_GB2312" w:cs="仿宋_GB2312"/>
          <w:color w:val="auto"/>
          <w:kern w:val="0"/>
          <w:sz w:val="32"/>
          <w:szCs w:val="32"/>
          <w:highlight w:val="none"/>
          <w:lang w:eastAsia="zh-CN"/>
        </w:rPr>
        <w:t>20</w:t>
      </w:r>
      <w:r>
        <w:rPr>
          <w:rFonts w:hint="eastAsia" w:ascii="仿宋_GB2312" w:eastAsia="仿宋_GB2312" w:cs="仿宋_GB2312"/>
          <w:color w:val="auto"/>
          <w:kern w:val="0"/>
          <w:sz w:val="32"/>
          <w:szCs w:val="32"/>
          <w:highlight w:val="none"/>
          <w:lang w:val="en-US" w:eastAsia="zh-CN"/>
        </w:rPr>
        <w:t>21</w:t>
      </w:r>
      <w:r>
        <w:rPr>
          <w:rFonts w:hint="eastAsia" w:ascii="仿宋_GB2312" w:eastAsia="仿宋_GB2312" w:cs="仿宋_GB2312"/>
          <w:color w:val="auto"/>
          <w:kern w:val="0"/>
          <w:sz w:val="32"/>
          <w:szCs w:val="32"/>
          <w:highlight w:val="none"/>
        </w:rPr>
        <w:t>年度决算数</w:t>
      </w:r>
      <w:r>
        <w:rPr>
          <w:rFonts w:hint="eastAsia" w:ascii="仿宋_GB2312" w:eastAsia="仿宋_GB2312" w:cs="仿宋_GB2312"/>
          <w:color w:val="auto"/>
          <w:kern w:val="0"/>
          <w:sz w:val="32"/>
          <w:szCs w:val="32"/>
          <w:highlight w:val="none"/>
          <w:lang w:eastAsia="zh-CN"/>
        </w:rPr>
        <w:t>减少</w:t>
      </w:r>
      <w:r>
        <w:rPr>
          <w:rFonts w:hint="eastAsia" w:ascii="仿宋_GB2312" w:eastAsia="仿宋_GB2312" w:cs="仿宋_GB2312"/>
          <w:color w:val="auto"/>
          <w:kern w:val="0"/>
          <w:sz w:val="32"/>
          <w:szCs w:val="32"/>
          <w:highlight w:val="none"/>
          <w:lang w:val="en-US" w:eastAsia="zh-CN"/>
        </w:rPr>
        <w:t>25.28</w:t>
      </w:r>
      <w:r>
        <w:rPr>
          <w:rFonts w:hint="eastAsia" w:ascii="仿宋_GB2312" w:eastAsia="仿宋_GB2312" w:cs="仿宋_GB2312"/>
          <w:color w:val="auto"/>
          <w:kern w:val="0"/>
          <w:sz w:val="32"/>
          <w:szCs w:val="32"/>
          <w:highlight w:val="none"/>
        </w:rPr>
        <w:t>万元，</w:t>
      </w:r>
      <w:r>
        <w:rPr>
          <w:rFonts w:hint="eastAsia" w:ascii="仿宋_GB2312" w:eastAsia="仿宋_GB2312" w:cs="仿宋_GB2312"/>
          <w:color w:val="auto"/>
          <w:kern w:val="0"/>
          <w:sz w:val="32"/>
          <w:szCs w:val="32"/>
          <w:highlight w:val="none"/>
          <w:lang w:eastAsia="zh-CN"/>
        </w:rPr>
        <w:t>下降</w:t>
      </w:r>
      <w:r>
        <w:rPr>
          <w:rFonts w:hint="eastAsia" w:ascii="仿宋_GB2312" w:eastAsia="仿宋_GB2312" w:cs="仿宋_GB2312"/>
          <w:color w:val="auto"/>
          <w:kern w:val="0"/>
          <w:sz w:val="32"/>
          <w:szCs w:val="32"/>
          <w:highlight w:val="none"/>
          <w:lang w:val="en-US" w:eastAsia="zh-CN"/>
        </w:rPr>
        <w:t>35.26</w:t>
      </w:r>
      <w:r>
        <w:rPr>
          <w:rFonts w:hint="eastAsia" w:asci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lang w:eastAsia="zh-CN"/>
        </w:rPr>
        <w:t>，</w:t>
      </w:r>
      <w:r>
        <w:rPr>
          <w:rFonts w:hint="eastAsia" w:ascii="仿宋_GB2312" w:eastAsia="仿宋_GB2312" w:cs="仿宋_GB2312"/>
          <w:color w:val="auto"/>
          <w:kern w:val="0"/>
          <w:sz w:val="32"/>
          <w:szCs w:val="32"/>
          <w:highlight w:val="none"/>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_GB2312" w:eastAsia="仿宋_GB2312" w:cs="仿宋_GB2312"/>
          <w:color w:val="auto"/>
          <w:kern w:val="0"/>
          <w:sz w:val="32"/>
          <w:szCs w:val="32"/>
          <w:highlight w:val="none"/>
          <w:lang w:val="en-US" w:eastAsia="zh-CN"/>
        </w:rPr>
        <w:t>2022</w:t>
      </w:r>
      <w:r>
        <w:rPr>
          <w:rFonts w:hint="eastAsia" w:ascii="仿宋_GB2312" w:eastAsia="仿宋_GB2312" w:cs="仿宋_GB2312"/>
          <w:color w:val="auto"/>
          <w:kern w:val="0"/>
          <w:sz w:val="32"/>
          <w:szCs w:val="32"/>
          <w:highlight w:val="none"/>
          <w:lang w:eastAsia="zh-CN"/>
        </w:rPr>
        <w:t>年其他支出归口统计不一致。</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_GB2312" w:cs="仿宋"/>
          <w:sz w:val="32"/>
          <w:szCs w:val="32"/>
          <w:highlight w:val="none"/>
          <w:lang w:eastAsia="zh-CN" w:bidi="ar"/>
        </w:rPr>
      </w:pPr>
      <w:r>
        <w:rPr>
          <w:rFonts w:hint="eastAsia" w:ascii="仿宋_GB2312" w:hAnsi="微软雅黑" w:eastAsia="仿宋_GB2312" w:cs="仿宋_GB2312"/>
          <w:i w:val="0"/>
          <w:iCs w:val="0"/>
          <w:caps w:val="0"/>
          <w:color w:val="000000"/>
          <w:spacing w:val="0"/>
          <w:sz w:val="32"/>
          <w:szCs w:val="32"/>
          <w:highlight w:val="none"/>
          <w:shd w:val="clear" w:color="auto" w:fill="FFFFFF"/>
          <w:lang w:val="en-US" w:eastAsia="zh-CN"/>
        </w:rPr>
        <w:t>5.</w:t>
      </w:r>
      <w:r>
        <w:rPr>
          <w:rFonts w:hint="default" w:ascii="仿宋_GB2312" w:hAnsi="微软雅黑" w:eastAsia="仿宋_GB2312" w:cs="仿宋_GB2312"/>
          <w:i w:val="0"/>
          <w:iCs w:val="0"/>
          <w:caps w:val="0"/>
          <w:color w:val="000000"/>
          <w:spacing w:val="0"/>
          <w:sz w:val="32"/>
          <w:szCs w:val="32"/>
          <w:highlight w:val="none"/>
          <w:shd w:val="clear" w:color="auto" w:fill="FFFFFF"/>
        </w:rPr>
        <w:t>结余分配</w:t>
      </w:r>
      <w:r>
        <w:rPr>
          <w:rFonts w:hint="eastAsia" w:ascii="仿宋_GB2312" w:hAnsi="微软雅黑" w:eastAsia="仿宋_GB2312" w:cs="仿宋_GB2312"/>
          <w:color w:val="000000"/>
          <w:sz w:val="32"/>
          <w:szCs w:val="32"/>
          <w:highlight w:val="none"/>
          <w:shd w:val="clear" w:color="auto" w:fill="FFFFFF"/>
        </w:rPr>
        <w:t>0.36</w:t>
      </w:r>
      <w:r>
        <w:rPr>
          <w:rFonts w:hint="default" w:ascii="仿宋_GB2312" w:hAnsi="微软雅黑" w:eastAsia="仿宋_GB2312" w:cs="仿宋_GB2312"/>
          <w:i w:val="0"/>
          <w:iCs w:val="0"/>
          <w:caps w:val="0"/>
          <w:color w:val="000000"/>
          <w:spacing w:val="0"/>
          <w:sz w:val="32"/>
          <w:szCs w:val="32"/>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2"/>
          <w:szCs w:val="32"/>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2"/>
          <w:szCs w:val="32"/>
          <w:highlight w:val="none"/>
          <w:shd w:val="clear" w:color="auto" w:fill="FFFFFF"/>
        </w:rPr>
        <w:t>年决算</w:t>
      </w:r>
      <w:r>
        <w:rPr>
          <w:rFonts w:hint="eastAsia" w:ascii="仿宋_GB2312" w:hAnsi="微软雅黑" w:eastAsia="仿宋_GB2312" w:cs="仿宋_GB2312"/>
          <w:color w:val="000000"/>
          <w:sz w:val="32"/>
          <w:szCs w:val="32"/>
          <w:highlight w:val="none"/>
          <w:shd w:val="clear" w:color="auto" w:fill="FFFFFF"/>
          <w:lang w:eastAsia="zh-CN"/>
        </w:rPr>
        <w:t>数</w:t>
      </w:r>
      <w:r>
        <w:rPr>
          <w:rFonts w:hint="eastAsia" w:ascii="仿宋_GB2312" w:hAnsi="微软雅黑" w:eastAsia="仿宋_GB2312" w:cs="仿宋_GB2312"/>
          <w:color w:val="auto"/>
          <w:sz w:val="32"/>
          <w:szCs w:val="32"/>
          <w:highlight w:val="none"/>
          <w:shd w:val="clear" w:color="auto" w:fill="FFFFFF"/>
          <w:lang w:val="en-US" w:eastAsia="zh-CN"/>
        </w:rPr>
        <w:t>233.68</w:t>
      </w:r>
      <w:r>
        <w:rPr>
          <w:rFonts w:hint="default" w:ascii="仿宋_GB2312" w:hAnsi="微软雅黑" w:eastAsia="仿宋_GB2312" w:cs="仿宋_GB2312"/>
          <w:i w:val="0"/>
          <w:iCs w:val="0"/>
          <w:caps w:val="0"/>
          <w:color w:val="auto"/>
          <w:spacing w:val="0"/>
          <w:sz w:val="32"/>
          <w:szCs w:val="32"/>
          <w:highlight w:val="none"/>
          <w:shd w:val="clear" w:color="auto" w:fill="FFFFFF"/>
        </w:rPr>
        <w:t>万元</w:t>
      </w:r>
      <w:r>
        <w:rPr>
          <w:rFonts w:hint="eastAsia" w:ascii="仿宋_GB2312" w:hAnsi="微软雅黑" w:eastAsia="仿宋_GB2312" w:cs="仿宋_GB2312"/>
          <w:i w:val="0"/>
          <w:iCs w:val="0"/>
          <w:caps w:val="0"/>
          <w:color w:val="auto"/>
          <w:spacing w:val="0"/>
          <w:sz w:val="32"/>
          <w:szCs w:val="32"/>
          <w:highlight w:val="none"/>
          <w:shd w:val="clear" w:color="auto" w:fill="FFFFFF"/>
          <w:lang w:val="en-US" w:eastAsia="zh-CN"/>
        </w:rPr>
        <w:t>,</w:t>
      </w:r>
      <w:r>
        <w:rPr>
          <w:rFonts w:hint="eastAsia" w:ascii="仿宋_GB2312" w:hAnsi="微软雅黑" w:eastAsia="仿宋_GB2312" w:cs="仿宋_GB2312"/>
          <w:color w:val="auto"/>
          <w:sz w:val="32"/>
          <w:szCs w:val="32"/>
          <w:highlight w:val="none"/>
          <w:shd w:val="clear" w:color="auto" w:fill="FFFFFF"/>
          <w:lang w:eastAsia="zh-CN"/>
        </w:rPr>
        <w:t>减少</w:t>
      </w:r>
      <w:r>
        <w:rPr>
          <w:rFonts w:hint="eastAsia" w:ascii="仿宋_GB2312" w:hAnsi="微软雅黑" w:eastAsia="仿宋_GB2312" w:cs="仿宋_GB2312"/>
          <w:color w:val="auto"/>
          <w:sz w:val="32"/>
          <w:szCs w:val="32"/>
          <w:highlight w:val="none"/>
          <w:shd w:val="clear" w:color="auto" w:fill="FFFFFF"/>
          <w:lang w:val="en-US" w:eastAsia="zh-CN"/>
        </w:rPr>
        <w:t>233.32</w:t>
      </w:r>
      <w:r>
        <w:rPr>
          <w:rFonts w:hint="default" w:ascii="仿宋_GB2312" w:hAnsi="微软雅黑" w:eastAsia="仿宋_GB2312" w:cs="仿宋_GB2312"/>
          <w:i w:val="0"/>
          <w:iCs w:val="0"/>
          <w:caps w:val="0"/>
          <w:color w:val="auto"/>
          <w:spacing w:val="0"/>
          <w:sz w:val="32"/>
          <w:szCs w:val="32"/>
          <w:highlight w:val="none"/>
          <w:shd w:val="clear" w:color="auto" w:fill="FFFFFF"/>
        </w:rPr>
        <w:t>万元，</w:t>
      </w:r>
      <w:r>
        <w:rPr>
          <w:rFonts w:hint="eastAsia" w:ascii="仿宋_GB2312" w:hAnsi="微软雅黑" w:eastAsia="仿宋_GB2312" w:cs="仿宋_GB2312"/>
          <w:i w:val="0"/>
          <w:iCs w:val="0"/>
          <w:caps w:val="0"/>
          <w:color w:val="auto"/>
          <w:spacing w:val="0"/>
          <w:sz w:val="32"/>
          <w:szCs w:val="32"/>
          <w:highlight w:val="none"/>
          <w:shd w:val="clear" w:color="auto" w:fill="FFFFFF"/>
          <w:lang w:eastAsia="zh-CN"/>
        </w:rPr>
        <w:t>下降</w:t>
      </w:r>
      <w:r>
        <w:rPr>
          <w:rFonts w:hint="eastAsia" w:ascii="仿宋_GB2312" w:hAnsi="微软雅黑" w:eastAsia="仿宋_GB2312" w:cs="仿宋_GB2312"/>
          <w:i w:val="0"/>
          <w:iCs w:val="0"/>
          <w:caps w:val="0"/>
          <w:color w:val="auto"/>
          <w:spacing w:val="0"/>
          <w:sz w:val="32"/>
          <w:szCs w:val="32"/>
          <w:highlight w:val="none"/>
          <w:shd w:val="clear" w:color="auto" w:fill="FFFFFF"/>
          <w:lang w:val="en-US" w:eastAsia="zh-CN"/>
        </w:rPr>
        <w:t>99.85</w:t>
      </w:r>
      <w:r>
        <w:rPr>
          <w:rFonts w:hint="eastAsia" w:ascii="仿宋_GB2312" w:hAnsi="微软雅黑" w:eastAsia="仿宋_GB2312" w:cs="仿宋_GB2312"/>
          <w:color w:val="auto"/>
          <w:sz w:val="32"/>
          <w:szCs w:val="32"/>
          <w:highlight w:val="none"/>
          <w:shd w:val="clear" w:color="auto" w:fill="FFFFFF"/>
        </w:rPr>
        <w:t>%</w:t>
      </w:r>
      <w:r>
        <w:rPr>
          <w:rFonts w:hint="default" w:ascii="仿宋_GB2312" w:hAnsi="微软雅黑" w:eastAsia="仿宋_GB2312" w:cs="仿宋_GB2312"/>
          <w:i w:val="0"/>
          <w:iCs w:val="0"/>
          <w:caps w:val="0"/>
          <w:color w:val="auto"/>
          <w:spacing w:val="0"/>
          <w:sz w:val="32"/>
          <w:szCs w:val="32"/>
          <w:highlight w:val="none"/>
          <w:shd w:val="clear" w:color="auto" w:fill="FFFFFF"/>
        </w:rPr>
        <w:t>，主要原因是</w:t>
      </w:r>
      <w:r>
        <w:rPr>
          <w:rFonts w:hint="eastAsia" w:ascii="仿宋_GB2312" w:hAnsi="微软雅黑" w:eastAsia="仿宋_GB2312" w:cs="仿宋_GB2312"/>
          <w:i w:val="0"/>
          <w:iCs w:val="0"/>
          <w:caps w:val="0"/>
          <w:color w:val="auto"/>
          <w:spacing w:val="0"/>
          <w:sz w:val="32"/>
          <w:szCs w:val="32"/>
          <w:highlight w:val="none"/>
          <w:shd w:val="clear" w:color="auto" w:fill="FFFFFF"/>
          <w:lang w:eastAsia="zh-CN"/>
        </w:rPr>
        <w:t>：属于正常变动。</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年末结转和结余</w:t>
      </w:r>
      <w:r>
        <w:rPr>
          <w:rFonts w:hint="eastAsia" w:ascii="仿宋" w:hAnsi="仿宋" w:eastAsia="仿宋" w:cs="仿宋"/>
          <w:sz w:val="32"/>
          <w:highlight w:val="none"/>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highlight w:val="none"/>
          <w:u w:color="auto"/>
        </w:rPr>
        <w:t>增加</w:t>
      </w:r>
      <w:r>
        <w:rPr>
          <w:rFonts w:hint="eastAsia" w:ascii="仿宋" w:hAnsi="仿宋" w:eastAsia="仿宋" w:cs="仿宋"/>
          <w:sz w:val="32"/>
          <w:highlight w:val="none"/>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highlight w:val="none"/>
          <w:u w:color="auto"/>
        </w:rPr>
        <w:t>增长</w:t>
      </w:r>
      <w:r>
        <w:rPr>
          <w:rFonts w:hint="eastAsia" w:ascii="仿宋" w:hAnsi="仿宋" w:eastAsia="仿宋" w:cs="仿宋"/>
          <w:sz w:val="32"/>
          <w:highlight w:val="none"/>
          <w:u w:color="auto"/>
          <w:lang w:val="en-US" w:eastAsia="zh-CN"/>
        </w:rPr>
        <w:t>0</w:t>
      </w:r>
      <w:r>
        <w:rPr>
          <w:rFonts w:ascii="仿宋" w:hAnsi="仿宋" w:eastAsia="仿宋" w:cs="仿宋"/>
          <w:sz w:val="32"/>
          <w:highlight w:val="none"/>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是：年末没有结转和结余。</w:t>
      </w:r>
    </w:p>
    <w:p>
      <w:pPr>
        <w:ind w:firstLine="640" w:firstLineChars="200"/>
        <w:jc w:val="center"/>
        <w:rPr>
          <w:rFonts w:hint="eastAsia" w:ascii="黑体" w:hAnsi="黑体" w:eastAsia="黑体" w:cs="黑体"/>
          <w:sz w:val="32"/>
          <w:szCs w:val="32"/>
          <w:highlight w:val="none"/>
        </w:rPr>
      </w:pPr>
      <w:r>
        <w:rPr>
          <w:rFonts w:hint="eastAsia" w:ascii="仿宋" w:hAnsi="仿宋" w:eastAsia="仿宋" w:cs="仿宋"/>
          <w:sz w:val="32"/>
          <w:szCs w:val="32"/>
          <w:highlight w:val="none"/>
        </w:rPr>
        <w:drawing>
          <wp:inline distT="0" distB="0" distL="114300" distR="114300">
            <wp:extent cx="4622800" cy="262255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环江县驯乐乡卫生院</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highlight w:val="none"/>
          <w:u w:color="auto"/>
        </w:rPr>
        <w:t>711.06</w:t>
      </w:r>
      <w:r>
        <w:rPr>
          <w:rFonts w:hint="eastAsia" w:ascii="仿宋" w:hAnsi="仿宋" w:eastAsia="仿宋" w:cs="仿宋"/>
          <w:sz w:val="32"/>
          <w:szCs w:val="32"/>
          <w:highlight w:val="none"/>
        </w:rPr>
        <w:t>万元，较2021年度决算数</w:t>
      </w:r>
      <w:r>
        <w:rPr>
          <w:rFonts w:hint="eastAsia" w:ascii="仿宋" w:hAnsi="仿宋" w:eastAsia="仿宋" w:cs="仿宋"/>
          <w:sz w:val="32"/>
          <w:highlight w:val="none"/>
          <w:u w:color="auto"/>
          <w:lang w:eastAsia="zh-CN"/>
        </w:rPr>
        <w:t>增加</w:t>
      </w:r>
      <w:r>
        <w:rPr>
          <w:rFonts w:hint="eastAsia" w:ascii="仿宋" w:hAnsi="仿宋" w:eastAsia="仿宋" w:cs="仿宋"/>
          <w:sz w:val="32"/>
          <w:highlight w:val="none"/>
          <w:u w:color="auto"/>
          <w:lang w:val="en-US" w:eastAsia="zh-CN"/>
        </w:rPr>
        <w:t>76.12</w:t>
      </w:r>
      <w:r>
        <w:rPr>
          <w:rFonts w:hint="eastAsia" w:ascii="仿宋" w:hAnsi="仿宋" w:eastAsia="仿宋" w:cs="仿宋"/>
          <w:sz w:val="32"/>
          <w:szCs w:val="32"/>
          <w:highlight w:val="none"/>
        </w:rPr>
        <w:t>万元，</w:t>
      </w:r>
      <w:r>
        <w:rPr>
          <w:rFonts w:hint="eastAsia" w:ascii="仿宋" w:hAnsi="仿宋" w:eastAsia="仿宋" w:cs="仿宋"/>
          <w:sz w:val="32"/>
          <w:highlight w:val="none"/>
          <w:u w:color="auto"/>
          <w:lang w:eastAsia="zh-CN"/>
        </w:rPr>
        <w:t>增长</w:t>
      </w:r>
      <w:r>
        <w:rPr>
          <w:rFonts w:hint="eastAsia" w:ascii="仿宋" w:hAnsi="仿宋" w:eastAsia="仿宋" w:cs="仿宋"/>
          <w:sz w:val="32"/>
          <w:highlight w:val="none"/>
          <w:u w:color="auto"/>
          <w:lang w:val="en-US" w:eastAsia="zh-CN"/>
        </w:rPr>
        <w:t>11.99万元</w:t>
      </w:r>
      <w:r>
        <w:rPr>
          <w:rFonts w:ascii="仿宋" w:hAnsi="仿宋" w:eastAsia="仿宋" w:cs="仿宋"/>
          <w:sz w:val="32"/>
          <w:highlight w:val="none"/>
          <w:u w:color="auto"/>
        </w:rPr>
        <w:t>%</w:t>
      </w:r>
      <w:r>
        <w:rPr>
          <w:rFonts w:hint="eastAsia" w:ascii="仿宋" w:hAnsi="仿宋" w:eastAsia="仿宋" w:cs="仿宋"/>
          <w:sz w:val="32"/>
          <w:szCs w:val="32"/>
          <w:highlight w:val="none"/>
        </w:rPr>
        <w:t>。其中：基本支出</w:t>
      </w:r>
      <w:r>
        <w:rPr>
          <w:rFonts w:hint="eastAsia" w:ascii="仿宋" w:hAnsi="仿宋" w:eastAsia="仿宋" w:cs="仿宋"/>
          <w:sz w:val="32"/>
          <w:highlight w:val="none"/>
          <w:u w:color="auto"/>
        </w:rPr>
        <w:t>395.31</w:t>
      </w:r>
      <w:r>
        <w:rPr>
          <w:rFonts w:hint="eastAsia" w:ascii="仿宋" w:hAnsi="仿宋" w:eastAsia="仿宋" w:cs="仿宋"/>
          <w:sz w:val="32"/>
          <w:szCs w:val="32"/>
          <w:highlight w:val="none"/>
        </w:rPr>
        <w:t>万元，项目支出</w:t>
      </w:r>
      <w:r>
        <w:rPr>
          <w:rFonts w:hint="eastAsia" w:ascii="仿宋" w:hAnsi="仿宋" w:eastAsia="仿宋" w:cs="仿宋"/>
          <w:sz w:val="32"/>
          <w:highlight w:val="none"/>
          <w:u w:color="auto"/>
        </w:rPr>
        <w:t>315.76</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sz w:val="32"/>
          <w:szCs w:val="32"/>
          <w:highlight w:val="none"/>
        </w:rPr>
      </w:pPr>
      <w:r>
        <w:rPr>
          <w:rFonts w:hint="eastAsia" w:ascii="仿宋" w:hAnsi="仿宋" w:eastAsia="仿宋" w:cs="仿宋"/>
          <w:sz w:val="32"/>
          <w:szCs w:val="32"/>
          <w:highlight w:val="none"/>
          <w:lang w:eastAsia="zh-CN"/>
        </w:rPr>
        <w:t>环江县驯乐乡卫生院</w:t>
      </w:r>
      <w:r>
        <w:rPr>
          <w:rFonts w:hint="eastAsia" w:ascii="仿宋" w:hAnsi="仿宋" w:eastAsia="仿宋" w:cs="仿宋"/>
          <w:sz w:val="32"/>
          <w:szCs w:val="32"/>
          <w:highlight w:val="none"/>
        </w:rPr>
        <w:t>2022年度一般公共预算财政拨款支出年初预算为</w:t>
      </w:r>
      <w:r>
        <w:rPr>
          <w:rFonts w:hint="eastAsia" w:ascii="仿宋" w:hAnsi="仿宋" w:eastAsia="仿宋" w:cs="仿宋"/>
          <w:sz w:val="32"/>
          <w:highlight w:val="none"/>
          <w:u w:color="auto"/>
          <w:lang w:val="en-US" w:eastAsia="zh-CN"/>
        </w:rPr>
        <w:t>386.23</w:t>
      </w:r>
      <w:r>
        <w:rPr>
          <w:rFonts w:hint="eastAsia" w:ascii="仿宋" w:hAnsi="仿宋" w:eastAsia="仿宋" w:cs="仿宋"/>
          <w:sz w:val="32"/>
          <w:szCs w:val="32"/>
          <w:highlight w:val="none"/>
        </w:rPr>
        <w:t>万元，支出决算为</w:t>
      </w:r>
      <w:r>
        <w:rPr>
          <w:rFonts w:hint="eastAsia" w:ascii="仿宋" w:hAnsi="仿宋" w:eastAsia="仿宋" w:cs="仿宋"/>
          <w:sz w:val="32"/>
          <w:highlight w:val="none"/>
          <w:u w:color="auto"/>
        </w:rPr>
        <w:t>711.06</w:t>
      </w:r>
      <w:r>
        <w:rPr>
          <w:rFonts w:hint="eastAsia" w:ascii="仿宋" w:hAnsi="仿宋" w:eastAsia="仿宋" w:cs="仿宋"/>
          <w:sz w:val="32"/>
          <w:szCs w:val="32"/>
          <w:highlight w:val="none"/>
        </w:rPr>
        <w:t>万元，完成年初预算的</w:t>
      </w:r>
      <w:r>
        <w:rPr>
          <w:rFonts w:hint="eastAsia" w:ascii="仿宋" w:hAnsi="仿宋" w:eastAsia="仿宋" w:cs="仿宋"/>
          <w:sz w:val="32"/>
          <w:highlight w:val="none"/>
          <w:u w:color="auto"/>
          <w:lang w:val="en-US" w:eastAsia="zh-CN"/>
        </w:rPr>
        <w:t>184.10</w:t>
      </w:r>
      <w:r>
        <w:rPr>
          <w:rFonts w:ascii="仿宋" w:hAnsi="仿宋" w:eastAsia="仿宋" w:cs="仿宋"/>
          <w:sz w:val="32"/>
          <w:highlight w:val="none"/>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highlight w:val="none"/>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44.27</w:t>
      </w:r>
      <w:r>
        <w:rPr>
          <w:rFonts w:hint="eastAsia" w:ascii="仿宋" w:hAnsi="仿宋" w:eastAsia="仿宋"/>
          <w:sz w:val="32"/>
          <w:szCs w:val="32"/>
          <w:highlight w:val="none"/>
        </w:rPr>
        <w:t>万元，支出决算为38.37万元，完成年初预算的</w:t>
      </w:r>
      <w:r>
        <w:rPr>
          <w:rFonts w:hint="eastAsia" w:ascii="仿宋" w:hAnsi="仿宋" w:eastAsia="仿宋"/>
          <w:sz w:val="32"/>
          <w:szCs w:val="32"/>
          <w:highlight w:val="none"/>
          <w:lang w:val="en-US" w:eastAsia="zh-CN"/>
        </w:rPr>
        <w:t>86.67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w:t>
      </w:r>
      <w:r>
        <w:rPr>
          <w:rFonts w:hint="eastAsia" w:ascii="仿宋" w:hAnsi="仿宋" w:eastAsia="仿宋" w:cs="仿宋"/>
          <w:color w:val="auto"/>
          <w:kern w:val="2"/>
          <w:sz w:val="32"/>
          <w:szCs w:val="32"/>
          <w:highlight w:val="none"/>
          <w:lang w:val="en-US" w:eastAsia="zh-CN" w:bidi="ar"/>
        </w:rPr>
        <w:t>人员变动。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657"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6"/>
        <w:gridCol w:w="1578"/>
        <w:gridCol w:w="1008"/>
        <w:gridCol w:w="924"/>
        <w:gridCol w:w="1176"/>
        <w:gridCol w:w="1356"/>
        <w:gridCol w:w="1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1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类款项</w:t>
            </w:r>
          </w:p>
        </w:tc>
        <w:tc>
          <w:tcPr>
            <w:tcW w:w="15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0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年初预算数</w:t>
            </w:r>
          </w:p>
        </w:tc>
        <w:tc>
          <w:tcPr>
            <w:tcW w:w="9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w:t>
            </w:r>
          </w:p>
        </w:tc>
        <w:tc>
          <w:tcPr>
            <w:tcW w:w="11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完成预算百分比</w:t>
            </w:r>
          </w:p>
        </w:tc>
        <w:tc>
          <w:tcPr>
            <w:tcW w:w="135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主要用于</w:t>
            </w:r>
          </w:p>
        </w:tc>
        <w:tc>
          <w:tcPr>
            <w:tcW w:w="146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1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2080505</w:t>
            </w:r>
          </w:p>
        </w:tc>
        <w:tc>
          <w:tcPr>
            <w:tcW w:w="15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机关事业单位基本养老保险缴费支出</w:t>
            </w:r>
          </w:p>
        </w:tc>
        <w:tc>
          <w:tcPr>
            <w:tcW w:w="10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44.27</w:t>
            </w:r>
          </w:p>
        </w:tc>
        <w:tc>
          <w:tcPr>
            <w:tcW w:w="9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38.37</w:t>
            </w:r>
          </w:p>
        </w:tc>
        <w:tc>
          <w:tcPr>
            <w:tcW w:w="11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86.67%</w:t>
            </w:r>
          </w:p>
        </w:tc>
        <w:tc>
          <w:tcPr>
            <w:tcW w:w="135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在职人员养老保险缴费支出</w:t>
            </w:r>
          </w:p>
        </w:tc>
        <w:tc>
          <w:tcPr>
            <w:tcW w:w="146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color w:val="auto"/>
                <w:sz w:val="22"/>
                <w:szCs w:val="22"/>
                <w:highlight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1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合计数</w:t>
            </w:r>
          </w:p>
        </w:tc>
        <w:tc>
          <w:tcPr>
            <w:tcW w:w="15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highlight w:val="none"/>
                <w:u w:val="none"/>
                <w:lang w:val="en-US" w:eastAsia="zh-CN"/>
              </w:rPr>
            </w:pPr>
          </w:p>
        </w:tc>
        <w:tc>
          <w:tcPr>
            <w:tcW w:w="10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44.27</w:t>
            </w:r>
          </w:p>
        </w:tc>
        <w:tc>
          <w:tcPr>
            <w:tcW w:w="9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38.37</w:t>
            </w:r>
          </w:p>
        </w:tc>
        <w:tc>
          <w:tcPr>
            <w:tcW w:w="11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highlight w:val="none"/>
                <w:u w:val="none"/>
                <w:lang w:val="en-US" w:eastAsia="zh-CN"/>
              </w:rPr>
            </w:pPr>
          </w:p>
        </w:tc>
        <w:tc>
          <w:tcPr>
            <w:tcW w:w="135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lang w:val="en-US" w:eastAsia="zh-CN"/>
              </w:rPr>
            </w:pPr>
          </w:p>
        </w:tc>
        <w:tc>
          <w:tcPr>
            <w:tcW w:w="146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卫生健康支出</w:t>
      </w:r>
      <w:r>
        <w:rPr>
          <w:rFonts w:ascii="仿宋" w:hAnsi="仿宋" w:eastAsia="仿宋"/>
          <w:color w:val="auto"/>
          <w:sz w:val="32"/>
          <w:highlight w:val="none"/>
          <w:u w:color="auto"/>
        </w:rPr>
        <w:t>（210</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301.80</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598.25</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198.23</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工资浮动，年中追加。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9467" w:type="dxa"/>
        <w:tblInd w:w="-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1280"/>
        <w:gridCol w:w="907"/>
        <w:gridCol w:w="906"/>
        <w:gridCol w:w="1027"/>
        <w:gridCol w:w="2320"/>
        <w:gridCol w:w="2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类款项</w:t>
            </w:r>
          </w:p>
        </w:tc>
        <w:tc>
          <w:tcPr>
            <w:tcW w:w="12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科目名称</w:t>
            </w:r>
          </w:p>
        </w:tc>
        <w:tc>
          <w:tcPr>
            <w:tcW w:w="90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年初预算数</w:t>
            </w:r>
          </w:p>
        </w:tc>
        <w:tc>
          <w:tcPr>
            <w:tcW w:w="9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决算</w:t>
            </w:r>
          </w:p>
        </w:tc>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完成预算百分比</w:t>
            </w:r>
          </w:p>
        </w:tc>
        <w:tc>
          <w:tcPr>
            <w:tcW w:w="23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主要用于</w:t>
            </w:r>
          </w:p>
        </w:tc>
        <w:tc>
          <w:tcPr>
            <w:tcW w:w="2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2100302</w:t>
            </w:r>
          </w:p>
        </w:tc>
        <w:tc>
          <w:tcPr>
            <w:tcW w:w="12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乡镇卫生院</w:t>
            </w:r>
          </w:p>
        </w:tc>
        <w:tc>
          <w:tcPr>
            <w:tcW w:w="90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281.16</w:t>
            </w:r>
          </w:p>
        </w:tc>
        <w:tc>
          <w:tcPr>
            <w:tcW w:w="9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289.32</w:t>
            </w:r>
          </w:p>
        </w:tc>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102.90</w:t>
            </w:r>
            <w:r>
              <w:rPr>
                <w:rFonts w:hint="eastAsia" w:ascii="宋体" w:hAnsi="宋体" w:eastAsia="宋体" w:cs="宋体"/>
                <w:i w:val="0"/>
                <w:iCs w:val="0"/>
                <w:color w:val="000000"/>
                <w:sz w:val="18"/>
                <w:szCs w:val="18"/>
                <w:highlight w:val="none"/>
                <w:u w:val="none"/>
                <w:lang w:val="en-US" w:eastAsia="zh-CN"/>
              </w:rPr>
              <w:t>%</w:t>
            </w:r>
          </w:p>
        </w:tc>
        <w:tc>
          <w:tcPr>
            <w:tcW w:w="23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人员经费、抚恤金</w:t>
            </w:r>
          </w:p>
        </w:tc>
        <w:tc>
          <w:tcPr>
            <w:tcW w:w="2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抚恤金年初没有做预算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2100399</w:t>
            </w:r>
          </w:p>
        </w:tc>
        <w:tc>
          <w:tcPr>
            <w:tcW w:w="12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其他基层医疗卫生机构支出</w:t>
            </w:r>
          </w:p>
        </w:tc>
        <w:tc>
          <w:tcPr>
            <w:tcW w:w="90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20.64</w:t>
            </w:r>
          </w:p>
        </w:tc>
        <w:tc>
          <w:tcPr>
            <w:tcW w:w="9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59.6</w:t>
            </w:r>
          </w:p>
        </w:tc>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288.76</w:t>
            </w:r>
            <w:r>
              <w:rPr>
                <w:rFonts w:hint="eastAsia" w:ascii="宋体" w:hAnsi="宋体" w:eastAsia="宋体" w:cs="宋体"/>
                <w:i w:val="0"/>
                <w:iCs w:val="0"/>
                <w:color w:val="000000"/>
                <w:sz w:val="18"/>
                <w:szCs w:val="18"/>
                <w:highlight w:val="none"/>
                <w:u w:val="none"/>
                <w:lang w:val="en-US" w:eastAsia="zh-CN"/>
              </w:rPr>
              <w:t>%</w:t>
            </w:r>
          </w:p>
        </w:tc>
        <w:tc>
          <w:tcPr>
            <w:tcW w:w="23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村医基本报酬，基药补助项目、村医、家庭接生员养老生活补助</w:t>
            </w:r>
          </w:p>
        </w:tc>
        <w:tc>
          <w:tcPr>
            <w:tcW w:w="2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庭接生员养老生活补助，基药补助项目年初没有做预算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2100408</w:t>
            </w:r>
          </w:p>
        </w:tc>
        <w:tc>
          <w:tcPr>
            <w:tcW w:w="12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基本公共卫生服务</w:t>
            </w:r>
          </w:p>
        </w:tc>
        <w:tc>
          <w:tcPr>
            <w:tcW w:w="90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0</w:t>
            </w:r>
          </w:p>
        </w:tc>
        <w:tc>
          <w:tcPr>
            <w:tcW w:w="9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135.8</w:t>
            </w:r>
          </w:p>
        </w:tc>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100.00%</w:t>
            </w:r>
          </w:p>
        </w:tc>
        <w:tc>
          <w:tcPr>
            <w:tcW w:w="23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基本公卫项目</w:t>
            </w:r>
          </w:p>
        </w:tc>
        <w:tc>
          <w:tcPr>
            <w:tcW w:w="2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年初没有做预算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2100409</w:t>
            </w:r>
          </w:p>
        </w:tc>
        <w:tc>
          <w:tcPr>
            <w:tcW w:w="12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重大公共卫生服务</w:t>
            </w:r>
          </w:p>
        </w:tc>
        <w:tc>
          <w:tcPr>
            <w:tcW w:w="90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0</w:t>
            </w:r>
          </w:p>
        </w:tc>
        <w:tc>
          <w:tcPr>
            <w:tcW w:w="9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25.28</w:t>
            </w:r>
          </w:p>
        </w:tc>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100.00%</w:t>
            </w:r>
          </w:p>
        </w:tc>
        <w:tc>
          <w:tcPr>
            <w:tcW w:w="23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艾滋病防治项目、特岗医生试点项目、卫生健康人才培养</w:t>
            </w:r>
          </w:p>
        </w:tc>
        <w:tc>
          <w:tcPr>
            <w:tcW w:w="2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FF0000"/>
                <w:sz w:val="20"/>
                <w:szCs w:val="20"/>
                <w:highlight w:val="none"/>
                <w:lang w:val="en-US" w:eastAsia="zh-CN"/>
              </w:rPr>
            </w:pPr>
            <w:r>
              <w:rPr>
                <w:rFonts w:hint="eastAsia" w:ascii="仿宋" w:hAnsi="仿宋" w:eastAsia="仿宋" w:cs="仿宋"/>
                <w:i w:val="0"/>
                <w:iCs w:val="0"/>
                <w:color w:val="auto"/>
                <w:sz w:val="20"/>
                <w:szCs w:val="20"/>
                <w:highlight w:val="none"/>
                <w:u w:val="none"/>
                <w:lang w:val="en-US" w:eastAsia="zh-CN"/>
              </w:rPr>
              <w:t>年初没有做预算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2100601</w:t>
            </w:r>
          </w:p>
        </w:tc>
        <w:tc>
          <w:tcPr>
            <w:tcW w:w="12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中医（民族医）药专项</w:t>
            </w:r>
          </w:p>
        </w:tc>
        <w:tc>
          <w:tcPr>
            <w:tcW w:w="90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0</w:t>
            </w:r>
          </w:p>
        </w:tc>
        <w:tc>
          <w:tcPr>
            <w:tcW w:w="9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20</w:t>
            </w:r>
          </w:p>
        </w:tc>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100.00%</w:t>
            </w:r>
          </w:p>
        </w:tc>
        <w:tc>
          <w:tcPr>
            <w:tcW w:w="23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中医馆建设</w:t>
            </w:r>
          </w:p>
        </w:tc>
        <w:tc>
          <w:tcPr>
            <w:tcW w:w="2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FF0000"/>
                <w:sz w:val="20"/>
                <w:szCs w:val="20"/>
                <w:highlight w:val="none"/>
                <w:lang w:val="en-US" w:eastAsia="zh-CN"/>
              </w:rPr>
            </w:pPr>
            <w:r>
              <w:rPr>
                <w:rFonts w:hint="eastAsia" w:ascii="仿宋" w:hAnsi="仿宋" w:eastAsia="仿宋" w:cs="仿宋"/>
                <w:i w:val="0"/>
                <w:iCs w:val="0"/>
                <w:color w:val="auto"/>
                <w:sz w:val="20"/>
                <w:szCs w:val="20"/>
                <w:highlight w:val="none"/>
                <w:u w:val="none"/>
                <w:lang w:val="en-US" w:eastAsia="zh-CN"/>
              </w:rPr>
              <w:t>年初没有做预算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2109999</w:t>
            </w:r>
          </w:p>
        </w:tc>
        <w:tc>
          <w:tcPr>
            <w:tcW w:w="12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其他卫生健康支出</w:t>
            </w:r>
          </w:p>
        </w:tc>
        <w:tc>
          <w:tcPr>
            <w:tcW w:w="90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0</w:t>
            </w:r>
          </w:p>
        </w:tc>
        <w:tc>
          <w:tcPr>
            <w:tcW w:w="9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68.25</w:t>
            </w:r>
          </w:p>
        </w:tc>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100.00%</w:t>
            </w:r>
          </w:p>
        </w:tc>
        <w:tc>
          <w:tcPr>
            <w:tcW w:w="23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以奖代补、医疗服务与保障能力提升项目</w:t>
            </w:r>
          </w:p>
        </w:tc>
        <w:tc>
          <w:tcPr>
            <w:tcW w:w="2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FF0000"/>
                <w:sz w:val="20"/>
                <w:szCs w:val="20"/>
                <w:highlight w:val="none"/>
                <w:lang w:val="en-US" w:eastAsia="zh-CN"/>
              </w:rPr>
            </w:pPr>
            <w:r>
              <w:rPr>
                <w:rFonts w:hint="eastAsia" w:ascii="仿宋" w:hAnsi="仿宋" w:eastAsia="仿宋" w:cs="仿宋"/>
                <w:i w:val="0"/>
                <w:iCs w:val="0"/>
                <w:color w:val="auto"/>
                <w:sz w:val="20"/>
                <w:szCs w:val="20"/>
                <w:highlight w:val="none"/>
                <w:u w:val="none"/>
                <w:lang w:val="en-US" w:eastAsia="zh-CN"/>
              </w:rPr>
              <w:t>年初没有做预算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合计数</w:t>
            </w:r>
          </w:p>
        </w:tc>
        <w:tc>
          <w:tcPr>
            <w:tcW w:w="12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p>
        </w:tc>
        <w:tc>
          <w:tcPr>
            <w:tcW w:w="90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301.80</w:t>
            </w:r>
          </w:p>
        </w:tc>
        <w:tc>
          <w:tcPr>
            <w:tcW w:w="9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2"/>
                <w:sz w:val="20"/>
                <w:szCs w:val="20"/>
                <w:highlight w:val="none"/>
                <w:u w:val="none"/>
                <w:lang w:val="en-US" w:eastAsia="zh-CN" w:bidi="ar-SA"/>
              </w:rPr>
              <w:t>598.25</w:t>
            </w:r>
          </w:p>
        </w:tc>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p>
        </w:tc>
        <w:tc>
          <w:tcPr>
            <w:tcW w:w="23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sz w:val="20"/>
                <w:szCs w:val="20"/>
                <w:highlight w:val="none"/>
                <w:u w:val="none"/>
                <w:lang w:val="en-US" w:eastAsia="zh-CN"/>
              </w:rPr>
            </w:pPr>
          </w:p>
        </w:tc>
        <w:tc>
          <w:tcPr>
            <w:tcW w:w="2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sz w:val="20"/>
                <w:szCs w:val="20"/>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highlight w:val="none"/>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34.03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28.04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82.40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w:t>
      </w:r>
      <w:r>
        <w:rPr>
          <w:rFonts w:hint="eastAsia" w:ascii="仿宋" w:hAnsi="仿宋" w:eastAsia="仿宋" w:cs="仿宋"/>
          <w:color w:val="auto"/>
          <w:kern w:val="2"/>
          <w:sz w:val="32"/>
          <w:szCs w:val="32"/>
          <w:highlight w:val="none"/>
          <w:lang w:val="en-US" w:eastAsia="zh-CN" w:bidi="ar"/>
        </w:rPr>
        <w:t>人员变动。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763" w:type="dxa"/>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380"/>
        <w:gridCol w:w="984"/>
        <w:gridCol w:w="1308"/>
        <w:gridCol w:w="1140"/>
        <w:gridCol w:w="1572"/>
        <w:gridCol w:w="1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类款项</w:t>
            </w:r>
          </w:p>
        </w:tc>
        <w:tc>
          <w:tcPr>
            <w:tcW w:w="13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9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年初预算数</w:t>
            </w:r>
          </w:p>
        </w:tc>
        <w:tc>
          <w:tcPr>
            <w:tcW w:w="13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w:t>
            </w:r>
          </w:p>
        </w:tc>
        <w:tc>
          <w:tcPr>
            <w:tcW w:w="11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完成预算百分比</w:t>
            </w:r>
          </w:p>
        </w:tc>
        <w:tc>
          <w:tcPr>
            <w:tcW w:w="15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主要用于</w:t>
            </w:r>
          </w:p>
        </w:tc>
        <w:tc>
          <w:tcPr>
            <w:tcW w:w="12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0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2210201</w:t>
            </w:r>
          </w:p>
        </w:tc>
        <w:tc>
          <w:tcPr>
            <w:tcW w:w="13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住房公积金</w:t>
            </w:r>
          </w:p>
        </w:tc>
        <w:tc>
          <w:tcPr>
            <w:tcW w:w="9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34.03</w:t>
            </w:r>
          </w:p>
        </w:tc>
        <w:tc>
          <w:tcPr>
            <w:tcW w:w="13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28.04</w:t>
            </w:r>
          </w:p>
        </w:tc>
        <w:tc>
          <w:tcPr>
            <w:tcW w:w="11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82.40%</w:t>
            </w:r>
          </w:p>
        </w:tc>
        <w:tc>
          <w:tcPr>
            <w:tcW w:w="15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color w:val="auto"/>
                <w:sz w:val="22"/>
                <w:szCs w:val="22"/>
                <w:highlight w:val="none"/>
                <w:lang w:val="en-US" w:eastAsia="zh-CN"/>
              </w:rPr>
              <w:t>在职人员住房公积金的</w:t>
            </w:r>
            <w:r>
              <w:rPr>
                <w:rFonts w:hint="eastAsia" w:ascii="宋体" w:hAnsi="宋体" w:eastAsia="宋体" w:cs="宋体"/>
                <w:i w:val="0"/>
                <w:iCs w:val="0"/>
                <w:color w:val="auto"/>
                <w:sz w:val="22"/>
                <w:szCs w:val="22"/>
                <w:highlight w:val="none"/>
                <w:u w:val="none"/>
                <w:lang w:val="en-US" w:eastAsia="zh-CN"/>
              </w:rPr>
              <w:t>缴费支出</w:t>
            </w:r>
          </w:p>
        </w:tc>
        <w:tc>
          <w:tcPr>
            <w:tcW w:w="12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color w:val="auto"/>
                <w:sz w:val="22"/>
                <w:szCs w:val="22"/>
                <w:highlight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合计数</w:t>
            </w:r>
          </w:p>
        </w:tc>
        <w:tc>
          <w:tcPr>
            <w:tcW w:w="13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highlight w:val="none"/>
                <w:u w:val="none"/>
                <w:lang w:val="en-US" w:eastAsia="zh-CN"/>
              </w:rPr>
            </w:pPr>
          </w:p>
        </w:tc>
        <w:tc>
          <w:tcPr>
            <w:tcW w:w="9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34.03</w:t>
            </w:r>
          </w:p>
        </w:tc>
        <w:tc>
          <w:tcPr>
            <w:tcW w:w="13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28.04</w:t>
            </w:r>
          </w:p>
        </w:tc>
        <w:tc>
          <w:tcPr>
            <w:tcW w:w="11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lang w:val="en-US" w:eastAsia="zh-CN"/>
              </w:rPr>
            </w:pPr>
          </w:p>
        </w:tc>
        <w:tc>
          <w:tcPr>
            <w:tcW w:w="15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lang w:val="en-US" w:eastAsia="zh-CN"/>
              </w:rPr>
            </w:pPr>
          </w:p>
        </w:tc>
        <w:tc>
          <w:tcPr>
            <w:tcW w:w="12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lang w:val="en-US" w:eastAsia="zh-CN"/>
              </w:rPr>
            </w:pPr>
          </w:p>
        </w:tc>
      </w:tr>
    </w:tbl>
    <w:p>
      <w:pPr>
        <w:jc w:val="left"/>
        <w:rPr>
          <w:rFonts w:hint="eastAsia" w:ascii="宋体" w:hAnsi="宋体" w:eastAsia="宋体" w:cs="宋体"/>
          <w:sz w:val="22"/>
          <w:szCs w:val="2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环江县驯乐乡卫生院</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highlight w:val="none"/>
          <w:u w:color="auto"/>
        </w:rPr>
        <w:t>395.31</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375.14</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20.17</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highlight w:val="none"/>
          <w:u w:color="auto"/>
        </w:rPr>
        <w:t>364.59</w:t>
      </w:r>
      <w:r>
        <w:rPr>
          <w:rFonts w:ascii="仿宋" w:hAnsi="仿宋" w:eastAsia="仿宋" w:cs="仿宋"/>
          <w:sz w:val="32"/>
          <w:highlight w:val="none"/>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104.6</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主要原因是：工资浮动。</w:t>
      </w:r>
    </w:p>
    <w:p>
      <w:pPr>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30101基本工资125.45万元，30102津贴补贴40.27万元，30103奖金62.65万元，30106伙食补助费6.29万元，30107绩效工资63.51万元，30108机关事业单位基本养老保险缴费38.37万元，30113住房公积金28.04万元。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u w:color="auto"/>
          <w:lang w:val="en-US" w:eastAsia="zh-CN"/>
        </w:rPr>
        <w:t>20.17</w:t>
      </w:r>
      <w:r>
        <w:rPr>
          <w:rFonts w:hint="eastAsia" w:ascii="仿宋" w:hAnsi="仿宋" w:eastAsia="仿宋" w:cs="仿宋"/>
          <w:sz w:val="32"/>
          <w:szCs w:val="32"/>
          <w:highlight w:val="none"/>
          <w:u w:color="auto"/>
        </w:rPr>
        <w:t>万元，</w:t>
      </w:r>
      <w:r>
        <w:rPr>
          <w:rFonts w:hint="eastAsia" w:ascii="仿宋" w:hAnsi="仿宋" w:eastAsia="仿宋" w:cs="仿宋"/>
          <w:i w:val="0"/>
          <w:iCs w:val="0"/>
          <w:caps w:val="0"/>
          <w:color w:val="000000"/>
          <w:spacing w:val="0"/>
          <w:sz w:val="32"/>
          <w:szCs w:val="32"/>
          <w:highlight w:val="none"/>
          <w:shd w:val="clear" w:color="auto" w:fill="FFFFFF"/>
        </w:rPr>
        <w:t>完成年初预算的</w:t>
      </w:r>
      <w:r>
        <w:rPr>
          <w:rFonts w:hint="eastAsia" w:ascii="仿宋" w:hAnsi="仿宋" w:eastAsia="仿宋" w:cs="仿宋"/>
          <w:sz w:val="32"/>
          <w:szCs w:val="32"/>
          <w:highlight w:val="none"/>
          <w:lang w:val="en-US" w:eastAsia="zh-CN"/>
        </w:rPr>
        <w:t>329.04</w:t>
      </w:r>
      <w:r>
        <w:rPr>
          <w:rFonts w:hint="eastAsia" w:ascii="仿宋" w:hAnsi="仿宋" w:eastAsia="仿宋" w:cs="仿宋"/>
          <w:sz w:val="32"/>
          <w:szCs w:val="32"/>
          <w:highlight w:val="none"/>
        </w:rPr>
        <w:t>%</w:t>
      </w:r>
      <w:r>
        <w:rPr>
          <w:rFonts w:hint="eastAsia" w:ascii="仿宋" w:hAnsi="仿宋" w:eastAsia="仿宋" w:cs="仿宋"/>
          <w:i w:val="0"/>
          <w:iCs w:val="0"/>
          <w:caps w:val="0"/>
          <w:color w:val="000000"/>
          <w:spacing w:val="0"/>
          <w:sz w:val="32"/>
          <w:szCs w:val="32"/>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主要原因是：村医基本报酬年初预算做到对个人和家庭的补助科目，决算做到商品和服务支出科目。</w:t>
      </w:r>
    </w:p>
    <w:p>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30226劳务费20.17万元。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highlight w:val="none"/>
          <w:u w:color="auto"/>
          <w:lang w:val="en-US" w:eastAsia="zh-CN"/>
        </w:rPr>
        <w:t>10.55</w:t>
      </w:r>
      <w:r>
        <w:rPr>
          <w:rFonts w:ascii="仿宋" w:hAnsi="仿宋" w:eastAsia="仿宋" w:cs="仿宋"/>
          <w:sz w:val="32"/>
          <w:highlight w:val="none"/>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33.26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主要原因是：村医基本报酬年初预算做到对个人和家庭的补助科目，决算做到商品和服务支出科目。</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30305生活补助9.24万元，30399其他对个人和家庭的补助1.31万元。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本单位无债务利息及费用支出。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lang w:eastAsia="zh-CN"/>
        </w:rPr>
        <w:t>本单位无资本性支</w:t>
      </w:r>
      <w:r>
        <w:rPr>
          <w:rFonts w:hint="eastAsia" w:ascii="仿宋" w:hAnsi="仿宋" w:eastAsia="仿宋" w:cs="仿宋"/>
          <w:color w:val="auto"/>
          <w:sz w:val="32"/>
          <w:szCs w:val="32"/>
          <w:highlight w:val="none"/>
          <w:lang w:eastAsia="zh-CN"/>
        </w:rPr>
        <w:t>出</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lang w:eastAsia="zh-CN"/>
        </w:rPr>
        <w:t>本单位无其他支出。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环江县驯乐乡卫生院</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环江县驯乐乡卫生院</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环江县驯乐乡卫生院</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环江县驯乐乡卫生院</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黑体" w:hAnsi="黑体" w:eastAsia="黑体" w:cs="黑体"/>
          <w:sz w:val="32"/>
          <w:szCs w:val="32"/>
          <w:highlight w:val="none"/>
        </w:rPr>
      </w:pPr>
      <w:r>
        <w:rPr>
          <w:rFonts w:hint="eastAsia" w:ascii="仿宋" w:hAnsi="仿宋" w:eastAsia="仿宋" w:cs="仿宋"/>
          <w:sz w:val="32"/>
          <w:szCs w:val="32"/>
          <w:highlight w:val="none"/>
          <w:lang w:eastAsia="zh-CN"/>
        </w:rPr>
        <w:t>环江县驯乐乡卫生院</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_GB2312" w:cs="仿宋"/>
          <w:color w:val="auto"/>
          <w:sz w:val="32"/>
          <w:szCs w:val="32"/>
          <w:highlight w:val="none"/>
          <w:lang w:val="en-US" w:eastAsia="zh-CN"/>
        </w:rPr>
      </w:pPr>
      <w:bookmarkStart w:id="2" w:name="PO_part3A5B1C1DiffReason1"/>
      <w:r>
        <w:rPr>
          <w:rFonts w:hint="eastAsia" w:ascii="仿宋" w:hAnsi="仿宋" w:eastAsia="仿宋" w:cs="仿宋"/>
          <w:color w:val="auto"/>
          <w:sz w:val="32"/>
          <w:szCs w:val="32"/>
          <w:highlight w:val="none"/>
          <w:lang w:eastAsia="zh-CN"/>
        </w:rPr>
        <w:t>环江县驯乐乡卫生院</w:t>
      </w:r>
      <w:bookmarkEnd w:id="2"/>
      <w:r>
        <w:rPr>
          <w:rFonts w:ascii="仿宋_GB2312" w:hAnsi="仿宋_GB2312" w:eastAsia="仿宋_GB2312" w:cs="仿宋_GB2312"/>
          <w:color w:val="auto"/>
          <w:sz w:val="32"/>
          <w:highlight w:val="none"/>
          <w:u w:color="auto"/>
        </w:rPr>
        <w:t>没有国有资本经营预算收入，也没有国有资本经营预算收入</w:t>
      </w:r>
      <w:r>
        <w:rPr>
          <w:rFonts w:hint="eastAsia" w:ascii="仿宋_GB2312" w:hAnsi="Times New Roman" w:eastAsia="仿宋_GB2312" w:cs="Times New Roman"/>
          <w:color w:val="auto"/>
          <w:sz w:val="32"/>
          <w:szCs w:val="32"/>
          <w:highlight w:val="none"/>
        </w:rPr>
        <w:t>安排的支出</w:t>
      </w:r>
      <w:r>
        <w:rPr>
          <w:rFonts w:hint="eastAsia" w:ascii="仿宋_GB2312" w:hAnsi="Times New Roman" w:eastAsia="仿宋_GB2312" w:cs="Times New Roman"/>
          <w:color w:val="auto"/>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w:t>
      </w:r>
      <w:r>
        <w:rPr>
          <w:rFonts w:hint="eastAsia" w:ascii="仿宋" w:hAnsi="仿宋" w:eastAsia="仿宋" w:cs="仿宋"/>
          <w:color w:val="auto"/>
          <w:kern w:val="2"/>
          <w:sz w:val="32"/>
          <w:szCs w:val="32"/>
          <w:highlight w:val="none"/>
          <w:lang w:val="en-US" w:eastAsia="zh-CN" w:bidi="ar"/>
        </w:rPr>
        <w:t>因是：本年度没有一般公共预算财政拨款安排的“三公”经费预算收入，也没有一般公共预算财政拨款安排的“三公”经费预算收入安排的支出。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原因是：本年度没有一般</w:t>
      </w:r>
      <w:r>
        <w:rPr>
          <w:rFonts w:hint="eastAsia" w:ascii="仿宋" w:hAnsi="仿宋" w:eastAsia="仿宋" w:cs="仿宋"/>
          <w:color w:val="auto"/>
          <w:sz w:val="32"/>
          <w:szCs w:val="32"/>
          <w:highlight w:val="none"/>
          <w:lang w:val="en-US" w:eastAsia="zh-CN"/>
        </w:rPr>
        <w:t>公共预算财政拨款安排的“三公”经费支出。</w:t>
      </w:r>
      <w:r>
        <w:rPr>
          <w:rFonts w:hint="eastAsia" w:ascii="仿宋_GB2312" w:hAnsi="Times New Roman" w:eastAsia="仿宋_GB2312" w:cs="Times New Roman"/>
          <w:color w:val="auto"/>
          <w:sz w:val="32"/>
          <w:szCs w:val="32"/>
        </w:rPr>
        <w:t>全年使用财政拨款安排出国团组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w:t>
      </w:r>
      <w:r>
        <w:rPr>
          <w:rFonts w:ascii="仿宋" w:hAnsi="仿宋" w:eastAsia="仿宋" w:cs="仿宋"/>
          <w:color w:val="auto"/>
          <w:sz w:val="32"/>
          <w:u w:color="auto"/>
        </w:rPr>
        <w:t>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主要原因是</w:t>
      </w:r>
      <w:bookmarkStart w:id="3"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无公务用车购置</w:t>
      </w:r>
      <w:bookmarkEnd w:id="3"/>
      <w:r>
        <w:rPr>
          <w:rFonts w:hint="eastAsia" w:ascii="仿宋" w:hAnsi="仿宋" w:eastAsia="仿宋" w:cs="仿宋"/>
          <w:color w:val="auto"/>
          <w:sz w:val="32"/>
          <w:szCs w:val="32"/>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本单位无公务用车运行维护支出</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2022年，</w:t>
      </w:r>
      <w:r>
        <w:rPr>
          <w:rFonts w:hint="eastAsia" w:ascii="仿宋" w:hAnsi="仿宋" w:eastAsia="仿宋" w:cs="仿宋"/>
          <w:sz w:val="32"/>
          <w:szCs w:val="32"/>
          <w:highlight w:val="none"/>
          <w:lang w:eastAsia="zh-CN"/>
        </w:rPr>
        <w:t>环</w:t>
      </w:r>
      <w:r>
        <w:rPr>
          <w:rFonts w:hint="eastAsia" w:ascii="仿宋" w:hAnsi="仿宋" w:eastAsia="仿宋" w:cs="仿宋"/>
          <w:color w:val="auto"/>
          <w:sz w:val="32"/>
          <w:szCs w:val="32"/>
          <w:highlight w:val="none"/>
          <w:lang w:eastAsia="zh-CN"/>
        </w:rPr>
        <w:t>江县驯乐乡卫生院</w:t>
      </w:r>
      <w:r>
        <w:rPr>
          <w:rFonts w:hint="eastAsia" w:ascii="仿宋" w:hAnsi="仿宋" w:eastAsia="仿宋" w:cs="仿宋"/>
          <w:color w:val="auto"/>
          <w:sz w:val="32"/>
          <w:u w:color="auto"/>
          <w:lang w:eastAsia="zh-CN"/>
        </w:rPr>
        <w:t>单位</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color w:val="auto"/>
          <w:sz w:val="32"/>
          <w:szCs w:val="32"/>
          <w:highlight w:val="none"/>
        </w:rPr>
        <w:t>所属</w:t>
      </w:r>
      <w:r>
        <w:rPr>
          <w:rFonts w:hint="eastAsia" w:ascii="仿宋" w:hAnsi="仿宋" w:eastAsia="仿宋" w:cs="仿宋"/>
          <w:sz w:val="32"/>
          <w:szCs w:val="32"/>
          <w:highlight w:val="none"/>
        </w:rPr>
        <w:t>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 xml:space="preserve"> 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主要原因是：本单位无公务接待费支出。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主要原因是：</w:t>
      </w:r>
      <w:r>
        <w:rPr>
          <w:rFonts w:hint="eastAsia" w:ascii="仿宋" w:hAnsi="仿宋" w:eastAsia="仿宋" w:cs="仿宋"/>
          <w:b w:val="0"/>
          <w:bCs w:val="0"/>
          <w:sz w:val="32"/>
          <w:szCs w:val="32"/>
          <w:highlight w:val="none"/>
          <w:lang w:eastAsia="zh-CN"/>
        </w:rPr>
        <w:t>本部门无机关运行经费支出。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sz w:val="32"/>
          <w:szCs w:val="32"/>
          <w:highlight w:val="yellow"/>
          <w:lang w:eastAsia="zh-CN"/>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6.06</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6.06</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截至2022年12月31日，</w:t>
      </w:r>
      <w:r>
        <w:rPr>
          <w:rFonts w:hint="eastAsia" w:ascii="仿宋" w:hAnsi="仿宋" w:eastAsia="仿宋" w:cs="仿宋"/>
          <w:sz w:val="32"/>
          <w:szCs w:val="32"/>
          <w:highlight w:val="none"/>
          <w:lang w:eastAsia="zh-CN"/>
        </w:rPr>
        <w:t>环江县驯乐乡卫生院</w:t>
      </w:r>
      <w:r>
        <w:rPr>
          <w:rFonts w:hint="eastAsia" w:ascii="仿宋" w:hAnsi="仿宋" w:eastAsia="仿宋" w:cs="仿宋"/>
          <w:sz w:val="32"/>
          <w:szCs w:val="32"/>
          <w:highlight w:val="none"/>
        </w:rPr>
        <w:t>共有车辆</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89.14</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12.54</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89.14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w:t>
      </w:r>
      <w:r>
        <w:rPr>
          <w:rFonts w:hint="eastAsia" w:ascii="仿宋" w:hAnsi="仿宋" w:eastAsia="仿宋" w:cs="仿宋"/>
          <w:color w:val="000000" w:themeColor="text1"/>
          <w:sz w:val="32"/>
          <w:szCs w:val="32"/>
          <w:lang w:eastAsia="zh-CN"/>
          <w14:textFill>
            <w14:solidFill>
              <w14:schemeClr w14:val="tx1"/>
            </w14:solidFill>
          </w14:textFill>
        </w:rPr>
        <w:t>看，预算专项资金使用均按照相关财务管理制度执行，做到年初有计划、实施有方案、追加有依据、日常有监督、结果有审核，资金使用与具体项目实施内容相符。</w:t>
      </w:r>
    </w:p>
    <w:p>
      <w:pPr>
        <w:ind w:firstLine="640" w:firstLineChars="200"/>
        <w:jc w:val="left"/>
        <w:rPr>
          <w:rFonts w:hint="default"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89.14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我单位严格按照绩效管理的相关要求，对本单位整体支出绩效运行实施监控。</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党支部组织生活经费项目自评得分为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，未发现问题。</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奖励性补贴项目自评得分为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，未发现问题。</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退休职工死亡抚恤金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，未发现问题。</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中医馆建设</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，未发现问题。</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中央财政基本药物制度补助资金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，未发现问题。</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lang w:eastAsia="zh-CN"/>
          <w14:textFill>
            <w14:solidFill>
              <w14:schemeClr w14:val="tx1"/>
            </w14:solidFill>
          </w14:textFill>
        </w:rPr>
        <w:t>中央财政基本公共卫生服务项目补助资金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，未发现问题。</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lang w:eastAsia="zh-CN"/>
          <w14:textFill>
            <w14:solidFill>
              <w14:schemeClr w14:val="tx1"/>
            </w14:solidFill>
          </w14:textFill>
        </w:rPr>
        <w:t>补助市县乡镇卫生院人员工资补助经费项目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，未发现问题。</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lang w:eastAsia="zh-CN"/>
          <w14:textFill>
            <w14:solidFill>
              <w14:schemeClr w14:val="tx1"/>
            </w14:solidFill>
          </w14:textFill>
        </w:rPr>
        <w:t>医药卫生体制改革和事业发展以奖代补</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，未发现问题。</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default" w:ascii="仿宋" w:hAnsi="仿宋" w:eastAsia="仿宋" w:cs="仿宋"/>
          <w:sz w:val="32"/>
          <w:szCs w:val="32"/>
          <w:highlight w:val="none"/>
          <w:lang w:val="en-US" w:eastAsia="zh-CN"/>
        </w:rPr>
      </w:pPr>
    </w:p>
    <w:sectPr>
      <w:pgSz w:w="11906" w:h="16838"/>
      <w:pgMar w:top="1440" w:right="1800" w:bottom="478"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2MzlmNjRjOGFkYTIzNWFjMmNiMmI0MWFlY2E2Zj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874D5"/>
    <w:rsid w:val="004C4D73"/>
    <w:rsid w:val="004D7D0E"/>
    <w:rsid w:val="005234F5"/>
    <w:rsid w:val="00531745"/>
    <w:rsid w:val="005714C6"/>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96D68"/>
    <w:rsid w:val="00DE74BD"/>
    <w:rsid w:val="00DE7D07"/>
    <w:rsid w:val="00E371FE"/>
    <w:rsid w:val="00EB7822"/>
    <w:rsid w:val="00EC50A9"/>
    <w:rsid w:val="00ED04DB"/>
    <w:rsid w:val="00F21455"/>
    <w:rsid w:val="00F5354B"/>
    <w:rsid w:val="00F95135"/>
    <w:rsid w:val="00F9658C"/>
    <w:rsid w:val="00F978FD"/>
    <w:rsid w:val="00FA738E"/>
    <w:rsid w:val="00FC438B"/>
    <w:rsid w:val="01234E98"/>
    <w:rsid w:val="015F1951"/>
    <w:rsid w:val="01671BDD"/>
    <w:rsid w:val="020C171D"/>
    <w:rsid w:val="0216715F"/>
    <w:rsid w:val="024137AC"/>
    <w:rsid w:val="027619AC"/>
    <w:rsid w:val="02E0291A"/>
    <w:rsid w:val="03463A74"/>
    <w:rsid w:val="037E16E8"/>
    <w:rsid w:val="03F92894"/>
    <w:rsid w:val="04001E75"/>
    <w:rsid w:val="040520F5"/>
    <w:rsid w:val="04602913"/>
    <w:rsid w:val="047F7115"/>
    <w:rsid w:val="04E54546"/>
    <w:rsid w:val="058076BD"/>
    <w:rsid w:val="05992762"/>
    <w:rsid w:val="05DF3A6E"/>
    <w:rsid w:val="05E530D0"/>
    <w:rsid w:val="06C36A77"/>
    <w:rsid w:val="06F127CA"/>
    <w:rsid w:val="078C3715"/>
    <w:rsid w:val="07B0770E"/>
    <w:rsid w:val="07CF6992"/>
    <w:rsid w:val="08B55B08"/>
    <w:rsid w:val="091837BC"/>
    <w:rsid w:val="0942143F"/>
    <w:rsid w:val="09E64AA9"/>
    <w:rsid w:val="0A0E7909"/>
    <w:rsid w:val="0B495EAF"/>
    <w:rsid w:val="0B554854"/>
    <w:rsid w:val="0B67419B"/>
    <w:rsid w:val="0BA15CEB"/>
    <w:rsid w:val="0C2C3D09"/>
    <w:rsid w:val="0D100297"/>
    <w:rsid w:val="0D202B45"/>
    <w:rsid w:val="0DDE0E22"/>
    <w:rsid w:val="0EF95E3E"/>
    <w:rsid w:val="0F8D4C87"/>
    <w:rsid w:val="0FD52407"/>
    <w:rsid w:val="10505FAA"/>
    <w:rsid w:val="105F7E7E"/>
    <w:rsid w:val="10652ABB"/>
    <w:rsid w:val="10E44E9A"/>
    <w:rsid w:val="113A4C18"/>
    <w:rsid w:val="11E56B5B"/>
    <w:rsid w:val="125C77AB"/>
    <w:rsid w:val="131B2827"/>
    <w:rsid w:val="13B468E6"/>
    <w:rsid w:val="14755F67"/>
    <w:rsid w:val="14CB726E"/>
    <w:rsid w:val="14DE37AB"/>
    <w:rsid w:val="153876C0"/>
    <w:rsid w:val="156E30E2"/>
    <w:rsid w:val="170E4165"/>
    <w:rsid w:val="17326391"/>
    <w:rsid w:val="17E92249"/>
    <w:rsid w:val="18536C57"/>
    <w:rsid w:val="18A1557C"/>
    <w:rsid w:val="18A961DF"/>
    <w:rsid w:val="18D304F1"/>
    <w:rsid w:val="192D1C9C"/>
    <w:rsid w:val="19F32577"/>
    <w:rsid w:val="19F45B80"/>
    <w:rsid w:val="1B0C078D"/>
    <w:rsid w:val="1B2B31E2"/>
    <w:rsid w:val="1B4C295A"/>
    <w:rsid w:val="1B973C63"/>
    <w:rsid w:val="1BA1001E"/>
    <w:rsid w:val="1C6C40F3"/>
    <w:rsid w:val="1D317259"/>
    <w:rsid w:val="1D6334B4"/>
    <w:rsid w:val="1D7274E7"/>
    <w:rsid w:val="1DDD7D65"/>
    <w:rsid w:val="1E3D7AF5"/>
    <w:rsid w:val="1E664F5B"/>
    <w:rsid w:val="1EA42B93"/>
    <w:rsid w:val="1EB34BE1"/>
    <w:rsid w:val="1EF55014"/>
    <w:rsid w:val="1F4113A8"/>
    <w:rsid w:val="1FC36416"/>
    <w:rsid w:val="1FCF190A"/>
    <w:rsid w:val="1FDE2C12"/>
    <w:rsid w:val="1FEE5197"/>
    <w:rsid w:val="202076CF"/>
    <w:rsid w:val="204213F3"/>
    <w:rsid w:val="206155F1"/>
    <w:rsid w:val="209B0B03"/>
    <w:rsid w:val="20A37890"/>
    <w:rsid w:val="20A42F05"/>
    <w:rsid w:val="20B16579"/>
    <w:rsid w:val="20FA1CCE"/>
    <w:rsid w:val="214178FD"/>
    <w:rsid w:val="215E639F"/>
    <w:rsid w:val="21817AFC"/>
    <w:rsid w:val="21EC3183"/>
    <w:rsid w:val="21F726B1"/>
    <w:rsid w:val="22193D4E"/>
    <w:rsid w:val="223B2FCF"/>
    <w:rsid w:val="225E72CD"/>
    <w:rsid w:val="22D64075"/>
    <w:rsid w:val="22F17100"/>
    <w:rsid w:val="23A91789"/>
    <w:rsid w:val="24182600"/>
    <w:rsid w:val="242A28CA"/>
    <w:rsid w:val="246E2F77"/>
    <w:rsid w:val="24F338BE"/>
    <w:rsid w:val="254B4E2B"/>
    <w:rsid w:val="255A0F8D"/>
    <w:rsid w:val="265723F3"/>
    <w:rsid w:val="265B406F"/>
    <w:rsid w:val="27994C22"/>
    <w:rsid w:val="27D82163"/>
    <w:rsid w:val="27E67B50"/>
    <w:rsid w:val="283D7C94"/>
    <w:rsid w:val="287F6F5C"/>
    <w:rsid w:val="29480E03"/>
    <w:rsid w:val="2983634D"/>
    <w:rsid w:val="298B6D36"/>
    <w:rsid w:val="299E7F4B"/>
    <w:rsid w:val="29C65105"/>
    <w:rsid w:val="29F574D6"/>
    <w:rsid w:val="2AA0027F"/>
    <w:rsid w:val="2B5D5BAC"/>
    <w:rsid w:val="2BB02055"/>
    <w:rsid w:val="2BCC3CAB"/>
    <w:rsid w:val="2BCC5279"/>
    <w:rsid w:val="2C4B7922"/>
    <w:rsid w:val="2C575A56"/>
    <w:rsid w:val="2C9F5E1F"/>
    <w:rsid w:val="2CAF5A00"/>
    <w:rsid w:val="2CB479CE"/>
    <w:rsid w:val="2F257714"/>
    <w:rsid w:val="2F3275E5"/>
    <w:rsid w:val="30AA08EF"/>
    <w:rsid w:val="30D23D1C"/>
    <w:rsid w:val="30F50806"/>
    <w:rsid w:val="31221CF5"/>
    <w:rsid w:val="31400178"/>
    <w:rsid w:val="31454AD1"/>
    <w:rsid w:val="314B3E80"/>
    <w:rsid w:val="314E4ECB"/>
    <w:rsid w:val="31C60370"/>
    <w:rsid w:val="3213336A"/>
    <w:rsid w:val="321E3342"/>
    <w:rsid w:val="327759C8"/>
    <w:rsid w:val="33185FE3"/>
    <w:rsid w:val="334F01CE"/>
    <w:rsid w:val="335B71D1"/>
    <w:rsid w:val="33B65F28"/>
    <w:rsid w:val="342D19E0"/>
    <w:rsid w:val="3442156A"/>
    <w:rsid w:val="34B12734"/>
    <w:rsid w:val="34CF6B76"/>
    <w:rsid w:val="34EE2E36"/>
    <w:rsid w:val="34FC4D37"/>
    <w:rsid w:val="350559C3"/>
    <w:rsid w:val="356B689E"/>
    <w:rsid w:val="35B3638F"/>
    <w:rsid w:val="362527C5"/>
    <w:rsid w:val="36747A1D"/>
    <w:rsid w:val="36777241"/>
    <w:rsid w:val="36A926BA"/>
    <w:rsid w:val="37895702"/>
    <w:rsid w:val="37DE3C9F"/>
    <w:rsid w:val="38543944"/>
    <w:rsid w:val="38A951DB"/>
    <w:rsid w:val="38B31605"/>
    <w:rsid w:val="38C74734"/>
    <w:rsid w:val="38FD7D24"/>
    <w:rsid w:val="39003F4F"/>
    <w:rsid w:val="39E7328B"/>
    <w:rsid w:val="3A2A214C"/>
    <w:rsid w:val="3B526EC0"/>
    <w:rsid w:val="3B563F76"/>
    <w:rsid w:val="3C07002B"/>
    <w:rsid w:val="3D0D152A"/>
    <w:rsid w:val="3DB15330"/>
    <w:rsid w:val="3DF62756"/>
    <w:rsid w:val="3E5A7DF8"/>
    <w:rsid w:val="3E6B3DB3"/>
    <w:rsid w:val="3EE527B8"/>
    <w:rsid w:val="3F1B7587"/>
    <w:rsid w:val="3F866302"/>
    <w:rsid w:val="403141A5"/>
    <w:rsid w:val="40582327"/>
    <w:rsid w:val="407A652F"/>
    <w:rsid w:val="40D53766"/>
    <w:rsid w:val="40DA3DA8"/>
    <w:rsid w:val="40FF18BA"/>
    <w:rsid w:val="411918A4"/>
    <w:rsid w:val="41B8219B"/>
    <w:rsid w:val="41E57B4F"/>
    <w:rsid w:val="41FA2528"/>
    <w:rsid w:val="42332E5B"/>
    <w:rsid w:val="42500C48"/>
    <w:rsid w:val="42CD6DEA"/>
    <w:rsid w:val="432F26F6"/>
    <w:rsid w:val="434A043B"/>
    <w:rsid w:val="43670FED"/>
    <w:rsid w:val="43880F63"/>
    <w:rsid w:val="441C5A6F"/>
    <w:rsid w:val="44C44FCC"/>
    <w:rsid w:val="44CC7369"/>
    <w:rsid w:val="453273D9"/>
    <w:rsid w:val="457F5108"/>
    <w:rsid w:val="46951B6B"/>
    <w:rsid w:val="47044DA5"/>
    <w:rsid w:val="487B2E45"/>
    <w:rsid w:val="48FD6F97"/>
    <w:rsid w:val="4981092F"/>
    <w:rsid w:val="49A34401"/>
    <w:rsid w:val="4A3E30AB"/>
    <w:rsid w:val="4A565917"/>
    <w:rsid w:val="4AC14DAC"/>
    <w:rsid w:val="4ADF2DFE"/>
    <w:rsid w:val="4B0A6507"/>
    <w:rsid w:val="4BB5666E"/>
    <w:rsid w:val="4C7520EF"/>
    <w:rsid w:val="4C776213"/>
    <w:rsid w:val="4C8C66A5"/>
    <w:rsid w:val="4CA706AC"/>
    <w:rsid w:val="4CBB4158"/>
    <w:rsid w:val="4CBD6F79"/>
    <w:rsid w:val="4CF66F3E"/>
    <w:rsid w:val="4D154C85"/>
    <w:rsid w:val="4E525235"/>
    <w:rsid w:val="4EC8553A"/>
    <w:rsid w:val="4F2002A2"/>
    <w:rsid w:val="4F293C72"/>
    <w:rsid w:val="4F334479"/>
    <w:rsid w:val="4FDC11E8"/>
    <w:rsid w:val="50067498"/>
    <w:rsid w:val="501C4F0D"/>
    <w:rsid w:val="505178E3"/>
    <w:rsid w:val="50795EBC"/>
    <w:rsid w:val="508F4E24"/>
    <w:rsid w:val="50FD4D3F"/>
    <w:rsid w:val="51405890"/>
    <w:rsid w:val="51461E90"/>
    <w:rsid w:val="51463753"/>
    <w:rsid w:val="52553A93"/>
    <w:rsid w:val="52933C0E"/>
    <w:rsid w:val="52C378C2"/>
    <w:rsid w:val="52E173A9"/>
    <w:rsid w:val="534E1882"/>
    <w:rsid w:val="53521F8B"/>
    <w:rsid w:val="53AE3BFE"/>
    <w:rsid w:val="53E22F47"/>
    <w:rsid w:val="54522FF8"/>
    <w:rsid w:val="5477657A"/>
    <w:rsid w:val="54944143"/>
    <w:rsid w:val="54951130"/>
    <w:rsid w:val="55450629"/>
    <w:rsid w:val="55733F14"/>
    <w:rsid w:val="56101070"/>
    <w:rsid w:val="56692963"/>
    <w:rsid w:val="568B0F48"/>
    <w:rsid w:val="5697353F"/>
    <w:rsid w:val="5786217B"/>
    <w:rsid w:val="578647C5"/>
    <w:rsid w:val="57925AB5"/>
    <w:rsid w:val="579730CB"/>
    <w:rsid w:val="57CD371A"/>
    <w:rsid w:val="589A2E73"/>
    <w:rsid w:val="58A106A5"/>
    <w:rsid w:val="58F76517"/>
    <w:rsid w:val="59046CD5"/>
    <w:rsid w:val="592C2300"/>
    <w:rsid w:val="59337A15"/>
    <w:rsid w:val="59810274"/>
    <w:rsid w:val="5AD703AE"/>
    <w:rsid w:val="5B223F16"/>
    <w:rsid w:val="5BE15B53"/>
    <w:rsid w:val="5C876132"/>
    <w:rsid w:val="5CA96A00"/>
    <w:rsid w:val="5CAC6EDF"/>
    <w:rsid w:val="5CF730BC"/>
    <w:rsid w:val="5D1A0A26"/>
    <w:rsid w:val="5DFE72C4"/>
    <w:rsid w:val="5E5F0DCE"/>
    <w:rsid w:val="5E731127"/>
    <w:rsid w:val="5EB7554E"/>
    <w:rsid w:val="5F3B6ED5"/>
    <w:rsid w:val="5FA40A7B"/>
    <w:rsid w:val="5FD56D29"/>
    <w:rsid w:val="5FEC7F3F"/>
    <w:rsid w:val="60AA2CCB"/>
    <w:rsid w:val="60B46A9C"/>
    <w:rsid w:val="60F74BC3"/>
    <w:rsid w:val="61047A23"/>
    <w:rsid w:val="61314591"/>
    <w:rsid w:val="61453B98"/>
    <w:rsid w:val="614B2C4D"/>
    <w:rsid w:val="617D3BF8"/>
    <w:rsid w:val="61841F6A"/>
    <w:rsid w:val="623007A9"/>
    <w:rsid w:val="625059A0"/>
    <w:rsid w:val="63071A4D"/>
    <w:rsid w:val="63091321"/>
    <w:rsid w:val="633E43E9"/>
    <w:rsid w:val="635D2D54"/>
    <w:rsid w:val="637D7558"/>
    <w:rsid w:val="63C45962"/>
    <w:rsid w:val="63E94CAF"/>
    <w:rsid w:val="644F19AC"/>
    <w:rsid w:val="65342F28"/>
    <w:rsid w:val="654725D5"/>
    <w:rsid w:val="65AA4920"/>
    <w:rsid w:val="65B0017A"/>
    <w:rsid w:val="663012BB"/>
    <w:rsid w:val="663A5C95"/>
    <w:rsid w:val="66456B14"/>
    <w:rsid w:val="67694F1E"/>
    <w:rsid w:val="688C2241"/>
    <w:rsid w:val="68F55EA4"/>
    <w:rsid w:val="6917406C"/>
    <w:rsid w:val="691741BA"/>
    <w:rsid w:val="694E2184"/>
    <w:rsid w:val="69597934"/>
    <w:rsid w:val="6B3E3B7D"/>
    <w:rsid w:val="6B717565"/>
    <w:rsid w:val="6B964DDC"/>
    <w:rsid w:val="6B9B71D6"/>
    <w:rsid w:val="6C671046"/>
    <w:rsid w:val="6C783074"/>
    <w:rsid w:val="6CC91B21"/>
    <w:rsid w:val="6CFC2F0E"/>
    <w:rsid w:val="6D9E65C6"/>
    <w:rsid w:val="6DA81947"/>
    <w:rsid w:val="6DEC1F6B"/>
    <w:rsid w:val="6E7F7ACA"/>
    <w:rsid w:val="6EB66DE2"/>
    <w:rsid w:val="6EB81E4D"/>
    <w:rsid w:val="6ED3075F"/>
    <w:rsid w:val="6F2A2D4B"/>
    <w:rsid w:val="6F32374D"/>
    <w:rsid w:val="6F8A0C1E"/>
    <w:rsid w:val="6FEF41DA"/>
    <w:rsid w:val="703F45D4"/>
    <w:rsid w:val="70455963"/>
    <w:rsid w:val="70616813"/>
    <w:rsid w:val="715D6546"/>
    <w:rsid w:val="718005F9"/>
    <w:rsid w:val="71BE069E"/>
    <w:rsid w:val="723143F0"/>
    <w:rsid w:val="723E69F2"/>
    <w:rsid w:val="726227FC"/>
    <w:rsid w:val="73730516"/>
    <w:rsid w:val="73773011"/>
    <w:rsid w:val="73953409"/>
    <w:rsid w:val="73C7257C"/>
    <w:rsid w:val="73E069A3"/>
    <w:rsid w:val="746024C9"/>
    <w:rsid w:val="74A239DD"/>
    <w:rsid w:val="74F87553"/>
    <w:rsid w:val="75054E28"/>
    <w:rsid w:val="764C6720"/>
    <w:rsid w:val="768216BE"/>
    <w:rsid w:val="777D3C34"/>
    <w:rsid w:val="77B64A11"/>
    <w:rsid w:val="78104AA8"/>
    <w:rsid w:val="78493763"/>
    <w:rsid w:val="788A03B6"/>
    <w:rsid w:val="78C80EDF"/>
    <w:rsid w:val="78E257C5"/>
    <w:rsid w:val="791A1E16"/>
    <w:rsid w:val="794B35BE"/>
    <w:rsid w:val="7A3A401F"/>
    <w:rsid w:val="7B0A3A31"/>
    <w:rsid w:val="7B3360ED"/>
    <w:rsid w:val="7B5319F3"/>
    <w:rsid w:val="7BA23C69"/>
    <w:rsid w:val="7BDF037E"/>
    <w:rsid w:val="7BF50948"/>
    <w:rsid w:val="7CD01818"/>
    <w:rsid w:val="7CE66A78"/>
    <w:rsid w:val="7D23564C"/>
    <w:rsid w:val="7D5E062D"/>
    <w:rsid w:val="7D6E474B"/>
    <w:rsid w:val="7DE30433"/>
    <w:rsid w:val="7DF76CD8"/>
    <w:rsid w:val="7E431733"/>
    <w:rsid w:val="7E635932"/>
    <w:rsid w:val="7E642E6E"/>
    <w:rsid w:val="7E814BAB"/>
    <w:rsid w:val="7F666C1F"/>
    <w:rsid w:val="7F695C26"/>
    <w:rsid w:val="7FBB79EF"/>
    <w:rsid w:val="7FCF62D3"/>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0.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事业收入</c:v>
                </c:pt>
              </c:strCache>
            </c:strRef>
          </c:cat>
          <c:val>
            <c:numRef>
              <c:f>Sheet1!$B$2:$B$3</c:f>
              <c:numCache>
                <c:formatCode>General</c:formatCode>
                <c:ptCount val="2"/>
                <c:pt idx="0">
                  <c:v>711.06</c:v>
                </c:pt>
                <c:pt idx="1">
                  <c:v>484.69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Sheet1!$A$2:$A$7</c:f>
              <c:strCache>
                <c:ptCount val="6"/>
                <c:pt idx="0">
                  <c:v>社会保障和就业支出</c:v>
                </c:pt>
                <c:pt idx="1">
                  <c:v>卫生健康支出</c:v>
                </c:pt>
                <c:pt idx="2">
                  <c:v>住房保障支出</c:v>
                </c:pt>
                <c:pt idx="3">
                  <c:v>支他支出</c:v>
                </c:pt>
                <c:pt idx="4">
                  <c:v>结余分配</c:v>
                </c:pt>
                <c:pt idx="5">
                  <c:v>年末结转和结余</c:v>
                </c:pt>
              </c:strCache>
            </c:strRef>
          </c:cat>
          <c:val>
            <c:numRef>
              <c:f>Sheet1!$B$2:$B$7</c:f>
              <c:numCache>
                <c:formatCode>General</c:formatCode>
                <c:ptCount val="6"/>
                <c:pt idx="0">
                  <c:v>38.65</c:v>
                </c:pt>
                <c:pt idx="1">
                  <c:v>751.42</c:v>
                </c:pt>
                <c:pt idx="2">
                  <c:v>28.91</c:v>
                </c:pt>
                <c:pt idx="3">
                  <c:v>71.69</c:v>
                </c:pt>
                <c:pt idx="4">
                  <c:v>233.68</c:v>
                </c:pt>
                <c:pt idx="5">
                  <c:v>0</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Sheet1!$A$2:$A$7</c:f>
              <c:strCache>
                <c:ptCount val="6"/>
                <c:pt idx="0">
                  <c:v>社会保障和就业支出</c:v>
                </c:pt>
                <c:pt idx="1">
                  <c:v>卫生健康支出</c:v>
                </c:pt>
                <c:pt idx="2">
                  <c:v>住房保障支出</c:v>
                </c:pt>
                <c:pt idx="3">
                  <c:v>支他支出</c:v>
                </c:pt>
                <c:pt idx="4">
                  <c:v>结余分配</c:v>
                </c:pt>
                <c:pt idx="5">
                  <c:v>年末结转和结余</c:v>
                </c:pt>
              </c:strCache>
            </c:strRef>
          </c:cat>
          <c:val>
            <c:numRef>
              <c:f>Sheet1!$C$2:$C$7</c:f>
              <c:numCache>
                <c:formatCode>General</c:formatCode>
                <c:ptCount val="6"/>
                <c:pt idx="0">
                  <c:v>38.37</c:v>
                </c:pt>
                <c:pt idx="1">
                  <c:v>1082.58</c:v>
                </c:pt>
                <c:pt idx="2">
                  <c:v>28.04</c:v>
                </c:pt>
                <c:pt idx="3">
                  <c:v>46.41</c:v>
                </c:pt>
                <c:pt idx="4">
                  <c:v>0.36</c:v>
                </c:pt>
                <c:pt idx="5">
                  <c:v>0</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3">
                  <c:v>208x</c:v>
                </c:pt>
              </c:strCache>
            </c:strRef>
          </c:cat>
          <c:val>
            <c:numRef>
              <c:f>Sheet1!$B$2:$B$5</c:f>
              <c:numCache>
                <c:formatCode>General</c:formatCode>
                <c:ptCount val="4"/>
                <c:pt idx="0">
                  <c:v>38.37</c:v>
                </c:pt>
                <c:pt idx="3">
                  <c:v>38.37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02"/>
    </mc:Choice>
    <mc:Fallback>
      <c:style val="10002"/>
    </mc:Fallback>
  </mc:AlternateContent>
  <c:chart>
    <c:title>
      <c:tx>
        <c:rich>
          <a:bodyPr rot="0" spcFirstLastPara="0" vertOverflow="ellipsis" vert="horz" wrap="square" anchor="ctr" anchorCtr="1"/>
          <a:lstStyle/>
          <a:p>
            <a:pPr algn="l">
              <a:defRPr lang="zh-CN" sz="1400" b="1" i="0" u="none" strike="noStrike" kern="1200" baseline="0">
                <a:solidFill>
                  <a:schemeClr val="dk1">
                    <a:lumMod val="75000"/>
                    <a:lumOff val="25000"/>
                  </a:schemeClr>
                </a:solidFill>
                <a:latin typeface="+mn-lt"/>
                <a:ea typeface="+mn-ea"/>
                <a:cs typeface="+mn-cs"/>
              </a:defRPr>
            </a:pPr>
            <a:r>
              <a:t>卫生健康支出</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Sheet1!$A$2:$A$8</c:f>
              <c:strCache>
                <c:ptCount val="7"/>
                <c:pt idx="0">
                  <c:v>2100302</c:v>
                </c:pt>
                <c:pt idx="1">
                  <c:v>2100399</c:v>
                </c:pt>
                <c:pt idx="2">
                  <c:v>2100408</c:v>
                </c:pt>
                <c:pt idx="3">
                  <c:v>2100409</c:v>
                </c:pt>
                <c:pt idx="4">
                  <c:v>2100601</c:v>
                </c:pt>
                <c:pt idx="5">
                  <c:v>2109999</c:v>
                </c:pt>
                <c:pt idx="6">
                  <c:v>210x</c:v>
                </c:pt>
              </c:strCache>
            </c:strRef>
          </c:cat>
          <c:val>
            <c:numRef>
              <c:f>Sheet1!$B$2:$B$8</c:f>
              <c:numCache>
                <c:formatCode>General</c:formatCode>
                <c:ptCount val="7"/>
                <c:pt idx="0">
                  <c:v>289.32</c:v>
                </c:pt>
                <c:pt idx="1">
                  <c:v>59.6</c:v>
                </c:pt>
                <c:pt idx="2">
                  <c:v>135.8</c:v>
                </c:pt>
                <c:pt idx="3">
                  <c:v>25.28</c:v>
                </c:pt>
                <c:pt idx="4">
                  <c:v>20</c:v>
                </c:pt>
                <c:pt idx="5">
                  <c:v>68.25</c:v>
                </c:pt>
                <c:pt idx="6">
                  <c:v>598.25</c:v>
                </c:pt>
              </c:numCache>
            </c:numRef>
          </c:val>
        </c:ser>
        <c:dLbls>
          <c:showLegendKey val="0"/>
          <c:showVal val="1"/>
          <c:showCatName val="0"/>
          <c:showSerName val="0"/>
          <c:showPercent val="0"/>
          <c:showBubbleSize val="0"/>
        </c:dLbls>
        <c:gapWidth val="260"/>
        <c:overlap val="-32"/>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28.04</c:v>
                </c:pt>
                <c:pt idx="1">
                  <c:v>28.04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30101</c:v>
                </c:pt>
                <c:pt idx="1">
                  <c:v>30102</c:v>
                </c:pt>
                <c:pt idx="2">
                  <c:v>30103</c:v>
                </c:pt>
                <c:pt idx="3">
                  <c:v>30106</c:v>
                </c:pt>
                <c:pt idx="4">
                  <c:v>30107</c:v>
                </c:pt>
                <c:pt idx="5">
                  <c:v>30108</c:v>
                </c:pt>
                <c:pt idx="6">
                  <c:v>30109</c:v>
                </c:pt>
                <c:pt idx="7">
                  <c:v>30110</c:v>
                </c:pt>
                <c:pt idx="8">
                  <c:v>30112</c:v>
                </c:pt>
                <c:pt idx="9">
                  <c:v>30113</c:v>
                </c:pt>
                <c:pt idx="10">
                  <c:v>30114</c:v>
                </c:pt>
                <c:pt idx="11">
                  <c:v>30199</c:v>
                </c:pt>
              </c:numCache>
            </c:numRef>
          </c:cat>
          <c:val>
            <c:numRef>
              <c:f>Sheet1!$B$2:$B$13</c:f>
              <c:numCache>
                <c:formatCode>General</c:formatCode>
                <c:ptCount val="12"/>
                <c:pt idx="0">
                  <c:v>125.45</c:v>
                </c:pt>
                <c:pt idx="1">
                  <c:v>40.27</c:v>
                </c:pt>
                <c:pt idx="2">
                  <c:v>62.65</c:v>
                </c:pt>
                <c:pt idx="3">
                  <c:v>6.29</c:v>
                </c:pt>
                <c:pt idx="4">
                  <c:v>63.51</c:v>
                </c:pt>
                <c:pt idx="5">
                  <c:v>38.37</c:v>
                </c:pt>
                <c:pt idx="9">
                  <c:v>28.04</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20.17</c:v>
                </c:pt>
                <c:pt idx="20">
                  <c:v>0</c:v>
                </c:pt>
                <c:pt idx="21">
                  <c:v>0</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9.24</c:v>
                </c:pt>
                <c:pt idx="5">
                  <c:v>0</c:v>
                </c:pt>
                <c:pt idx="6">
                  <c:v>0</c:v>
                </c:pt>
                <c:pt idx="7">
                  <c:v>0</c:v>
                </c:pt>
                <c:pt idx="8">
                  <c:v>0</c:v>
                </c:pt>
                <c:pt idx="9">
                  <c:v>0</c:v>
                </c:pt>
                <c:pt idx="10">
                  <c:v>0</c:v>
                </c:pt>
                <c:pt idx="11">
                  <c:v>1.31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5</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2023-11-16T01:35:00Z</cp:lastPrinted>
  <dcterms:modified xsi:type="dcterms:W3CDTF">2023-11-27T03:44:32Z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