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环江毛南族自治县档案馆</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环江毛南族自治县档案馆</w:t>
      </w:r>
      <w:r>
        <w:rPr>
          <w:rFonts w:hint="eastAsia" w:ascii="黑体" w:hAnsi="黑体" w:eastAsia="黑体" w:cs="黑体"/>
          <w:sz w:val="32"/>
          <w:szCs w:val="32"/>
          <w:highlight w:val="none"/>
        </w:rPr>
        <w:t>概况</w:t>
      </w: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kinsoku/>
        <w:wordWrap/>
        <w:overflowPunct/>
        <w:topLinePunct w:val="0"/>
        <w:bidi w:val="0"/>
        <w:snapToGrid/>
        <w:spacing w:line="56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环江毛南族自治县档案馆</w:t>
      </w:r>
      <w:r>
        <w:rPr>
          <w:rFonts w:hint="eastAsia" w:ascii="黑体" w:hAnsi="黑体" w:eastAsia="黑体" w:cs="黑体"/>
          <w:sz w:val="32"/>
          <w:szCs w:val="32"/>
          <w:highlight w:val="none"/>
        </w:rPr>
        <w:t>2022年度部门决算报表</w:t>
      </w:r>
    </w:p>
    <w:p>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keepNext w:val="0"/>
        <w:keepLines w:val="0"/>
        <w:pageBreakBefore w:val="0"/>
        <w:widowControl w:val="0"/>
        <w:kinsoku/>
        <w:wordWrap/>
        <w:overflowPunct/>
        <w:topLinePunct w:val="0"/>
        <w:bidi w:val="0"/>
        <w:snapToGrid/>
        <w:spacing w:line="560" w:lineRule="exact"/>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环江毛南族自治县档案馆</w:t>
      </w:r>
      <w:r>
        <w:rPr>
          <w:rFonts w:hint="eastAsia" w:ascii="黑体" w:hAnsi="黑体" w:eastAsia="黑体" w:cs="黑体"/>
          <w:sz w:val="32"/>
          <w:szCs w:val="32"/>
          <w:highlight w:val="none"/>
        </w:rPr>
        <w:t>2022年度部门决算情况说明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bidi w:val="0"/>
        <w:snapToGrid/>
        <w:spacing w:line="560" w:lineRule="exact"/>
        <w:jc w:val="both"/>
        <w:textAlignment w:val="auto"/>
        <w:rPr>
          <w:rFonts w:ascii="黑体" w:hAnsi="黑体" w:eastAsia="黑体" w:cs="黑体"/>
          <w:sz w:val="32"/>
          <w:szCs w:val="32"/>
          <w:highlight w:val="none"/>
        </w:rPr>
      </w:pPr>
      <w:bookmarkStart w:id="6" w:name="_GoBack"/>
      <w:bookmarkEnd w:id="6"/>
      <w:r>
        <w:rPr>
          <w:rFonts w:hint="eastAsia" w:ascii="黑体" w:hAnsi="黑体" w:eastAsia="黑体" w:cs="黑体"/>
          <w:sz w:val="32"/>
          <w:szCs w:val="32"/>
          <w:highlight w:val="none"/>
        </w:rPr>
        <w:t>第四部分：名词解释</w:t>
      </w:r>
    </w:p>
    <w:p>
      <w:pPr>
        <w:keepNext w:val="0"/>
        <w:keepLines w:val="0"/>
        <w:pageBreakBefore w:val="0"/>
        <w:widowControl w:val="0"/>
        <w:kinsoku/>
        <w:wordWrap/>
        <w:overflowPunct/>
        <w:topLinePunct w:val="0"/>
        <w:bidi w:val="0"/>
        <w:snapToGrid/>
        <w:spacing w:line="56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环江毛南族自治县档案馆</w:t>
      </w:r>
      <w:r>
        <w:rPr>
          <w:rFonts w:hint="eastAsia" w:ascii="黑体" w:hAnsi="黑体" w:eastAsia="黑体" w:cs="黑体"/>
          <w:b/>
          <w:bCs/>
          <w:sz w:val="32"/>
          <w:szCs w:val="32"/>
          <w:highlight w:val="none"/>
        </w:rPr>
        <w:t>概况</w:t>
      </w: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autoSpaceDN/>
        <w:bidi w:val="0"/>
        <w:adjustRightInd/>
        <w:snapToGrid/>
        <w:spacing w:before="6" w:line="560" w:lineRule="exact"/>
        <w:ind w:left="39" w:right="135"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 贯彻执行党和国家、自治区、河池市有关档案管理的 法律法规规章及有关规定规划计划，配合做好全县档案事业发展规划编制、档案公共管理。编制和实施本馆档案事业中长期发展规划和年度计划以及管理制度，集中统一管理县级重要档案资料，保守党和国家秘密，维护档案完整和安全。</w:t>
      </w:r>
    </w:p>
    <w:p>
      <w:pPr>
        <w:keepNext w:val="0"/>
        <w:keepLines w:val="0"/>
        <w:pageBreakBefore w:val="0"/>
        <w:widowControl w:val="0"/>
        <w:kinsoku/>
        <w:wordWrap/>
        <w:overflowPunct/>
        <w:topLinePunct w:val="0"/>
        <w:autoSpaceDE/>
        <w:autoSpaceDN/>
        <w:bidi w:val="0"/>
        <w:adjustRightInd/>
        <w:snapToGrid/>
        <w:spacing w:before="3"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(二)依法接收环江毛南族自治县县乡党政机关、人民团体、国有企事业单位和社会组织的各类档案及政府公报等政府公开信息。</w:t>
      </w:r>
    </w:p>
    <w:p>
      <w:pPr>
        <w:keepNext w:val="0"/>
        <w:keepLines w:val="0"/>
        <w:pageBreakBefore w:val="0"/>
        <w:widowControl w:val="0"/>
        <w:kinsoku/>
        <w:wordWrap/>
        <w:overflowPunct/>
        <w:topLinePunct w:val="0"/>
        <w:autoSpaceDE/>
        <w:autoSpaceDN/>
        <w:bidi w:val="0"/>
        <w:adjustRightInd/>
        <w:snapToGrid/>
        <w:spacing w:before="2" w:line="560" w:lineRule="exact"/>
        <w:ind w:left="39" w:right="128"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(三)研究制定本馆进馆档案的接收标准和规范，负责全县各单位进馆档案整理质量检查和移交工作。</w:t>
      </w:r>
    </w:p>
    <w:p>
      <w:pPr>
        <w:keepNext w:val="0"/>
        <w:keepLines w:val="0"/>
        <w:pageBreakBefore w:val="0"/>
        <w:widowControl w:val="0"/>
        <w:kinsoku/>
        <w:wordWrap/>
        <w:overflowPunct/>
        <w:topLinePunct w:val="0"/>
        <w:autoSpaceDE/>
        <w:autoSpaceDN/>
        <w:bidi w:val="0"/>
        <w:adjustRightInd/>
        <w:snapToGrid/>
        <w:spacing w:before="3" w:line="560" w:lineRule="exact"/>
        <w:ind w:left="39" w:right="13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(四) 收集本县各个历史时期政权机构、社会组织、著名人物等对国家和社会有保存价值的档案。</w:t>
      </w:r>
    </w:p>
    <w:p>
      <w:pPr>
        <w:keepNext w:val="0"/>
        <w:keepLines w:val="0"/>
        <w:pageBreakBefore w:val="0"/>
        <w:widowControl w:val="0"/>
        <w:kinsoku/>
        <w:wordWrap/>
        <w:overflowPunct/>
        <w:topLinePunct w:val="0"/>
        <w:autoSpaceDE/>
        <w:autoSpaceDN/>
        <w:bidi w:val="0"/>
        <w:adjustRightInd/>
        <w:snapToGrid/>
        <w:spacing w:before="110" w:line="560" w:lineRule="exact"/>
        <w:ind w:right="73" w:firstLine="320" w:firstLineChars="100"/>
        <w:jc w:val="both"/>
        <w:textAlignment w:val="auto"/>
        <w:rPr>
          <w:rFonts w:hint="eastAsia" w:asciiTheme="minorHAnsi" w:hAnsiTheme="minorHAnsi" w:eastAsiaTheme="minorEastAsia" w:cstheme="minorBidi"/>
          <w:kern w:val="2"/>
          <w:sz w:val="32"/>
          <w:szCs w:val="32"/>
          <w:lang w:val="en-US" w:eastAsia="zh-CN" w:bidi="ar-SA"/>
        </w:rPr>
      </w:pPr>
      <w:r>
        <w:rPr>
          <w:rFonts w:hint="eastAsia" w:cstheme="minorBidi"/>
          <w:kern w:val="2"/>
          <w:sz w:val="32"/>
          <w:szCs w:val="32"/>
          <w:lang w:val="en-US" w:eastAsia="zh-CN" w:bidi="ar-SA"/>
        </w:rPr>
        <w:tab/>
      </w:r>
      <w:r>
        <w:rPr>
          <w:rFonts w:hint="eastAsia" w:cstheme="minorBidi"/>
          <w:kern w:val="2"/>
          <w:sz w:val="32"/>
          <w:szCs w:val="32"/>
          <w:lang w:val="en-US" w:eastAsia="zh-CN" w:bidi="ar-SA"/>
        </w:rPr>
        <w:t xml:space="preserve">  </w:t>
      </w:r>
      <w:r>
        <w:rPr>
          <w:rFonts w:hint="eastAsia" w:ascii="仿宋_GB2312" w:hAnsi="仿宋_GB2312" w:eastAsia="仿宋_GB2312" w:cs="仿宋_GB2312"/>
          <w:spacing w:val="0"/>
          <w:sz w:val="32"/>
          <w:szCs w:val="32"/>
        </w:rPr>
        <w:t>(五)</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征集本县散存在国内外的对国家和社会具有长久保存价值的重要档案资料。</w:t>
      </w:r>
    </w:p>
    <w:p>
      <w:pPr>
        <w:keepNext w:val="0"/>
        <w:keepLines w:val="0"/>
        <w:pageBreakBefore w:val="0"/>
        <w:widowControl w:val="0"/>
        <w:kinsoku/>
        <w:wordWrap/>
        <w:overflowPunct/>
        <w:topLinePunct w:val="0"/>
        <w:autoSpaceDE/>
        <w:autoSpaceDN/>
        <w:bidi w:val="0"/>
        <w:adjustRightInd/>
        <w:snapToGrid/>
        <w:spacing w:line="560" w:lineRule="exact"/>
        <w:ind w:right="75"/>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 开展档案资料的整理、编目、鉴定、保管、保护、统计等各项基础业务工作。组织县乡各单位依法依规开展馆藏档案解密和开放鉴定工作。承担重要档案异地异质备份工作。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(七)开展档案资料的利用服务工作，提供档案资料查阅利 用，依法依规公布档案，研究、编纂、出版档案史料，举办档案 陈列展览，为党委和人民政府决策提供参考，为社会提供服务。</w:t>
      </w:r>
    </w:p>
    <w:p>
      <w:pPr>
        <w:keepNext w:val="0"/>
        <w:keepLines w:val="0"/>
        <w:pageBreakBefore w:val="0"/>
        <w:widowControl w:val="0"/>
        <w:kinsoku/>
        <w:wordWrap/>
        <w:overflowPunct/>
        <w:topLinePunct w:val="0"/>
        <w:autoSpaceDE/>
        <w:autoSpaceDN/>
        <w:bidi w:val="0"/>
        <w:adjustRightInd/>
        <w:snapToGrid/>
        <w:spacing w:before="1" w:line="560" w:lineRule="exact"/>
        <w:ind w:right="76"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(八)开展档案宣传、档案文化建设和档案科研工作，建设 党性教育、爱国主义教育、中小学档案教育社会实践等基地。开展馆际合作和业务交流工作，推进专业人才队伍建设。</w:t>
      </w:r>
    </w:p>
    <w:p>
      <w:pPr>
        <w:keepNext w:val="0"/>
        <w:keepLines w:val="0"/>
        <w:pageBreakBefore w:val="0"/>
        <w:widowControl w:val="0"/>
        <w:kinsoku/>
        <w:wordWrap/>
        <w:overflowPunct/>
        <w:topLinePunct w:val="0"/>
        <w:autoSpaceDE/>
        <w:autoSpaceDN/>
        <w:bidi w:val="0"/>
        <w:adjustRightInd/>
        <w:snapToGrid/>
        <w:spacing w:before="6" w:line="560" w:lineRule="exact"/>
        <w:ind w:right="67"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九)开展档案信息化建设，负责县乡重要公共数据、电子档案管理和长久保存，采用先进技术管理档案资料，保证数字档案资源的安全管理和有效利用，配合做好全县档案信息化、推进数字化档案共享等事务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(十) 完成自治县党委、人民政府交办的其他任务。</w:t>
      </w:r>
    </w:p>
    <w:p>
      <w:pPr>
        <w:keepNext w:val="0"/>
        <w:keepLines w:val="0"/>
        <w:pageBreakBefore w:val="0"/>
        <w:widowControl w:val="0"/>
        <w:kinsoku/>
        <w:wordWrap/>
        <w:overflowPunct/>
        <w:topLinePunct w:val="0"/>
        <w:bidi w:val="0"/>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heme="minorHAnsi" w:hAnsiTheme="minorHAnsi" w:eastAsiaTheme="minorEastAsia" w:cstheme="minorBidi"/>
          <w:kern w:val="2"/>
          <w:sz w:val="32"/>
          <w:szCs w:val="32"/>
          <w:lang w:val="en-US" w:eastAsia="zh-CN" w:bidi="ar-SA"/>
        </w:rPr>
        <w:sectPr>
          <w:footerReference r:id="rId5" w:type="default"/>
          <w:pgSz w:w="11900" w:h="16820"/>
          <w:pgMar w:top="1429" w:right="1470" w:bottom="1205" w:left="1460" w:header="0" w:footer="813" w:gutter="0"/>
          <w:cols w:space="720" w:num="1"/>
        </w:sectPr>
      </w:pPr>
      <w:r>
        <w:rPr>
          <w:rFonts w:hint="eastAsia" w:ascii="仿宋_GB2312" w:hAnsi="仿宋_GB2312" w:eastAsia="仿宋_GB2312" w:cs="仿宋_GB2312"/>
          <w:spacing w:val="0"/>
          <w:sz w:val="32"/>
          <w:szCs w:val="32"/>
        </w:rPr>
        <w:t>环江毛南族自治县档案馆是自治县党委直属正科级财政全额拨款、公益一类事业单位，由自治县党委办公室代管。</w:t>
      </w:r>
      <w:r>
        <w:rPr>
          <w:rFonts w:hint="eastAsia" w:ascii="仿宋_GB2312" w:hAnsi="仿宋_GB2312" w:eastAsia="仿宋_GB2312" w:cs="仿宋_GB2312"/>
          <w:color w:val="auto"/>
          <w:spacing w:val="0"/>
          <w:sz w:val="32"/>
          <w:szCs w:val="32"/>
        </w:rPr>
        <w:t>内设</w:t>
      </w:r>
      <w:r>
        <w:rPr>
          <w:rFonts w:hint="eastAsia" w:ascii="仿宋_GB2312" w:hAnsi="仿宋_GB2312" w:eastAsia="仿宋_GB2312" w:cs="仿宋_GB2312"/>
          <w:color w:val="auto"/>
          <w:spacing w:val="0"/>
          <w:sz w:val="32"/>
          <w:szCs w:val="32"/>
          <w:lang w:val="en-US" w:eastAsia="zh-CN"/>
        </w:rPr>
        <w:t>办公室和</w:t>
      </w:r>
      <w:r>
        <w:rPr>
          <w:rFonts w:hint="eastAsia" w:ascii="仿宋_GB2312" w:hAnsi="仿宋_GB2312" w:eastAsia="仿宋_GB2312" w:cs="仿宋_GB2312"/>
          <w:spacing w:val="0"/>
          <w:sz w:val="32"/>
          <w:szCs w:val="32"/>
        </w:rPr>
        <w:t>档案管理股(信息编研和业务指导股)</w:t>
      </w:r>
      <w:r>
        <w:rPr>
          <w:rFonts w:hint="eastAsia" w:ascii="仿宋_GB2312" w:hAnsi="仿宋_GB2312" w:eastAsia="仿宋_GB2312" w:cs="仿宋_GB2312"/>
          <w:color w:val="auto"/>
          <w:spacing w:val="0"/>
          <w:sz w:val="32"/>
          <w:szCs w:val="32"/>
          <w:lang w:val="en-US" w:eastAsia="zh-CN"/>
        </w:rPr>
        <w:t>两</w:t>
      </w:r>
      <w:r>
        <w:rPr>
          <w:rFonts w:hint="eastAsia" w:ascii="仿宋_GB2312" w:hAnsi="仿宋_GB2312" w:eastAsia="仿宋_GB2312" w:cs="仿宋_GB2312"/>
          <w:color w:val="auto"/>
          <w:spacing w:val="0"/>
          <w:sz w:val="32"/>
          <w:szCs w:val="32"/>
        </w:rPr>
        <w:t>个机构。</w:t>
      </w:r>
      <w:r>
        <w:rPr>
          <w:rFonts w:hint="eastAsia" w:ascii="仿宋" w:hAnsi="仿宋" w:eastAsia="仿宋" w:cs="仿宋"/>
          <w:color w:val="auto"/>
          <w:sz w:val="32"/>
          <w:szCs w:val="32"/>
        </w:rPr>
        <w:t>按照部门决算编报要求，单独编制本部门决算。</w:t>
      </w: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环江毛南族自治县档案馆</w:t>
      </w:r>
      <w:r>
        <w:rPr>
          <w:rFonts w:hint="eastAsia" w:ascii="黑体" w:hAnsi="黑体" w:eastAsia="黑体" w:cs="黑体"/>
          <w:sz w:val="32"/>
          <w:szCs w:val="32"/>
          <w:highlight w:val="none"/>
        </w:rPr>
        <w:t>2022年度部门决算报表</w:t>
      </w:r>
    </w:p>
    <w:tbl>
      <w:tblPr>
        <w:tblStyle w:val="9"/>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广西河池市环江毛南族自治县档案馆</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172.28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172.28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172.28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172.28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172.28</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9"/>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广西河池市环江毛南族自治县档案馆</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172.28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172.28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20126</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档案事务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134.73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134.73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110.77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110.77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2012604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档案馆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9"/>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广西河池市环江毛南族自治县档案馆</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172.28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148.32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23.96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112.03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20126</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档案事务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134.73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110.77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110.77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110.77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2012604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档案馆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9"/>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广西河池市环江毛南族自治县档案馆</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172.28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135.99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135.99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19.14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19.14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172.28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172.28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172.28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172.28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172.28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172.28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9"/>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广西河池市环江毛南族自治县档案馆</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172.28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148.32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23.96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112.03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20126</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档案事务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134.73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2012604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档案馆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9"/>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广西河池市环江毛南族自治县档案馆</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145.65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2.67</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9"/>
        <w:tblW w:w="5025" w:type="pct"/>
        <w:tblInd w:w="0" w:type="dxa"/>
        <w:tblLayout w:type="autofit"/>
        <w:tblCellMar>
          <w:top w:w="0" w:type="dxa"/>
          <w:left w:w="108" w:type="dxa"/>
          <w:bottom w:w="0" w:type="dxa"/>
          <w:right w:w="108" w:type="dxa"/>
        </w:tblCellMar>
      </w:tblPr>
      <w:tblGrid>
        <w:gridCol w:w="1008"/>
        <w:gridCol w:w="368"/>
        <w:gridCol w:w="362"/>
        <w:gridCol w:w="1274"/>
        <w:gridCol w:w="1536"/>
        <w:gridCol w:w="1288"/>
        <w:gridCol w:w="1260"/>
        <w:gridCol w:w="1305"/>
        <w:gridCol w:w="1336"/>
        <w:gridCol w:w="11"/>
        <w:gridCol w:w="1619"/>
        <w:gridCol w:w="2878"/>
      </w:tblGrid>
      <w:tr>
        <w:tblPrEx>
          <w:tblCellMar>
            <w:top w:w="0" w:type="dxa"/>
            <w:left w:w="108" w:type="dxa"/>
            <w:bottom w:w="0" w:type="dxa"/>
            <w:right w:w="108" w:type="dxa"/>
          </w:tblCellMar>
        </w:tblPrEx>
        <w:trPr>
          <w:trHeight w:val="536" w:hRule="atLeast"/>
        </w:trPr>
        <w:tc>
          <w:tcPr>
            <w:tcW w:w="3989" w:type="pct"/>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c>
          <w:tcPr>
            <w:tcW w:w="101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2"/>
                <w:szCs w:val="32"/>
                <w:highlight w:val="none"/>
                <w:lang w:bidi="ar"/>
              </w:rPr>
            </w:pPr>
          </w:p>
        </w:tc>
      </w:tr>
      <w:tr>
        <w:tblPrEx>
          <w:tblCellMar>
            <w:top w:w="0" w:type="dxa"/>
            <w:left w:w="108" w:type="dxa"/>
            <w:bottom w:w="0" w:type="dxa"/>
            <w:right w:w="108" w:type="dxa"/>
          </w:tblCellMar>
        </w:tblPrEx>
        <w:trPr>
          <w:trHeight w:val="268" w:hRule="atLeast"/>
        </w:trPr>
        <w:tc>
          <w:tcPr>
            <w:tcW w:w="35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3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0"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c>
          <w:tcPr>
            <w:tcW w:w="101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kern w:val="0"/>
                <w:sz w:val="20"/>
                <w:szCs w:val="20"/>
                <w:highlight w:val="none"/>
                <w:lang w:bidi="ar"/>
              </w:rPr>
            </w:pPr>
          </w:p>
        </w:tc>
      </w:tr>
      <w:tr>
        <w:tblPrEx>
          <w:tblCellMar>
            <w:top w:w="0" w:type="dxa"/>
            <w:left w:w="108" w:type="dxa"/>
            <w:bottom w:w="0" w:type="dxa"/>
            <w:right w:w="108" w:type="dxa"/>
          </w:tblCellMar>
        </w:tblPrEx>
        <w:trPr>
          <w:trHeight w:val="268" w:hRule="atLeast"/>
        </w:trPr>
        <w:tc>
          <w:tcPr>
            <w:tcW w:w="2490" w:type="pct"/>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广西河池市环江毛南族自治县档案馆</w:t>
            </w:r>
          </w:p>
        </w:tc>
        <w:tc>
          <w:tcPr>
            <w:tcW w:w="45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72"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7"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c>
          <w:tcPr>
            <w:tcW w:w="1010"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kern w:val="0"/>
                <w:sz w:val="20"/>
                <w:szCs w:val="20"/>
                <w:highlight w:val="none"/>
                <w:lang w:bidi="ar"/>
              </w:rPr>
            </w:pPr>
          </w:p>
        </w:tc>
      </w:tr>
      <w:tr>
        <w:tblPrEx>
          <w:tblCellMar>
            <w:top w:w="0" w:type="dxa"/>
            <w:left w:w="108" w:type="dxa"/>
            <w:bottom w:w="0" w:type="dxa"/>
            <w:right w:w="108" w:type="dxa"/>
          </w:tblCellMar>
        </w:tblPrEx>
        <w:trPr>
          <w:trHeight w:val="277" w:hRule="atLeast"/>
        </w:trPr>
        <w:tc>
          <w:tcPr>
            <w:tcW w:w="105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13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12" w:hRule="atLeast"/>
        </w:trPr>
        <w:tc>
          <w:tcPr>
            <w:tcW w:w="48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573"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4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47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48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7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48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72"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77" w:hRule="atLeast"/>
        </w:trPr>
        <w:tc>
          <w:tcPr>
            <w:tcW w:w="105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4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77" w:hRule="atLeast"/>
        </w:trPr>
        <w:tc>
          <w:tcPr>
            <w:tcW w:w="105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0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277" w:hRule="atLeast"/>
        </w:trPr>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83" w:hRule="atLeast"/>
        </w:trPr>
        <w:tc>
          <w:tcPr>
            <w:tcW w:w="3989" w:type="pct"/>
            <w:gridSpan w:val="11"/>
            <w:tcBorders>
              <w:top w:val="nil"/>
              <w:left w:val="nil"/>
              <w:bottom w:val="nil"/>
              <w:right w:val="nil"/>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tc>
        <w:tc>
          <w:tcPr>
            <w:tcW w:w="1010"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9"/>
        <w:tblW w:w="14036" w:type="dxa"/>
        <w:tblInd w:w="0" w:type="dxa"/>
        <w:tblLayout w:type="fixed"/>
        <w:tblCellMar>
          <w:top w:w="0" w:type="dxa"/>
          <w:left w:w="108" w:type="dxa"/>
          <w:bottom w:w="0" w:type="dxa"/>
          <w:right w:w="108" w:type="dxa"/>
        </w:tblCellMar>
      </w:tblPr>
      <w:tblGrid>
        <w:gridCol w:w="96"/>
        <w:gridCol w:w="1438"/>
        <w:gridCol w:w="200"/>
        <w:gridCol w:w="501"/>
        <w:gridCol w:w="285"/>
        <w:gridCol w:w="363"/>
        <w:gridCol w:w="76"/>
        <w:gridCol w:w="1094"/>
        <w:gridCol w:w="790"/>
        <w:gridCol w:w="369"/>
        <w:gridCol w:w="1133"/>
        <w:gridCol w:w="1040"/>
        <w:gridCol w:w="451"/>
        <w:gridCol w:w="615"/>
        <w:gridCol w:w="1161"/>
        <w:gridCol w:w="1053"/>
        <w:gridCol w:w="306"/>
        <w:gridCol w:w="842"/>
        <w:gridCol w:w="1133"/>
        <w:gridCol w:w="1073"/>
        <w:gridCol w:w="17"/>
      </w:tblGrid>
      <w:tr>
        <w:tblPrEx>
          <w:tblCellMar>
            <w:top w:w="0" w:type="dxa"/>
            <w:left w:w="108" w:type="dxa"/>
            <w:bottom w:w="0" w:type="dxa"/>
            <w:right w:w="108" w:type="dxa"/>
          </w:tblCellMar>
        </w:tblPrEx>
        <w:trPr>
          <w:gridBefore w:val="1"/>
          <w:wBefore w:w="96" w:type="dxa"/>
          <w:trHeight w:val="384" w:hRule="atLeast"/>
        </w:trPr>
        <w:tc>
          <w:tcPr>
            <w:tcW w:w="13940" w:type="dxa"/>
            <w:gridSpan w:val="2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gridBefore w:val="1"/>
          <w:wBefore w:w="96" w:type="dxa"/>
          <w:trHeight w:val="264" w:hRule="atLeast"/>
        </w:trPr>
        <w:tc>
          <w:tcPr>
            <w:tcW w:w="2139"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Before w:val="1"/>
          <w:wBefore w:w="96" w:type="dxa"/>
          <w:trHeight w:val="264" w:hRule="atLeast"/>
        </w:trPr>
        <w:tc>
          <w:tcPr>
            <w:tcW w:w="774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广西河池市环江毛南族自治县档案馆</w:t>
            </w:r>
          </w:p>
        </w:tc>
        <w:tc>
          <w:tcPr>
            <w:tcW w:w="3135"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Before w:val="1"/>
          <w:wBefore w:w="96" w:type="dxa"/>
          <w:trHeight w:val="308" w:hRule="atLeast"/>
        </w:trPr>
        <w:tc>
          <w:tcPr>
            <w:tcW w:w="474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1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gridBefore w:val="1"/>
          <w:wBefore w:w="96" w:type="dxa"/>
          <w:trHeight w:val="312" w:hRule="atLeast"/>
        </w:trPr>
        <w:tc>
          <w:tcPr>
            <w:tcW w:w="1638"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6"/>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gridBefore w:val="1"/>
          <w:wBefore w:w="96" w:type="dxa"/>
          <w:trHeight w:val="312" w:hRule="atLeast"/>
        </w:trPr>
        <w:tc>
          <w:tcPr>
            <w:tcW w:w="163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6"/>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wBefore w:w="96" w:type="dxa"/>
          <w:trHeight w:val="312" w:hRule="atLeast"/>
        </w:trPr>
        <w:tc>
          <w:tcPr>
            <w:tcW w:w="163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6"/>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Before w:val="1"/>
          <w:wBefore w:w="96" w:type="dxa"/>
          <w:trHeight w:val="308" w:hRule="atLeast"/>
        </w:trPr>
        <w:tc>
          <w:tcPr>
            <w:tcW w:w="4747"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gridBefore w:val="1"/>
          <w:wBefore w:w="96" w:type="dxa"/>
          <w:trHeight w:val="308" w:hRule="atLeast"/>
        </w:trPr>
        <w:tc>
          <w:tcPr>
            <w:tcW w:w="4747"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Before w:val="1"/>
          <w:wBefore w:w="96" w:type="dxa"/>
          <w:trHeight w:val="308" w:hRule="atLeast"/>
        </w:trPr>
        <w:tc>
          <w:tcPr>
            <w:tcW w:w="163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6"/>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Before w:val="1"/>
          <w:wBefore w:w="96" w:type="dxa"/>
          <w:trHeight w:val="308" w:hRule="atLeast"/>
        </w:trPr>
        <w:tc>
          <w:tcPr>
            <w:tcW w:w="13940" w:type="dxa"/>
            <w:gridSpan w:val="2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2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广西河池市环江毛南族自治县档案馆</w:t>
            </w:r>
          </w:p>
        </w:tc>
        <w:tc>
          <w:tcPr>
            <w:tcW w:w="106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gridSpan w:val="5"/>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gridSpan w:val="5"/>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gridSpan w:val="5"/>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20"/>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环江毛南族自治县档案馆</w:t>
      </w:r>
      <w:r>
        <w:rPr>
          <w:rFonts w:hint="eastAsia" w:ascii="黑体" w:hAnsi="黑体" w:eastAsia="黑体" w:cs="黑体"/>
          <w:sz w:val="32"/>
          <w:szCs w:val="32"/>
          <w:highlight w:val="none"/>
        </w:rPr>
        <w:t>2022年度部门决算情况说明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172.28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增加23.23</w:t>
      </w:r>
      <w:r>
        <w:rPr>
          <w:rFonts w:hint="eastAsia" w:ascii="仿宋" w:hAnsi="仿宋" w:eastAsia="仿宋" w:cs="仿宋"/>
          <w:sz w:val="32"/>
          <w:szCs w:val="32"/>
          <w:highlight w:val="none"/>
        </w:rPr>
        <w:t>万元，</w:t>
      </w:r>
      <w:r>
        <w:rPr>
          <w:rFonts w:ascii="仿宋" w:hAnsi="仿宋" w:eastAsia="仿宋" w:cs="仿宋"/>
          <w:sz w:val="32"/>
          <w:u w:color="auto"/>
        </w:rPr>
        <w:t>增长15.59%</w:t>
      </w:r>
      <w:r>
        <w:rPr>
          <w:rFonts w:hint="eastAsia" w:ascii="仿宋" w:hAnsi="仿宋" w:eastAsia="仿宋" w:cs="仿宋"/>
          <w:sz w:val="32"/>
          <w:szCs w:val="32"/>
          <w:highlight w:val="none"/>
        </w:rPr>
        <w:t>，其中本年收入</w:t>
      </w:r>
      <w:r>
        <w:rPr>
          <w:rFonts w:ascii="仿宋" w:hAnsi="仿宋" w:eastAsia="仿宋" w:cs="仿宋"/>
          <w:sz w:val="32"/>
          <w:u w:color="auto"/>
        </w:rPr>
        <w:t>172.28</w:t>
      </w:r>
      <w:r>
        <w:rPr>
          <w:rFonts w:hint="eastAsia" w:ascii="仿宋" w:hAnsi="仿宋" w:eastAsia="仿宋" w:cs="仿宋"/>
          <w:sz w:val="32"/>
          <w:szCs w:val="32"/>
          <w:highlight w:val="none"/>
        </w:rPr>
        <w:t>万元。收入具体情况如下。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172.28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增加23.64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增长15.90%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spacing w:val="0"/>
          <w:kern w:val="0"/>
          <w:sz w:val="32"/>
          <w:szCs w:val="32"/>
        </w:rPr>
        <w:t>主要原因是</w:t>
      </w:r>
      <w:r>
        <w:rPr>
          <w:rFonts w:hint="eastAsia" w:ascii="仿宋_GB2312" w:hAnsi="仿宋_GB2312" w:eastAsia="仿宋_GB2312" w:cs="仿宋_GB2312"/>
          <w:spacing w:val="0"/>
          <w:sz w:val="32"/>
          <w:szCs w:val="32"/>
        </w:rPr>
        <w:t>人员</w:t>
      </w:r>
      <w:r>
        <w:rPr>
          <w:rFonts w:hint="eastAsia" w:ascii="仿宋_GB2312" w:hAnsi="仿宋_GB2312" w:eastAsia="仿宋_GB2312" w:cs="仿宋_GB2312"/>
          <w:spacing w:val="0"/>
          <w:sz w:val="32"/>
          <w:szCs w:val="32"/>
          <w:lang w:val="en-US" w:eastAsia="zh-CN"/>
        </w:rPr>
        <w:t>增加</w:t>
      </w:r>
      <w:r>
        <w:rPr>
          <w:rFonts w:hint="eastAsia" w:ascii="仿宋_GB2312" w:hAnsi="仿宋_GB2312" w:eastAsia="仿宋_GB2312" w:cs="仿宋_GB2312"/>
          <w:spacing w:val="0"/>
          <w:sz w:val="32"/>
          <w:szCs w:val="32"/>
        </w:rPr>
        <w:t>，人员经费</w:t>
      </w:r>
      <w:r>
        <w:rPr>
          <w:rFonts w:hint="eastAsia" w:ascii="仿宋_GB2312" w:hAnsi="仿宋_GB2312" w:eastAsia="仿宋_GB2312" w:cs="仿宋_GB2312"/>
          <w:spacing w:val="0"/>
          <w:sz w:val="32"/>
          <w:szCs w:val="32"/>
          <w:lang w:val="en-US" w:eastAsia="zh-CN"/>
        </w:rPr>
        <w:t>增加</w:t>
      </w:r>
      <w:r>
        <w:rPr>
          <w:rFonts w:hint="eastAsia" w:ascii="仿宋_GB2312" w:hAnsi="仿宋_GB2312" w:eastAsia="仿宋_GB2312" w:cs="仿宋_GB2312"/>
          <w:spacing w:val="0"/>
          <w:kern w:val="0"/>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auto"/>
          <w:kern w:val="2"/>
          <w:sz w:val="21"/>
          <w:szCs w:val="21"/>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sz w:val="32"/>
          <w:szCs w:val="32"/>
          <w:highlight w:val="none"/>
          <w:lang w:val="en-US" w:eastAsia="zh-CN"/>
        </w:rPr>
        <w:t>本部门</w:t>
      </w:r>
      <w:r>
        <w:rPr>
          <w:rFonts w:hint="default" w:ascii="仿宋" w:hAnsi="仿宋" w:eastAsia="仿宋" w:cs="仿宋"/>
          <w:sz w:val="32"/>
          <w:szCs w:val="32"/>
          <w:highlight w:val="none"/>
          <w:lang w:val="en-US" w:eastAsia="zh-CN"/>
        </w:rPr>
        <w:t>2022</w:t>
      </w:r>
      <w:r>
        <w:rPr>
          <w:rFonts w:hint="eastAsia" w:ascii="仿宋" w:hAnsi="仿宋" w:eastAsia="仿宋" w:cs="仿宋"/>
          <w:sz w:val="32"/>
          <w:szCs w:val="32"/>
          <w:highlight w:val="none"/>
          <w:lang w:val="en-US" w:eastAsia="zh-CN"/>
        </w:rPr>
        <w:t>年度没有政府性基金预算财政拨款收入，也没有政府性基金预算财政拨款安排的支出。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本部门</w:t>
      </w:r>
      <w:r>
        <w:rPr>
          <w:rFonts w:hint="default" w:ascii="仿宋" w:hAnsi="仿宋" w:eastAsia="仿宋" w:cs="仿宋"/>
          <w:sz w:val="32"/>
          <w:szCs w:val="32"/>
          <w:highlight w:val="none"/>
          <w:lang w:val="en-US" w:eastAsia="zh-CN"/>
        </w:rPr>
        <w:t>2022</w:t>
      </w:r>
      <w:r>
        <w:rPr>
          <w:rFonts w:hint="eastAsia" w:ascii="仿宋" w:hAnsi="仿宋" w:eastAsia="仿宋" w:cs="仿宋"/>
          <w:sz w:val="32"/>
          <w:szCs w:val="32"/>
          <w:highlight w:val="none"/>
          <w:lang w:val="en-US" w:eastAsia="zh-CN"/>
        </w:rPr>
        <w:t>年度没有国有资本经营预算财政拨款收入，也没有国有资本经营预算财政拨款安排的支出，故本表无数据。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本部门没有上级补助收入。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w:t>
      </w:r>
      <w:r>
        <w:rPr>
          <w:rFonts w:hint="eastAsia" w:ascii="仿宋" w:hAnsi="仿宋" w:eastAsia="仿宋" w:cs="仿宋"/>
          <w:color w:val="auto"/>
          <w:kern w:val="2"/>
          <w:sz w:val="32"/>
          <w:szCs w:val="32"/>
          <w:highlight w:val="none"/>
          <w:lang w:val="en-US" w:eastAsia="zh-CN" w:bidi="ar"/>
        </w:rPr>
        <w:t>原因是：本部门位没有事业收入。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本部门位没有经营性收入。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w:t>
      </w:r>
      <w:r>
        <w:rPr>
          <w:rFonts w:hint="eastAsia" w:ascii="仿宋" w:hAnsi="仿宋" w:eastAsia="仿宋" w:cs="仿宋"/>
          <w:color w:val="auto"/>
          <w:kern w:val="2"/>
          <w:sz w:val="32"/>
          <w:szCs w:val="32"/>
          <w:highlight w:val="none"/>
          <w:lang w:val="en-US" w:eastAsia="zh-CN" w:bidi="ar"/>
        </w:rPr>
        <w:t>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，主要原因是：本部门位无附属单位上缴收入。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，主要原因是：本部门位没有其他收入。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，主要原因是：本部门位没有非财政拨款结余。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减少0.41</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下降100.00%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956810" cy="3429000"/>
            <wp:effectExtent l="4445" t="4445" r="1079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172.28</w:t>
      </w:r>
      <w:r>
        <w:rPr>
          <w:rFonts w:hint="eastAsia" w:ascii="仿宋" w:hAnsi="仿宋" w:eastAsia="仿宋" w:cs="仿宋"/>
          <w:sz w:val="32"/>
          <w:szCs w:val="32"/>
          <w:highlight w:val="none"/>
        </w:rPr>
        <w:t>万元，其中本年支出</w:t>
      </w:r>
      <w:r>
        <w:rPr>
          <w:rFonts w:ascii="仿宋" w:hAnsi="仿宋" w:eastAsia="仿宋" w:cs="仿宋"/>
          <w:sz w:val="32"/>
          <w:u w:color="auto"/>
        </w:rPr>
        <w:t>172.28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增加23.23</w:t>
      </w:r>
      <w:r>
        <w:rPr>
          <w:rFonts w:hint="eastAsia" w:ascii="仿宋" w:hAnsi="仿宋" w:eastAsia="仿宋" w:cs="仿宋"/>
          <w:sz w:val="32"/>
          <w:szCs w:val="32"/>
          <w:highlight w:val="none"/>
        </w:rPr>
        <w:t>万元，</w:t>
      </w:r>
      <w:r>
        <w:rPr>
          <w:rFonts w:ascii="仿宋" w:hAnsi="仿宋" w:eastAsia="仿宋" w:cs="仿宋"/>
          <w:sz w:val="32"/>
          <w:u w:color="auto"/>
        </w:rPr>
        <w:t>增长15.59%</w:t>
      </w:r>
      <w:r>
        <w:rPr>
          <w:rFonts w:hint="eastAsia" w:ascii="仿宋" w:hAnsi="仿宋" w:eastAsia="仿宋" w:cs="仿宋"/>
          <w:sz w:val="32"/>
          <w:szCs w:val="32"/>
          <w:highlight w:val="none"/>
        </w:rPr>
        <w:t>。支出具体情况如下：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135.99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pacing w:val="0"/>
          <w:kern w:val="0"/>
          <w:sz w:val="32"/>
          <w:szCs w:val="32"/>
        </w:rPr>
        <w:t>主要用于</w:t>
      </w:r>
      <w:r>
        <w:rPr>
          <w:rFonts w:hint="eastAsia" w:ascii="仿宋_GB2312" w:hAnsi="仿宋_GB2312" w:eastAsia="仿宋_GB2312" w:cs="仿宋_GB2312"/>
          <w:spacing w:val="0"/>
          <w:sz w:val="32"/>
          <w:szCs w:val="32"/>
        </w:rPr>
        <w:t>档案</w:t>
      </w:r>
      <w:r>
        <w:rPr>
          <w:rFonts w:hint="eastAsia" w:ascii="仿宋_GB2312" w:hAnsi="仿宋_GB2312" w:eastAsia="仿宋_GB2312" w:cs="仿宋_GB2312"/>
          <w:spacing w:val="0"/>
          <w:sz w:val="32"/>
          <w:szCs w:val="32"/>
          <w:lang w:val="en-US" w:eastAsia="zh-CN"/>
        </w:rPr>
        <w:t>馆</w:t>
      </w:r>
      <w:r>
        <w:rPr>
          <w:rFonts w:hint="eastAsia" w:ascii="仿宋_GB2312" w:hAnsi="仿宋_GB2312" w:eastAsia="仿宋_GB2312" w:cs="仿宋_GB2312"/>
          <w:spacing w:val="0"/>
          <w:sz w:val="32"/>
          <w:szCs w:val="32"/>
        </w:rPr>
        <w:t>机关为保证日常运转发生的基本支出，如根据国家规定的基本工资和津补贴标准等安排的人员经费支出；确保档案</w:t>
      </w:r>
      <w:r>
        <w:rPr>
          <w:rFonts w:hint="eastAsia" w:ascii="仿宋_GB2312" w:hAnsi="仿宋_GB2312" w:eastAsia="仿宋_GB2312" w:cs="仿宋_GB2312"/>
          <w:spacing w:val="0"/>
          <w:sz w:val="32"/>
          <w:szCs w:val="32"/>
          <w:lang w:val="en-US" w:eastAsia="zh-CN"/>
        </w:rPr>
        <w:t>馆</w:t>
      </w:r>
      <w:r>
        <w:rPr>
          <w:rFonts w:hint="eastAsia" w:ascii="仿宋_GB2312" w:hAnsi="仿宋_GB2312" w:eastAsia="仿宋_GB2312" w:cs="仿宋_GB2312"/>
          <w:spacing w:val="0"/>
          <w:sz w:val="32"/>
          <w:szCs w:val="32"/>
        </w:rPr>
        <w:t>机关正常运转的办公费、印刷费、水电费、培训费、差旅费、会议费等日常公用经费支出。档案馆馆内基础建设经费（包含档案库房设施设备购置和维护、档案数字化、档案消毒等档案抢救和安全保管等）；档案征集、档案培训、档案宣传和指导等业务工作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增加25.17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增长22.71%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spacing w:val="0"/>
          <w:sz w:val="32"/>
          <w:szCs w:val="32"/>
        </w:rPr>
        <w:t>人员</w:t>
      </w:r>
      <w:r>
        <w:rPr>
          <w:rFonts w:hint="eastAsia" w:ascii="仿宋_GB2312" w:hAnsi="仿宋_GB2312" w:eastAsia="仿宋_GB2312" w:cs="仿宋_GB2312"/>
          <w:spacing w:val="0"/>
          <w:sz w:val="32"/>
          <w:szCs w:val="32"/>
          <w:lang w:val="en-US" w:eastAsia="zh-CN"/>
        </w:rPr>
        <w:t>增加</w:t>
      </w:r>
      <w:r>
        <w:rPr>
          <w:rFonts w:hint="eastAsia" w:ascii="仿宋_GB2312" w:hAnsi="仿宋_GB2312" w:eastAsia="仿宋_GB2312" w:cs="仿宋_GB2312"/>
          <w:spacing w:val="0"/>
          <w:sz w:val="32"/>
          <w:szCs w:val="32"/>
        </w:rPr>
        <w:t>，人员经费</w:t>
      </w:r>
      <w:r>
        <w:rPr>
          <w:rFonts w:hint="eastAsia" w:ascii="仿宋_GB2312" w:hAnsi="仿宋_GB2312" w:eastAsia="仿宋_GB2312" w:cs="仿宋_GB2312"/>
          <w:spacing w:val="0"/>
          <w:sz w:val="32"/>
          <w:szCs w:val="32"/>
          <w:lang w:val="en-US" w:eastAsia="zh-CN"/>
        </w:rPr>
        <w:t>支出增加</w:t>
      </w:r>
      <w:r>
        <w:rPr>
          <w:rFonts w:hint="eastAsia" w:ascii="仿宋_GB2312" w:hAnsi="仿宋_GB2312" w:eastAsia="仿宋_GB2312" w:cs="仿宋_GB2312"/>
          <w:spacing w:val="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spacing w:val="0"/>
          <w:sz w:val="32"/>
          <w:szCs w:val="32"/>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10.09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主要</w:t>
      </w:r>
      <w:r>
        <w:rPr>
          <w:rFonts w:hint="eastAsia" w:ascii="仿宋" w:hAnsi="仿宋" w:eastAsia="仿宋" w:cs="仿宋"/>
          <w:sz w:val="32"/>
          <w:szCs w:val="32"/>
          <w:highlight w:val="none"/>
          <w:lang w:val="en-US" w:eastAsia="zh-CN" w:bidi="ar"/>
        </w:rPr>
        <w:t>用于职工基本养老保险缴费支出</w:t>
      </w:r>
      <w:r>
        <w:rPr>
          <w:rFonts w:hint="eastAsia" w:ascii="仿宋" w:hAnsi="仿宋" w:eastAsia="仿宋" w:cs="仿宋"/>
          <w:sz w:val="32"/>
          <w:szCs w:val="32"/>
          <w:highlight w:val="none"/>
          <w:lang w:bidi="ar"/>
        </w:rPr>
        <w:t>。</w:t>
      </w:r>
      <w:r>
        <w:rPr>
          <w:rFonts w:hint="eastAsia" w:ascii="仿宋" w:hAnsi="仿宋" w:eastAsia="仿宋" w:cs="仿宋"/>
          <w:color w:val="auto"/>
          <w:sz w:val="32"/>
          <w:szCs w:val="32"/>
          <w:highlight w:val="none"/>
        </w:rPr>
        <w:t>较2</w:t>
      </w:r>
      <w:r>
        <w:rPr>
          <w:rFonts w:hint="eastAsia" w:ascii="仿宋" w:hAnsi="仿宋" w:eastAsia="仿宋" w:cs="仿宋"/>
          <w:sz w:val="32"/>
          <w:szCs w:val="32"/>
          <w:highlight w:val="none"/>
        </w:rPr>
        <w:t>021年度决算数</w:t>
      </w:r>
      <w:r>
        <w:rPr>
          <w:rFonts w:hint="eastAsia" w:ascii="仿宋" w:hAnsi="仿宋" w:eastAsia="仿宋" w:cs="仿宋"/>
          <w:sz w:val="32"/>
          <w:szCs w:val="32"/>
          <w:highlight w:val="none"/>
          <w:lang w:bidi="ar"/>
        </w:rPr>
        <w:t>增加1.27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增长14.40%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spacing w:val="0"/>
          <w:sz w:val="32"/>
          <w:szCs w:val="32"/>
        </w:rPr>
        <w:t>人员</w:t>
      </w:r>
      <w:r>
        <w:rPr>
          <w:rFonts w:hint="eastAsia" w:ascii="仿宋_GB2312" w:hAnsi="仿宋_GB2312" w:eastAsia="仿宋_GB2312" w:cs="仿宋_GB2312"/>
          <w:spacing w:val="0"/>
          <w:sz w:val="32"/>
          <w:szCs w:val="32"/>
          <w:lang w:val="en-US" w:eastAsia="zh-CN"/>
        </w:rPr>
        <w:t>增加</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基本养老保险缴费支出增加</w:t>
      </w:r>
      <w:r>
        <w:rPr>
          <w:rFonts w:hint="eastAsia" w:ascii="仿宋_GB2312" w:hAnsi="仿宋_GB2312" w:eastAsia="仿宋_GB2312" w:cs="仿宋_GB2312"/>
          <w:spacing w:val="0"/>
          <w:sz w:val="32"/>
          <w:szCs w:val="32"/>
        </w:rPr>
        <w:t>。</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7.06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主要用于单位职工住房公积金缴费支出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增加0.45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增长6.81%</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主要原因是：人员增加，支付公积金缴费支出增加。</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19.14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主要用于单位奖励性绩效考核支出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减少3.66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下降16.05%</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主要原因是：2022年奖励性绩效考评基数下调。</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0" w:firstLineChars="200"/>
        <w:jc w:val="both"/>
        <w:textAlignment w:val="auto"/>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w:t>
      </w:r>
      <w:r>
        <w:rPr>
          <w:rFonts w:hint="default" w:ascii="仿宋_GB2312" w:hAnsi="微软雅黑" w:eastAsia="仿宋_GB2312" w:cs="仿宋_GB2312"/>
          <w:i w:val="0"/>
          <w:iCs w:val="0"/>
          <w:caps w:val="0"/>
          <w:color w:val="000000"/>
          <w:spacing w:val="0"/>
          <w:sz w:val="31"/>
          <w:szCs w:val="31"/>
          <w:highlight w:val="none"/>
          <w:shd w:val="clear" w:color="auto" w:fill="FFFFFF"/>
        </w:rPr>
        <w:t>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本部门</w:t>
      </w:r>
      <w:r>
        <w:rPr>
          <w:rFonts w:hint="eastAsia" w:ascii="仿宋_GB2312" w:hAnsi="仿宋_GB2312" w:eastAsia="仿宋_GB2312" w:cs="仿宋_GB2312"/>
          <w:spacing w:val="0"/>
          <w:sz w:val="32"/>
          <w:szCs w:val="32"/>
          <w:lang w:val="en-US" w:eastAsia="zh-CN"/>
        </w:rPr>
        <w:t>位无结余分配情况</w:t>
      </w:r>
      <w:r>
        <w:rPr>
          <w:rFonts w:hint="eastAsia" w:ascii="仿宋_GB2312" w:hAnsi="仿宋_GB2312" w:eastAsia="仿宋_GB2312" w:cs="仿宋_GB2312"/>
          <w:spacing w:val="0"/>
          <w:kern w:val="0"/>
          <w:sz w:val="32"/>
          <w:szCs w:val="32"/>
        </w:rPr>
        <w:t>。</w:t>
      </w: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13275" cy="2784475"/>
            <wp:effectExtent l="4445" t="5080" r="1143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环江毛南族自治县档案馆2022年度一般公共预算财政拨款支出</w:t>
      </w:r>
      <w:r>
        <w:rPr>
          <w:rFonts w:ascii="仿宋" w:hAnsi="仿宋" w:eastAsia="仿宋" w:cs="仿宋"/>
          <w:sz w:val="32"/>
          <w:u w:color="auto"/>
        </w:rPr>
        <w:t>172.28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增加23.23</w:t>
      </w:r>
      <w:r>
        <w:rPr>
          <w:rFonts w:hint="eastAsia" w:ascii="仿宋" w:hAnsi="仿宋" w:eastAsia="仿宋" w:cs="仿宋"/>
          <w:sz w:val="32"/>
          <w:szCs w:val="32"/>
          <w:highlight w:val="none"/>
        </w:rPr>
        <w:t>万元，</w:t>
      </w:r>
      <w:r>
        <w:rPr>
          <w:rFonts w:ascii="仿宋" w:hAnsi="仿宋" w:eastAsia="仿宋" w:cs="仿宋"/>
          <w:sz w:val="32"/>
          <w:u w:color="auto"/>
        </w:rPr>
        <w:t>增长15.59%</w:t>
      </w:r>
      <w:r>
        <w:rPr>
          <w:rFonts w:hint="eastAsia" w:ascii="仿宋" w:hAnsi="仿宋" w:eastAsia="仿宋" w:cs="仿宋"/>
          <w:sz w:val="32"/>
          <w:szCs w:val="32"/>
          <w:highlight w:val="none"/>
        </w:rPr>
        <w:t>。其中：基本支出</w:t>
      </w:r>
      <w:r>
        <w:rPr>
          <w:rFonts w:ascii="仿宋" w:hAnsi="仿宋" w:eastAsia="仿宋" w:cs="仿宋"/>
          <w:sz w:val="32"/>
          <w:u w:color="auto"/>
        </w:rPr>
        <w:t>148.32</w:t>
      </w:r>
      <w:r>
        <w:rPr>
          <w:rFonts w:hint="eastAsia" w:ascii="仿宋" w:hAnsi="仿宋" w:eastAsia="仿宋" w:cs="仿宋"/>
          <w:sz w:val="32"/>
          <w:szCs w:val="32"/>
          <w:highlight w:val="none"/>
        </w:rPr>
        <w:t>万元，项目支出</w:t>
      </w:r>
      <w:r>
        <w:rPr>
          <w:rFonts w:ascii="仿宋" w:hAnsi="仿宋" w:eastAsia="仿宋" w:cs="仿宋"/>
          <w:sz w:val="32"/>
          <w:u w:color="auto"/>
        </w:rPr>
        <w:t>23.96</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highlight w:val="none"/>
        </w:rPr>
      </w:pPr>
      <w:r>
        <w:rPr>
          <w:rFonts w:hint="eastAsia" w:ascii="仿宋" w:hAnsi="仿宋" w:eastAsia="仿宋" w:cs="仿宋"/>
          <w:sz w:val="32"/>
          <w:szCs w:val="32"/>
          <w:highlight w:val="none"/>
        </w:rPr>
        <w:t>环江毛南族自治县档案馆2022 年度一般公共预算财政拨款支出年初预算为</w:t>
      </w:r>
      <w:r>
        <w:rPr>
          <w:rFonts w:ascii="仿宋" w:hAnsi="仿宋" w:eastAsia="仿宋" w:cs="仿宋"/>
          <w:sz w:val="32"/>
          <w:u w:color="auto"/>
        </w:rPr>
        <w:t>125.71</w:t>
      </w:r>
      <w:r>
        <w:rPr>
          <w:rFonts w:hint="eastAsia" w:ascii="仿宋" w:hAnsi="仿宋" w:eastAsia="仿宋" w:cs="仿宋"/>
          <w:sz w:val="32"/>
          <w:szCs w:val="32"/>
          <w:highlight w:val="none"/>
        </w:rPr>
        <w:t>万元，支出决算为</w:t>
      </w:r>
      <w:r>
        <w:rPr>
          <w:rFonts w:ascii="仿宋" w:hAnsi="仿宋" w:eastAsia="仿宋" w:cs="仿宋"/>
          <w:sz w:val="32"/>
          <w:u w:color="auto"/>
        </w:rPr>
        <w:t>172.28</w:t>
      </w:r>
      <w:r>
        <w:rPr>
          <w:rFonts w:hint="eastAsia" w:ascii="仿宋" w:hAnsi="仿宋" w:eastAsia="仿宋" w:cs="仿宋"/>
          <w:sz w:val="32"/>
          <w:szCs w:val="32"/>
          <w:highlight w:val="none"/>
        </w:rPr>
        <w:t>万元，完成年初预算的</w:t>
      </w:r>
      <w:r>
        <w:rPr>
          <w:rFonts w:ascii="仿宋" w:hAnsi="仿宋" w:eastAsia="仿宋" w:cs="仿宋"/>
          <w:sz w:val="32"/>
          <w:u w:color="auto"/>
        </w:rPr>
        <w:t>137.05%</w:t>
      </w:r>
      <w:r>
        <w:rPr>
          <w:rFonts w:hint="eastAsia" w:ascii="仿宋" w:hAnsi="仿宋" w:eastAsia="仿宋" w:cs="仿宋"/>
          <w:sz w:val="32"/>
          <w:szCs w:val="32"/>
          <w:highlight w:val="none"/>
        </w:rPr>
        <w:t>。</w:t>
      </w:r>
      <w:bookmarkStart w:id="3" w:name="OLE_LINK2"/>
      <w:bookmarkEnd w:id="3"/>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left"/>
        <w:textAlignment w:val="auto"/>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108.05</w:t>
      </w:r>
      <w:r>
        <w:rPr>
          <w:rFonts w:hint="eastAsia" w:ascii="仿宋" w:hAnsi="仿宋" w:eastAsia="仿宋"/>
          <w:sz w:val="32"/>
          <w:szCs w:val="32"/>
          <w:highlight w:val="none"/>
        </w:rPr>
        <w:t>万元，支出决算为</w:t>
      </w:r>
      <w:r>
        <w:rPr>
          <w:rFonts w:ascii="仿宋" w:hAnsi="仿宋" w:eastAsia="仿宋"/>
          <w:sz w:val="32"/>
          <w:szCs w:val="32"/>
          <w:highlight w:val="none"/>
        </w:rPr>
        <w:t>135.99</w:t>
      </w:r>
      <w:r>
        <w:rPr>
          <w:rFonts w:hint="eastAsia" w:ascii="仿宋" w:hAnsi="仿宋" w:eastAsia="仿宋"/>
          <w:sz w:val="32"/>
          <w:szCs w:val="32"/>
          <w:highlight w:val="none"/>
        </w:rPr>
        <w:t>万元，完成年初预算的</w:t>
      </w:r>
      <w:r>
        <w:rPr>
          <w:rFonts w:ascii="仿宋" w:hAnsi="仿宋" w:eastAsia="仿宋"/>
          <w:sz w:val="32"/>
          <w:szCs w:val="32"/>
          <w:highlight w:val="none"/>
        </w:rPr>
        <w:t>125.86%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w:t>
      </w:r>
      <w:r>
        <w:rPr>
          <w:rFonts w:hint="eastAsia" w:ascii="仿宋" w:hAnsi="仿宋" w:eastAsia="仿宋"/>
          <w:color w:val="auto"/>
          <w:sz w:val="32"/>
          <w:szCs w:val="32"/>
          <w:highlight w:val="none"/>
        </w:rPr>
        <w:t>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2022年人员增加，人员费用增加，行政运行增加；申请追加项目10万元，故档案馆项目费用增加。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rPr>
      </w:pPr>
    </w:p>
    <w:tbl>
      <w:tblPr>
        <w:tblStyle w:val="9"/>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80.79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110.77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137.11%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用于人员费用支出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2022年增加2位职工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2012604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档案馆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92.15%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2022年追加项目支出10万元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135.99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10.09</w:t>
      </w:r>
      <w:r>
        <w:rPr>
          <w:rFonts w:hint="eastAsia" w:ascii="仿宋" w:hAnsi="仿宋" w:eastAsia="仿宋"/>
          <w:sz w:val="32"/>
          <w:szCs w:val="32"/>
          <w:highlight w:val="none"/>
        </w:rPr>
        <w:t>万元，支出决算为</w:t>
      </w:r>
      <w:r>
        <w:rPr>
          <w:rFonts w:ascii="仿宋" w:hAnsi="仿宋" w:eastAsia="仿宋"/>
          <w:sz w:val="32"/>
          <w:szCs w:val="32"/>
          <w:highlight w:val="none"/>
        </w:rPr>
        <w:t>10.09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9"/>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完成100%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9108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19" w:firstLineChars="131"/>
        <w:jc w:val="left"/>
        <w:rPr>
          <w:rFonts w:hint="eastAsia" w:ascii="仿宋" w:hAnsi="仿宋" w:eastAsia="仿宋"/>
          <w:sz w:val="32"/>
          <w:szCs w:val="32"/>
          <w:highlight w:val="none"/>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7.57</w:t>
      </w:r>
      <w:r>
        <w:rPr>
          <w:rFonts w:hint="eastAsia" w:ascii="仿宋" w:hAnsi="仿宋" w:eastAsia="仿宋"/>
          <w:sz w:val="32"/>
          <w:szCs w:val="32"/>
          <w:highlight w:val="none"/>
        </w:rPr>
        <w:t>万元，支出决算为</w:t>
      </w:r>
      <w:r>
        <w:rPr>
          <w:rFonts w:ascii="仿宋" w:hAnsi="仿宋" w:eastAsia="仿宋"/>
          <w:sz w:val="32"/>
          <w:szCs w:val="32"/>
          <w:highlight w:val="none"/>
        </w:rPr>
        <w:t>7.06</w:t>
      </w:r>
      <w:r>
        <w:rPr>
          <w:rFonts w:hint="eastAsia" w:ascii="仿宋" w:hAnsi="仿宋" w:eastAsia="仿宋"/>
          <w:sz w:val="32"/>
          <w:szCs w:val="32"/>
          <w:highlight w:val="none"/>
        </w:rPr>
        <w:t>万元，完成年初预算的</w:t>
      </w:r>
      <w:r>
        <w:rPr>
          <w:rFonts w:ascii="仿宋" w:hAnsi="仿宋" w:eastAsia="仿宋"/>
          <w:sz w:val="32"/>
          <w:szCs w:val="32"/>
          <w:highlight w:val="none"/>
        </w:rPr>
        <w:t>93.26%</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9"/>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93.26%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单位住房公积金缴纳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预算差异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7.57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6382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0"/>
        <w:jc w:val="both"/>
        <w:textAlignment w:val="auto"/>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19.14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9"/>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用于奖励性绩效支出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环江毛南族自治县档案馆2022年度一般公共预算财政拨款基本支出</w:t>
      </w:r>
      <w:r>
        <w:rPr>
          <w:rFonts w:ascii="仿宋" w:hAnsi="仿宋" w:eastAsia="仿宋" w:cs="仿宋"/>
          <w:sz w:val="32"/>
          <w:u w:color="auto"/>
        </w:rPr>
        <w:t>148.32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145.65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2.67</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ascii="仿宋" w:hAnsi="仿宋" w:eastAsia="仿宋" w:cs="仿宋"/>
          <w:sz w:val="32"/>
          <w:u w:color="auto"/>
        </w:rPr>
        <w:t>113.16万元，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136.09%</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主要原因是：2022年增加人员2人。</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30101基本工资28.56万元，30102津贴补</w:t>
      </w:r>
      <w:r>
        <w:rPr>
          <w:rFonts w:hint="eastAsia" w:ascii="仿宋" w:hAnsi="仿宋" w:eastAsia="仿宋" w:cs="仿宋"/>
          <w:sz w:val="32"/>
          <w:szCs w:val="32"/>
          <w:highlight w:val="none"/>
          <w:lang w:val="en-US" w:eastAsia="zh-CN"/>
        </w:rPr>
        <w:t>贴32.11万元，30103奖金20.27万元，30108机关事业单位基本养老保险缴费11.31万元，30110职工基本医疗保险缴费4.52万元，30112其他社会保障缴费0.27万元，30113住房公积金7.06万元，30199其他工资福利支出9.06万元。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44800"/>
            <wp:effectExtent l="4445" t="4445" r="16510" b="825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ascii="仿宋" w:hAnsi="仿宋" w:eastAsia="仿宋" w:cs="仿宋"/>
          <w:sz w:val="32"/>
          <w:u w:color="auto"/>
        </w:rPr>
        <w:t>2.67万元，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26.38%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主要原因是：按实际费用支出，预决算存在差异。</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30201办公费0.04万元，30205水费0.09万元，30206电费0.19万元，30207邮电费1.09万元，30228工会经费1.26万元。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69210"/>
            <wp:effectExtent l="4445" t="4445" r="16510" b="1714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ascii="仿宋" w:hAnsi="仿宋" w:eastAsia="仿宋" w:cs="仿宋"/>
          <w:sz w:val="32"/>
          <w:u w:color="auto"/>
        </w:rPr>
        <w:t>32.49万元，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504.5%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主要原因是：2022年一名退休人员死亡，抚恤金24.64万元。</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30304抚恤金24.64万元，30305生活补助6.70万元，30399其他对个人和家庭的补助1.15万元。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35275"/>
            <wp:effectExtent l="4445" t="4445" r="16510"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both"/>
        <w:textAlignment w:val="auto"/>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本部门无</w:t>
      </w:r>
      <w:r>
        <w:rPr>
          <w:rFonts w:hint="eastAsia" w:ascii="仿宋" w:hAnsi="仿宋" w:eastAsia="仿宋" w:cs="仿宋"/>
          <w:color w:val="auto"/>
          <w:sz w:val="32"/>
          <w:szCs w:val="32"/>
          <w:highlight w:val="none"/>
        </w:rPr>
        <w:t>债务利</w:t>
      </w:r>
      <w:r>
        <w:rPr>
          <w:rFonts w:hint="eastAsia" w:ascii="仿宋" w:hAnsi="仿宋" w:eastAsia="仿宋" w:cs="仿宋"/>
          <w:sz w:val="32"/>
          <w:szCs w:val="32"/>
          <w:highlight w:val="none"/>
        </w:rPr>
        <w:t>息及费用支出</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25750"/>
            <wp:effectExtent l="4445" t="4445" r="16510" b="825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本部门无</w:t>
      </w: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257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both"/>
        <w:textAlignment w:val="auto"/>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本部门无</w:t>
      </w:r>
      <w:r>
        <w:rPr>
          <w:rFonts w:hint="eastAsia" w:ascii="仿宋" w:hAnsi="仿宋" w:eastAsia="仿宋" w:cs="仿宋"/>
          <w:color w:val="auto"/>
          <w:sz w:val="32"/>
          <w:szCs w:val="32"/>
          <w:highlight w:val="none"/>
        </w:rPr>
        <w:t>其他支出</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环江毛南族自治县档案馆2022年度政府性基金支出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环江毛南族自治县档案馆2022年度政府性基金支出年初预算为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val="en-US" w:eastAsia="zh-CN"/>
        </w:rPr>
        <w:t>注：</w:t>
      </w:r>
      <w:r>
        <w:rPr>
          <w:rFonts w:hint="eastAsia" w:ascii="仿宋_GB2312" w:hAnsi="Times New Roman" w:eastAsia="仿宋_GB2312" w:cs="Times New Roman"/>
          <w:color w:val="auto"/>
          <w:sz w:val="32"/>
          <w:szCs w:val="32"/>
        </w:rPr>
        <w:t>环江毛南族自治县档案馆</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环江毛南族自治县档案馆2022年度国有资本经营预算支出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环江毛南族自治县档案馆2022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lang w:val="en-US" w:eastAsia="zh-CN"/>
        </w:rPr>
        <w:t>注：</w:t>
      </w:r>
      <w:r>
        <w:rPr>
          <w:rFonts w:hint="eastAsia" w:ascii="仿宋_GB2312" w:hAnsi="Times New Roman" w:eastAsia="仿宋_GB2312" w:cs="Times New Roman"/>
          <w:color w:val="auto"/>
          <w:sz w:val="32"/>
          <w:szCs w:val="32"/>
        </w:rPr>
        <w:t>环江毛南族自治县档案馆</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r>
        <w:rPr>
          <w:rFonts w:hint="eastAsia" w:ascii="仿宋_GB2312" w:hAnsi="Times New Roman" w:eastAsia="仿宋_GB2312" w:cs="Times New Roman"/>
          <w:color w:val="auto"/>
          <w:sz w:val="32"/>
          <w:szCs w:val="32"/>
          <w:lang w:eastAsia="zh-CN"/>
        </w:rPr>
        <w:t>。</w:t>
      </w:r>
      <w:bookmarkEnd w:id="4"/>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减少0.32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本部门</w:t>
      </w:r>
      <w:r>
        <w:rPr>
          <w:rFonts w:hint="default" w:ascii="仿宋" w:hAnsi="仿宋" w:eastAsia="仿宋" w:cs="仿宋"/>
          <w:sz w:val="32"/>
          <w:szCs w:val="32"/>
          <w:highlight w:val="none"/>
          <w:lang w:val="en-US" w:eastAsia="zh-CN"/>
        </w:rPr>
        <w:t>2022</w:t>
      </w:r>
      <w:r>
        <w:rPr>
          <w:rFonts w:hint="eastAsia" w:ascii="仿宋" w:hAnsi="仿宋" w:eastAsia="仿宋" w:cs="仿宋"/>
          <w:sz w:val="32"/>
          <w:szCs w:val="32"/>
          <w:highlight w:val="none"/>
          <w:lang w:val="en-US" w:eastAsia="zh-CN"/>
        </w:rPr>
        <w:t>年度没有财政拨款“三公”经费收入，也没有财政拨款“三公”经费安排的支出。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原因是：本部门无</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sz w:val="32"/>
          <w:szCs w:val="32"/>
          <w:highlight w:val="none"/>
        </w:rPr>
        <w:t>2022年，</w:t>
      </w: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及</w:t>
      </w:r>
      <w:r>
        <w:rPr>
          <w:rFonts w:hint="eastAsia" w:ascii="仿宋" w:hAnsi="仿宋" w:eastAsia="仿宋" w:cs="仿宋"/>
          <w:sz w:val="32"/>
          <w:szCs w:val="32"/>
          <w:highlight w:val="none"/>
          <w:lang w:val="en-US" w:eastAsia="zh-CN"/>
        </w:rPr>
        <w:t>0</w:t>
      </w:r>
      <w:r>
        <w:rPr>
          <w:rFonts w:hint="eastAsia" w:ascii="仿宋" w:hAnsi="仿宋" w:eastAsia="仿宋" w:cs="仿宋"/>
          <w:color w:val="000000" w:themeColor="text1"/>
          <w:sz w:val="32"/>
          <w:szCs w:val="32"/>
          <w:highlight w:val="none"/>
          <w:lang w:val="en-US" w:eastAsia="zh-CN"/>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所属</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平均每辆</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减少0.3</w:t>
      </w: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主要原因是：2022年本部门无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本部门2022年度机关运行经费支出</w:t>
      </w:r>
      <w:r>
        <w:rPr>
          <w:rFonts w:ascii="仿宋" w:hAnsi="仿宋" w:eastAsia="仿宋" w:cs="仿宋"/>
          <w:color w:val="auto"/>
          <w:sz w:val="32"/>
          <w:szCs w:val="32"/>
          <w:highlight w:val="none"/>
        </w:rPr>
        <w:t>2.67</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减少7.45</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下降73.62%</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减少0.37</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下降12.17%</w:t>
      </w:r>
      <w:r>
        <w:rPr>
          <w:rFonts w:hint="eastAsia" w:ascii="仿宋" w:hAnsi="仿宋" w:eastAsia="仿宋" w:cs="仿宋"/>
          <w:color w:val="auto"/>
          <w:sz w:val="32"/>
          <w:szCs w:val="32"/>
          <w:highlight w:val="none"/>
        </w:rPr>
        <w:t>。原因是：落实过紧日子要求压减办公设施设备购置经费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资产运行维护支出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信息系统运行维护支出</w:t>
      </w:r>
      <w:r>
        <w:rPr>
          <w:rFonts w:hint="eastAsia" w:ascii="仿宋" w:hAnsi="仿宋" w:eastAsia="仿宋" w:cs="仿宋"/>
          <w:color w:val="auto"/>
          <w:sz w:val="32"/>
          <w:szCs w:val="32"/>
          <w:highlight w:val="none"/>
          <w:lang w:val="en-US" w:eastAsia="zh-CN"/>
        </w:rPr>
        <w:t>等</w:t>
      </w:r>
      <w:r>
        <w:rPr>
          <w:rFonts w:hint="eastAsia" w:ascii="仿宋" w:hAnsi="仿宋" w:eastAsia="仿宋" w:cs="仿宋"/>
          <w:color w:val="auto"/>
          <w:sz w:val="32"/>
          <w:szCs w:val="32"/>
          <w:highlight w:val="none"/>
        </w:rPr>
        <w:t>支出减少。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1.绩效管理工作开展情况。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根据财政预算管理要求，本部门组织对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度一般公共预算项目支出全面开展绩效自评。其中，</w:t>
      </w:r>
      <w:r>
        <w:rPr>
          <w:rFonts w:hint="eastAsia" w:ascii="仿宋_GB2312" w:hAnsi="仿宋_GB2312" w:eastAsia="仿宋_GB2312" w:cs="Times New Roman"/>
          <w:color w:val="auto"/>
          <w:sz w:val="32"/>
          <w:szCs w:val="32"/>
          <w:highlight w:val="none"/>
          <w:lang w:val="en-US" w:eastAsia="zh-CN"/>
        </w:rPr>
        <w:t>部门预算项目总数6个，自评项目总数6个，</w:t>
      </w:r>
      <w:r>
        <w:rPr>
          <w:rFonts w:hint="eastAsia" w:ascii="仿宋" w:hAnsi="仿宋" w:eastAsia="仿宋" w:cs="仿宋"/>
          <w:color w:val="auto"/>
          <w:sz w:val="32"/>
          <w:szCs w:val="32"/>
          <w:highlight w:val="none"/>
        </w:rPr>
        <w:t>共涉及资金</w:t>
      </w:r>
      <w:r>
        <w:rPr>
          <w:rFonts w:hint="eastAsia" w:ascii="仿宋_GB2312" w:hAnsi="仿宋_GB2312" w:eastAsia="仿宋_GB2312" w:cs="Times New Roman"/>
          <w:color w:val="auto"/>
          <w:sz w:val="32"/>
          <w:szCs w:val="32"/>
          <w:highlight w:val="none"/>
          <w:lang w:val="en-US" w:eastAsia="zh-CN"/>
        </w:rPr>
        <w:t>53.89</w:t>
      </w:r>
      <w:r>
        <w:rPr>
          <w:rFonts w:hint="eastAsia" w:ascii="仿宋" w:hAnsi="仿宋" w:eastAsia="仿宋" w:cs="仿宋"/>
          <w:color w:val="auto"/>
          <w:sz w:val="32"/>
          <w:szCs w:val="32"/>
          <w:highlight w:val="none"/>
        </w:rPr>
        <w:t>万元，占一般公共预算项目支出总额的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个政府性基金预算项目支出开展绩效自评，共涉及资金</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万元，占政府性基金预算项目支出总额的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eastAsia="zh-CN"/>
        </w:rPr>
        <w:t>2022年</w:t>
      </w:r>
      <w:r>
        <w:rPr>
          <w:rFonts w:hint="eastAsia" w:ascii="仿宋" w:hAnsi="仿宋" w:eastAsia="仿宋" w:cs="仿宋"/>
          <w:color w:val="auto"/>
          <w:sz w:val="32"/>
          <w:szCs w:val="32"/>
          <w:highlight w:val="none"/>
        </w:rPr>
        <w:t>度</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个国有资本经营预算项目支出开展绩效自评，共涉及资金</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万元，占国有资本经营预算项目支出总额的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 w:hAnsi="仿宋" w:eastAsia="仿宋" w:cs="仿宋"/>
          <w:color w:val="auto"/>
          <w:sz w:val="32"/>
          <w:szCs w:val="32"/>
          <w:highlight w:val="none"/>
        </w:rPr>
        <w:t>组织对</w:t>
      </w:r>
      <w:r>
        <w:rPr>
          <w:rFonts w:hint="eastAsia" w:ascii="仿宋_GB2312" w:hAnsi="仿宋_GB2312" w:eastAsia="仿宋_GB2312" w:cs="Times New Roman"/>
          <w:color w:val="auto"/>
          <w:sz w:val="32"/>
          <w:szCs w:val="32"/>
          <w:highlight w:val="none"/>
          <w:lang w:val="en-US" w:eastAsia="zh-CN"/>
        </w:rPr>
        <w:t>部门预算6个</w:t>
      </w:r>
      <w:r>
        <w:rPr>
          <w:rFonts w:hint="eastAsia" w:ascii="仿宋" w:hAnsi="仿宋" w:eastAsia="仿宋" w:cs="仿宋"/>
          <w:color w:val="auto"/>
          <w:sz w:val="32"/>
          <w:szCs w:val="32"/>
          <w:highlight w:val="none"/>
        </w:rPr>
        <w:t>项目进行了部门评价，涉及一般公共预算支出</w:t>
      </w:r>
      <w:r>
        <w:rPr>
          <w:rFonts w:hint="eastAsia" w:ascii="仿宋_GB2312" w:hAnsi="仿宋_GB2312" w:eastAsia="仿宋_GB2312" w:cs="Times New Roman"/>
          <w:color w:val="auto"/>
          <w:sz w:val="32"/>
          <w:szCs w:val="32"/>
          <w:highlight w:val="none"/>
          <w:lang w:val="en-US" w:eastAsia="zh-CN"/>
        </w:rPr>
        <w:t>53.89</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万元，国有资本经营预算支出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万元。从评价情况来看，</w:t>
      </w:r>
      <w:r>
        <w:rPr>
          <w:rFonts w:hint="eastAsia" w:ascii="仿宋_GB2312" w:hAnsi="仿宋_GB2312" w:eastAsia="仿宋_GB2312" w:cs="仿宋_GB2312"/>
          <w:b w:val="0"/>
          <w:bCs/>
          <w:color w:val="auto"/>
          <w:sz w:val="32"/>
          <w:szCs w:val="32"/>
          <w:highlight w:val="none"/>
          <w:lang w:val="en-US" w:eastAsia="zh-CN"/>
        </w:rPr>
        <w:t>各项目均达到实际的成效，效率指标优，工作成本节约，没有出现工作质量不高，工作拖欠的现象。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val="en-US" w:eastAsia="zh-CN"/>
        </w:rPr>
        <w:t>本部门</w:t>
      </w:r>
      <w:r>
        <w:rPr>
          <w:rFonts w:hint="eastAsia" w:ascii="仿宋" w:hAnsi="仿宋" w:eastAsia="仿宋" w:cs="仿宋"/>
          <w:color w:val="auto"/>
          <w:sz w:val="32"/>
          <w:szCs w:val="32"/>
          <w:highlight w:val="none"/>
        </w:rPr>
        <w:t>开展整体支出绩效评价试点，涉及一般公共预算支出</w:t>
      </w:r>
      <w:r>
        <w:rPr>
          <w:rFonts w:hint="eastAsia" w:ascii="仿宋_GB2312" w:hAnsi="仿宋_GB2312" w:eastAsia="仿宋_GB2312" w:cs="Times New Roman"/>
          <w:color w:val="auto"/>
          <w:sz w:val="32"/>
          <w:szCs w:val="32"/>
          <w:highlight w:val="none"/>
          <w:lang w:val="en-US" w:eastAsia="zh-CN"/>
        </w:rPr>
        <w:t>53.89</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万元。从评价情况来看，</w:t>
      </w:r>
      <w:r>
        <w:rPr>
          <w:rFonts w:hint="eastAsia" w:ascii="仿宋_GB2312" w:hAnsi="仿宋_GB2312" w:eastAsia="仿宋_GB2312" w:cs="仿宋_GB2312"/>
          <w:b w:val="0"/>
          <w:bCs/>
          <w:color w:val="auto"/>
          <w:sz w:val="32"/>
          <w:szCs w:val="32"/>
          <w:highlight w:val="none"/>
          <w:lang w:val="en-US" w:eastAsia="zh-CN"/>
        </w:rPr>
        <w:t>项目的社会效益良好，受益广大档案利用者满意度高，通过项目执行，确保馆藏全县各单位各门类档案的安全保管，更好地提供档案信息利用，发挥档案服务了党和政府工作大局，服务了社会各界和人民群众。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2.部门决算中项目绩效自评结果。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 w:hAnsi="仿宋" w:eastAsia="仿宋" w:cs="仿宋"/>
          <w:color w:val="auto"/>
          <w:sz w:val="32"/>
          <w:szCs w:val="32"/>
          <w:highlight w:val="none"/>
        </w:rPr>
        <w:t>我部门根据年初设定的绩效目标，</w:t>
      </w:r>
      <w:r>
        <w:rPr>
          <w:rFonts w:hint="eastAsia" w:ascii="仿宋" w:hAnsi="仿宋" w:eastAsia="仿宋" w:cs="仿宋"/>
          <w:color w:val="auto"/>
          <w:sz w:val="32"/>
          <w:szCs w:val="32"/>
          <w:highlight w:val="none"/>
          <w:lang w:val="en-US" w:eastAsia="zh-CN"/>
        </w:rPr>
        <w:t>6个</w:t>
      </w:r>
      <w:r>
        <w:rPr>
          <w:rFonts w:hint="eastAsia" w:ascii="仿宋" w:hAnsi="仿宋" w:eastAsia="仿宋" w:cs="仿宋"/>
          <w:color w:val="auto"/>
          <w:sz w:val="32"/>
          <w:szCs w:val="32"/>
          <w:highlight w:val="none"/>
        </w:rPr>
        <w:t>项目自评得分为</w:t>
      </w:r>
      <w:r>
        <w:rPr>
          <w:rFonts w:hint="eastAsia" w:ascii="仿宋_GB2312" w:hAnsi="仿宋_GB2312" w:eastAsia="仿宋_GB2312" w:cs="Times New Roman"/>
          <w:color w:val="auto"/>
          <w:sz w:val="32"/>
          <w:szCs w:val="32"/>
          <w:highlight w:val="none"/>
          <w:lang w:val="en-US" w:eastAsia="zh-CN"/>
        </w:rPr>
        <w:t>88.98</w:t>
      </w:r>
      <w:r>
        <w:rPr>
          <w:rFonts w:hint="eastAsia" w:ascii="仿宋" w:hAnsi="仿宋" w:eastAsia="仿宋" w:cs="仿宋"/>
          <w:color w:val="auto"/>
          <w:sz w:val="32"/>
          <w:szCs w:val="32"/>
          <w:highlight w:val="none"/>
        </w:rPr>
        <w:t>分。发现的主要问题及原因：一是</w:t>
      </w:r>
      <w:r>
        <w:rPr>
          <w:rFonts w:hint="eastAsia" w:ascii="仿宋_GB2312" w:hAnsi="仿宋_GB2312" w:eastAsia="仿宋_GB2312" w:cs="仿宋_GB2312"/>
          <w:b w:val="0"/>
          <w:bCs/>
          <w:color w:val="auto"/>
          <w:sz w:val="32"/>
          <w:szCs w:val="32"/>
          <w:highlight w:val="none"/>
          <w:lang w:val="en-US" w:eastAsia="zh-CN"/>
        </w:rPr>
        <w:t>项目经费不足，影响到档案工作开展的质量，建议根据工作实际需要追加经费。</w:t>
      </w:r>
    </w:p>
    <w:p>
      <w:pPr>
        <w:pStyle w:val="8"/>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Times New Roman"/>
          <w:color w:val="auto"/>
          <w:sz w:val="32"/>
          <w:szCs w:val="32"/>
          <w:highlight w:val="none"/>
          <w:lang w:val="en-US" w:eastAsia="zh-CN"/>
        </w:rPr>
        <w:sectPr>
          <w:pgSz w:w="11906" w:h="16838"/>
          <w:pgMar w:top="1440" w:right="1800" w:bottom="1440" w:left="1800" w:header="851" w:footer="992" w:gutter="0"/>
          <w:cols w:space="0" w:num="1"/>
          <w:docGrid w:type="lines" w:linePitch="312" w:charSpace="0"/>
        </w:sectPr>
      </w:pPr>
      <w:r>
        <w:rPr>
          <w:rFonts w:hint="eastAsia" w:ascii="仿宋_GB2312" w:hAnsi="仿宋_GB2312" w:eastAsia="仿宋_GB2312" w:cs="仿宋_GB2312"/>
          <w:b w:val="0"/>
          <w:bCs/>
          <w:color w:val="auto"/>
          <w:sz w:val="32"/>
          <w:szCs w:val="32"/>
          <w:highlight w:val="none"/>
          <w:lang w:val="en-US" w:eastAsia="zh-CN"/>
        </w:rPr>
        <w:t>二是部分项目执行进度慢，我馆将进一步加快项目实施进度，确保项目及时完成。</w:t>
      </w:r>
      <w:r>
        <w:rPr>
          <w:rFonts w:hint="eastAsia" w:ascii="仿宋" w:hAnsi="仿宋" w:eastAsia="仿宋" w:cs="仿宋"/>
          <w:color w:val="auto"/>
          <w:sz w:val="32"/>
          <w:szCs w:val="32"/>
          <w:highlight w:val="none"/>
        </w:rPr>
        <w:t>下一步改进措施：</w:t>
      </w:r>
      <w:r>
        <w:rPr>
          <w:rFonts w:hint="eastAsia" w:ascii="仿宋_GB2312" w:hAnsi="仿宋_GB2312" w:eastAsia="仿宋_GB2312" w:cs="Times New Roman"/>
          <w:color w:val="auto"/>
          <w:sz w:val="32"/>
          <w:szCs w:val="32"/>
          <w:highlight w:val="none"/>
          <w:lang w:val="en-US" w:eastAsia="zh-CN"/>
        </w:rPr>
        <w:t>将把本馆项目自评结果应用作为全过程预算绩效管理落脚点，及时整理、</w:t>
      </w:r>
    </w:p>
    <w:p>
      <w:pPr>
        <w:pStyle w:val="8"/>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firstLine="0" w:firstLineChars="0"/>
        <w:textAlignment w:val="auto"/>
        <w:rPr>
          <w:rFonts w:hint="eastAsia" w:ascii="仿宋_GB2312" w:hAnsi="仿宋_GB2312" w:eastAsia="仿宋_GB2312" w:cs="Times New Roman"/>
          <w:color w:val="auto"/>
          <w:sz w:val="32"/>
          <w:szCs w:val="32"/>
          <w:highlight w:val="none"/>
          <w:lang w:val="en-US" w:eastAsia="zh-CN"/>
        </w:rPr>
      </w:pPr>
      <w:r>
        <w:rPr>
          <w:rFonts w:hint="eastAsia" w:ascii="仿宋_GB2312" w:hAnsi="仿宋_GB2312" w:eastAsia="仿宋_GB2312" w:cs="Times New Roman"/>
          <w:color w:val="auto"/>
          <w:sz w:val="32"/>
          <w:szCs w:val="32"/>
          <w:highlight w:val="none"/>
          <w:lang w:val="en-US" w:eastAsia="zh-CN"/>
        </w:rPr>
        <w:t>归纳、分析、反馈绩效自评结果，并将其作为改进预算管理和以后年度预算安排的重要依据。</w:t>
      </w:r>
    </w:p>
    <w:p>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附1</w:t>
      </w:r>
    </w:p>
    <w:p>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项目自评汇总表</w:t>
      </w:r>
    </w:p>
    <w:tbl>
      <w:tblPr>
        <w:tblStyle w:val="9"/>
        <w:tblW w:w="1416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9"/>
        <w:gridCol w:w="947"/>
        <w:gridCol w:w="868"/>
        <w:gridCol w:w="1077"/>
        <w:gridCol w:w="989"/>
        <w:gridCol w:w="1227"/>
        <w:gridCol w:w="1173"/>
        <w:gridCol w:w="1240"/>
        <w:gridCol w:w="1326"/>
        <w:gridCol w:w="1074"/>
        <w:gridCol w:w="1306"/>
        <w:gridCol w:w="1265"/>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序号</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项目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编码</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项目</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名称</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预算</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单位</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预算</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年度</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调整后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预算数</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全年</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执行数</w:t>
            </w:r>
          </w:p>
        </w:tc>
        <w:tc>
          <w:tcPr>
            <w:tcW w:w="1240"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预算执行率（%）</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财政拨款预算调整率</w:t>
            </w:r>
            <w:r>
              <w:rPr>
                <w:rFonts w:hint="default" w:ascii="仿宋_GB2312" w:hAnsi="仿宋_GB2312" w:eastAsia="仿宋_GB2312" w:cs="仿宋_GB2312"/>
                <w:b/>
                <w:bCs/>
                <w:sz w:val="21"/>
                <w:szCs w:val="21"/>
                <w:lang w:val="en-US" w:eastAsia="zh-CN"/>
              </w:rPr>
              <w:t>（%）</w:t>
            </w:r>
          </w:p>
        </w:tc>
        <w:tc>
          <w:tcPr>
            <w:tcW w:w="1074"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自评</w:t>
            </w:r>
            <w:r>
              <w:rPr>
                <w:rFonts w:hint="default" w:ascii="仿宋_GB2312" w:hAnsi="仿宋_GB2312" w:eastAsia="仿宋_GB2312" w:cs="仿宋_GB2312"/>
                <w:b/>
                <w:bCs/>
                <w:sz w:val="21"/>
                <w:szCs w:val="21"/>
                <w:lang w:val="en-US" w:eastAsia="zh-CN"/>
              </w:rPr>
              <w:t>得分</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自评结论</w:t>
            </w:r>
            <w:r>
              <w:rPr>
                <w:rFonts w:hint="eastAsia" w:ascii="仿宋_GB2312" w:hAnsi="仿宋_GB2312" w:eastAsia="仿宋_GB2312" w:cs="仿宋_GB2312"/>
                <w:b/>
                <w:bCs/>
                <w:sz w:val="21"/>
                <w:szCs w:val="21"/>
                <w:lang w:val="en-US" w:eastAsia="zh-CN"/>
              </w:rPr>
              <w:t>（等级）</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主要原因分析</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560" w:lineRule="exact"/>
              <w:ind w:left="0" w:leftChars="0" w:right="0" w:firstLine="0" w:firstLineChars="0"/>
              <w:jc w:val="center"/>
              <w:textAlignment w:val="auto"/>
              <w:rPr>
                <w:rFonts w:hint="default" w:ascii="仿宋_GB2312" w:hAnsi="仿宋_GB2312" w:eastAsia="仿宋_GB2312" w:cs="仿宋_GB2312"/>
                <w:b/>
                <w:bCs/>
                <w:sz w:val="21"/>
                <w:szCs w:val="21"/>
                <w:lang w:val="en-US" w:eastAsia="zh-CN"/>
              </w:rPr>
            </w:pPr>
            <w:r>
              <w:rPr>
                <w:rFonts w:hint="default" w:ascii="仿宋_GB2312" w:hAnsi="仿宋_GB2312" w:eastAsia="仿宋_GB2312" w:cs="仿宋_GB2312"/>
                <w:b/>
                <w:bCs/>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1</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451226210320900004000</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档案馆电费</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209001-环江毛南族自治县档案馆</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30000</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20616.36</w:t>
            </w:r>
          </w:p>
        </w:tc>
        <w:tc>
          <w:tcPr>
            <w:tcW w:w="1240"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68.72</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074"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86.87</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二等</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年初该项目未下达指标，前两个月的电费全部用于单位办公费支付，所以导致绩效目标偏离度较大。</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451226210320900004001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档案安全保管保护设施设备运行维护费</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209001-环江毛南族自治县档案馆</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30000</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30000</w:t>
            </w:r>
          </w:p>
        </w:tc>
        <w:tc>
          <w:tcPr>
            <w:tcW w:w="1240"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074"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90</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一等</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451226210420900004072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档案数字化建设经费</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209001-环江毛南族自治县档案馆</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120000</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120000</w:t>
            </w:r>
          </w:p>
        </w:tc>
        <w:tc>
          <w:tcPr>
            <w:tcW w:w="1240"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074"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90</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一等</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451226210420900004073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档案馆业务建设经费</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209001-环江毛南族自治县档案馆</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80000</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79907.17</w:t>
            </w:r>
          </w:p>
        </w:tc>
        <w:tc>
          <w:tcPr>
            <w:tcW w:w="1240"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99.88</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074"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86.99</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二等</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451226220320900006278</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奖励性补贴</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209001-环江毛南族自治县档案馆</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42000</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42000</w:t>
            </w:r>
          </w:p>
        </w:tc>
        <w:tc>
          <w:tcPr>
            <w:tcW w:w="1240"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074"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90</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一等</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4"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451226220320900006966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抚恤金</w:t>
            </w:r>
          </w:p>
        </w:tc>
        <w:tc>
          <w:tcPr>
            <w:tcW w:w="107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209001-环江毛南族自治县档案馆</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2022年</w:t>
            </w:r>
          </w:p>
        </w:tc>
        <w:tc>
          <w:tcPr>
            <w:tcW w:w="122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246381.9</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246381.9</w:t>
            </w:r>
          </w:p>
        </w:tc>
        <w:tc>
          <w:tcPr>
            <w:tcW w:w="1240"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32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074"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90</w:t>
            </w:r>
          </w:p>
        </w:tc>
        <w:tc>
          <w:tcPr>
            <w:tcW w:w="130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一等</w:t>
            </w:r>
          </w:p>
        </w:tc>
        <w:tc>
          <w:tcPr>
            <w:tcW w:w="126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3771" w:type="dxa"/>
            <w:gridSpan w:val="4"/>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合计：</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227"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548381.9</w:t>
            </w:r>
          </w:p>
        </w:tc>
        <w:tc>
          <w:tcPr>
            <w:tcW w:w="1173"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538905.43</w:t>
            </w:r>
          </w:p>
        </w:tc>
        <w:tc>
          <w:tcPr>
            <w:tcW w:w="1240"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32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074"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306"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126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leftChars="0" w:right="0" w:firstLine="0" w:firstLineChars="0"/>
              <w:jc w:val="both"/>
              <w:textAlignment w:val="auto"/>
              <w:rPr>
                <w:rFonts w:hint="default" w:ascii="仿宋_GB2312" w:hAnsi="仿宋_GB2312" w:eastAsia="仿宋_GB2312" w:cs="仿宋_GB2312"/>
                <w:sz w:val="21"/>
                <w:szCs w:val="21"/>
                <w:lang w:val="en-US" w:eastAsia="zh-CN"/>
              </w:rPr>
            </w:pPr>
          </w:p>
        </w:tc>
      </w:tr>
    </w:tbl>
    <w:p>
      <w:pPr>
        <w:pStyle w:val="8"/>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Times New Roman"/>
          <w:color w:val="auto"/>
          <w:sz w:val="32"/>
          <w:szCs w:val="32"/>
          <w:highlight w:val="none"/>
          <w:lang w:val="en-US" w:eastAsia="zh-CN"/>
        </w:rPr>
        <w:sectPr>
          <w:pgSz w:w="16838" w:h="11906" w:orient="landscape"/>
          <w:pgMar w:top="1800" w:right="1440" w:bottom="1800" w:left="1440" w:header="851" w:footer="992" w:gutter="0"/>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p>
    <w:p>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附表：</w:t>
      </w:r>
      <w:r>
        <w:rPr>
          <w:rFonts w:hint="eastAsia" w:ascii="仿宋_GB2312" w:hAnsi="仿宋_GB2312" w:eastAsia="仿宋_GB2312" w:cs="仿宋_GB2312"/>
          <w:spacing w:val="0"/>
          <w:kern w:val="0"/>
          <w:sz w:val="32"/>
          <w:szCs w:val="32"/>
          <w:lang w:val="en-US" w:eastAsia="zh-CN"/>
        </w:rPr>
        <w:t>1.</w:t>
      </w:r>
      <w:r>
        <w:rPr>
          <w:rFonts w:hint="eastAsia" w:ascii="仿宋_GB2312" w:hAnsi="仿宋_GB2312" w:eastAsia="仿宋_GB2312" w:cs="仿宋_GB2312"/>
          <w:spacing w:val="0"/>
          <w:kern w:val="0"/>
          <w:sz w:val="32"/>
          <w:szCs w:val="32"/>
        </w:rPr>
        <w:t>环江</w:t>
      </w:r>
      <w:r>
        <w:rPr>
          <w:rFonts w:hint="eastAsia" w:ascii="仿宋_GB2312" w:hAnsi="仿宋_GB2312" w:eastAsia="仿宋_GB2312" w:cs="仿宋_GB2312"/>
          <w:spacing w:val="0"/>
          <w:kern w:val="0"/>
          <w:sz w:val="32"/>
          <w:szCs w:val="32"/>
          <w:lang w:eastAsia="zh-CN"/>
        </w:rPr>
        <w:t>毛南族自治</w:t>
      </w:r>
      <w:r>
        <w:rPr>
          <w:rFonts w:hint="eastAsia" w:ascii="仿宋_GB2312" w:hAnsi="仿宋_GB2312" w:eastAsia="仿宋_GB2312" w:cs="仿宋_GB2312"/>
          <w:spacing w:val="0"/>
          <w:kern w:val="0"/>
          <w:sz w:val="32"/>
          <w:szCs w:val="32"/>
        </w:rPr>
        <w:t>县</w:t>
      </w:r>
      <w:r>
        <w:rPr>
          <w:rFonts w:hint="eastAsia" w:ascii="仿宋_GB2312" w:hAnsi="仿宋_GB2312" w:eastAsia="仿宋_GB2312" w:cs="仿宋_GB2312"/>
          <w:spacing w:val="0"/>
          <w:kern w:val="0"/>
          <w:sz w:val="32"/>
          <w:szCs w:val="32"/>
          <w:lang w:val="en-US" w:eastAsia="zh-CN"/>
        </w:rPr>
        <w:t>档案馆</w:t>
      </w:r>
      <w:r>
        <w:rPr>
          <w:rFonts w:hint="eastAsia" w:ascii="仿宋_GB2312" w:hAnsi="仿宋_GB2312" w:eastAsia="仿宋_GB2312" w:cs="仿宋_GB2312"/>
          <w:spacing w:val="0"/>
          <w:kern w:val="0"/>
          <w:sz w:val="32"/>
          <w:szCs w:val="32"/>
        </w:rPr>
        <w:t>20</w:t>
      </w:r>
      <w:r>
        <w:rPr>
          <w:rFonts w:hint="eastAsia" w:ascii="仿宋_GB2312" w:hAnsi="仿宋_GB2312" w:eastAsia="仿宋_GB2312" w:cs="仿宋_GB2312"/>
          <w:spacing w:val="0"/>
          <w:kern w:val="0"/>
          <w:sz w:val="32"/>
          <w:szCs w:val="32"/>
          <w:lang w:val="en-US" w:eastAsia="zh-CN"/>
        </w:rPr>
        <w:t>21</w:t>
      </w:r>
      <w:r>
        <w:rPr>
          <w:rFonts w:hint="eastAsia" w:ascii="仿宋_GB2312" w:hAnsi="仿宋_GB2312" w:eastAsia="仿宋_GB2312" w:cs="仿宋_GB2312"/>
          <w:spacing w:val="0"/>
          <w:kern w:val="0"/>
          <w:sz w:val="32"/>
          <w:szCs w:val="32"/>
        </w:rPr>
        <w:t>年部门决算公开报表</w:t>
      </w:r>
    </w:p>
    <w:p>
      <w:pPr>
        <w:keepNext w:val="0"/>
        <w:keepLines w:val="0"/>
        <w:pageBreakBefore w:val="0"/>
        <w:kinsoku/>
        <w:wordWrap/>
        <w:overflowPunct/>
        <w:topLinePunct w:val="0"/>
        <w:autoSpaceDE w:val="0"/>
        <w:autoSpaceDN w:val="0"/>
        <w:bidi w:val="0"/>
        <w:adjustRightInd w:val="0"/>
        <w:snapToGrid/>
        <w:spacing w:line="360" w:lineRule="auto"/>
        <w:ind w:firstLine="960" w:firstLineChars="300"/>
        <w:textAlignment w:val="auto"/>
        <w:rPr>
          <w:rFonts w:hint="default"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2.</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支出绩效自评表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1" w:lineRule="auto"/>
      <w:ind w:left="9"/>
      <w:rPr>
        <w:rFonts w:ascii="仿宋" w:hAnsi="仿宋" w:eastAsia="仿宋" w:cs="仿宋"/>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546309B3"/>
    <w:multiLevelType w:val="singleLevel"/>
    <w:tmpl w:val="546309B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OWJmOTg1Njk4ZWI4OGU2ZGVlMzVkNTFlZDg5OGIifQ=="/>
  </w:docVars>
  <w:rsids>
    <w:rsidRoot w:val="637D7558"/>
    <w:rsid w:val="00002C84"/>
    <w:rsid w:val="00022149"/>
    <w:rsid w:val="00047F6C"/>
    <w:rsid w:val="00093C26"/>
    <w:rsid w:val="00094B91"/>
    <w:rsid w:val="000B06D8"/>
    <w:rsid w:val="000C3DA7"/>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B420B3"/>
    <w:rsid w:val="073053A8"/>
    <w:rsid w:val="07B0770E"/>
    <w:rsid w:val="0942143F"/>
    <w:rsid w:val="0BB21CA6"/>
    <w:rsid w:val="0D100297"/>
    <w:rsid w:val="0D202B45"/>
    <w:rsid w:val="0F4D3D72"/>
    <w:rsid w:val="0F8D4C87"/>
    <w:rsid w:val="10505FAA"/>
    <w:rsid w:val="105F7E7E"/>
    <w:rsid w:val="108319CA"/>
    <w:rsid w:val="11E56B5B"/>
    <w:rsid w:val="125C77AB"/>
    <w:rsid w:val="14740441"/>
    <w:rsid w:val="14CB726E"/>
    <w:rsid w:val="17E92249"/>
    <w:rsid w:val="18D304F1"/>
    <w:rsid w:val="192F4CB4"/>
    <w:rsid w:val="19F32577"/>
    <w:rsid w:val="19F45B80"/>
    <w:rsid w:val="1B0C078D"/>
    <w:rsid w:val="1B2B31E2"/>
    <w:rsid w:val="1B4C295A"/>
    <w:rsid w:val="1B973C63"/>
    <w:rsid w:val="1BA1001E"/>
    <w:rsid w:val="1D317259"/>
    <w:rsid w:val="1E664F5B"/>
    <w:rsid w:val="1EB34BE1"/>
    <w:rsid w:val="1F7F5EEC"/>
    <w:rsid w:val="20E31E24"/>
    <w:rsid w:val="215E639F"/>
    <w:rsid w:val="21EC3183"/>
    <w:rsid w:val="225E72CD"/>
    <w:rsid w:val="22847E4C"/>
    <w:rsid w:val="246E2F77"/>
    <w:rsid w:val="254B4E2B"/>
    <w:rsid w:val="283D7C94"/>
    <w:rsid w:val="29480E03"/>
    <w:rsid w:val="2983634D"/>
    <w:rsid w:val="2B075BC1"/>
    <w:rsid w:val="2BB02055"/>
    <w:rsid w:val="2C575A56"/>
    <w:rsid w:val="2D9B25FC"/>
    <w:rsid w:val="2F257714"/>
    <w:rsid w:val="2F3275E5"/>
    <w:rsid w:val="2FB45E45"/>
    <w:rsid w:val="30AA08EF"/>
    <w:rsid w:val="30D23D1C"/>
    <w:rsid w:val="31221CF5"/>
    <w:rsid w:val="31400178"/>
    <w:rsid w:val="321E3342"/>
    <w:rsid w:val="327759C8"/>
    <w:rsid w:val="33185FE3"/>
    <w:rsid w:val="33932D32"/>
    <w:rsid w:val="34EE2E36"/>
    <w:rsid w:val="36777241"/>
    <w:rsid w:val="371E78D5"/>
    <w:rsid w:val="38A951DB"/>
    <w:rsid w:val="38B31605"/>
    <w:rsid w:val="39003F4F"/>
    <w:rsid w:val="3A173F20"/>
    <w:rsid w:val="3C07002B"/>
    <w:rsid w:val="3D0D152A"/>
    <w:rsid w:val="3D2D1AC8"/>
    <w:rsid w:val="3DC26DA6"/>
    <w:rsid w:val="3DF62756"/>
    <w:rsid w:val="3F1B7587"/>
    <w:rsid w:val="400C0D83"/>
    <w:rsid w:val="41033CDA"/>
    <w:rsid w:val="41E57B4F"/>
    <w:rsid w:val="432F26F6"/>
    <w:rsid w:val="43880F63"/>
    <w:rsid w:val="441C5A6F"/>
    <w:rsid w:val="44C44FCC"/>
    <w:rsid w:val="44CC7369"/>
    <w:rsid w:val="457F5108"/>
    <w:rsid w:val="46951B6B"/>
    <w:rsid w:val="49A34401"/>
    <w:rsid w:val="4A3E30AB"/>
    <w:rsid w:val="4A70614A"/>
    <w:rsid w:val="4AC14DAC"/>
    <w:rsid w:val="4D030052"/>
    <w:rsid w:val="4D154C85"/>
    <w:rsid w:val="4EB35ECE"/>
    <w:rsid w:val="503A24F8"/>
    <w:rsid w:val="508F4E24"/>
    <w:rsid w:val="51461E90"/>
    <w:rsid w:val="51463753"/>
    <w:rsid w:val="51D41EEE"/>
    <w:rsid w:val="52553A93"/>
    <w:rsid w:val="52B73ED2"/>
    <w:rsid w:val="53521F8B"/>
    <w:rsid w:val="53E22F47"/>
    <w:rsid w:val="5422419A"/>
    <w:rsid w:val="54522FF8"/>
    <w:rsid w:val="55450629"/>
    <w:rsid w:val="56692963"/>
    <w:rsid w:val="568B0F48"/>
    <w:rsid w:val="5786217B"/>
    <w:rsid w:val="588859DD"/>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8122533"/>
    <w:rsid w:val="69597934"/>
    <w:rsid w:val="6AC7323C"/>
    <w:rsid w:val="6B964DDC"/>
    <w:rsid w:val="6BF77205"/>
    <w:rsid w:val="6C783074"/>
    <w:rsid w:val="6D9E65C6"/>
    <w:rsid w:val="6DA81947"/>
    <w:rsid w:val="6E2B026B"/>
    <w:rsid w:val="6EB66DE2"/>
    <w:rsid w:val="6ED3075F"/>
    <w:rsid w:val="6F2A2D4B"/>
    <w:rsid w:val="6F8A0C1E"/>
    <w:rsid w:val="703F45D4"/>
    <w:rsid w:val="715D6546"/>
    <w:rsid w:val="71BE069E"/>
    <w:rsid w:val="72F46BC2"/>
    <w:rsid w:val="73953409"/>
    <w:rsid w:val="73E069A3"/>
    <w:rsid w:val="78104AA8"/>
    <w:rsid w:val="78E257C5"/>
    <w:rsid w:val="794B35BE"/>
    <w:rsid w:val="7B0A3A31"/>
    <w:rsid w:val="7B3360ED"/>
    <w:rsid w:val="7B587178"/>
    <w:rsid w:val="7BDF037E"/>
    <w:rsid w:val="7BF50948"/>
    <w:rsid w:val="7CE66A78"/>
    <w:rsid w:val="7D23564C"/>
    <w:rsid w:val="7D5E062D"/>
    <w:rsid w:val="7DF76CD8"/>
    <w:rsid w:val="7EE12CFA"/>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4"/>
    <w:qFormat/>
    <w:uiPriority w:val="0"/>
    <w:pPr>
      <w:ind w:firstLine="420" w:firstLineChars="100"/>
    </w:pPr>
  </w:style>
  <w:style w:type="character" w:styleId="11">
    <w:name w:val="Emphasis"/>
    <w:basedOn w:val="10"/>
    <w:qFormat/>
    <w:uiPriority w:val="0"/>
    <w:rPr>
      <w:i/>
    </w:rPr>
  </w:style>
  <w:style w:type="character" w:customStyle="1" w:styleId="12">
    <w:name w:val="页眉 Char"/>
    <w:basedOn w:val="10"/>
    <w:link w:val="6"/>
    <w:qFormat/>
    <w:uiPriority w:val="0"/>
    <w:rPr>
      <w:rFonts w:asciiTheme="minorHAnsi" w:hAnsiTheme="minorHAnsi" w:eastAsiaTheme="minorEastAsia" w:cstheme="minorBidi"/>
      <w:kern w:val="2"/>
      <w:sz w:val="18"/>
      <w:szCs w:val="18"/>
    </w:rPr>
  </w:style>
  <w:style w:type="character" w:customStyle="1" w:styleId="13">
    <w:name w:val="页脚 Char"/>
    <w:basedOn w:val="10"/>
    <w:link w:val="5"/>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172.28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110.82</c:v>
                </c:pt>
                <c:pt idx="1">
                  <c:v>8.82</c:v>
                </c:pt>
                <c:pt idx="2">
                  <c:v>6.61</c:v>
                </c:pt>
                <c:pt idx="3">
                  <c:v>22.8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135.99</c:v>
                </c:pt>
                <c:pt idx="1">
                  <c:v>10.09</c:v>
                </c:pt>
                <c:pt idx="2">
                  <c:v>7.06</c:v>
                </c:pt>
                <c:pt idx="3">
                  <c:v>19.14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2012601</c:v>
                </c:pt>
                <c:pt idx="1">
                  <c:v>2012604</c:v>
                </c:pt>
                <c:pt idx="2">
                  <c:v>2012999</c:v>
                </c:pt>
                <c:pt idx="3">
                  <c:v>201x</c:v>
                </c:pt>
              </c:strCache>
            </c:strRef>
          </c:cat>
          <c:val>
            <c:numRef>
              <c:f>Sheet1!$B$2:$B$5</c:f>
              <c:numCache>
                <c:formatCode>General</c:formatCode>
                <c:ptCount val="4"/>
                <c:pt idx="0">
                  <c:v>110.77</c:v>
                </c:pt>
                <c:pt idx="1">
                  <c:v>23.96</c:v>
                </c:pt>
                <c:pt idx="2">
                  <c:v>1.26</c:v>
                </c:pt>
                <c:pt idx="3">
                  <c:v>135.99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10.09</c:v>
                </c:pt>
                <c:pt idx="1">
                  <c:v>10.09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7.06</c:v>
                </c:pt>
                <c:pt idx="1">
                  <c:v>7.06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19.14</c:v>
                </c:pt>
                <c:pt idx="1">
                  <c:v>19.14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28.56</c:v>
                </c:pt>
                <c:pt idx="1">
                  <c:v>32.11</c:v>
                </c:pt>
                <c:pt idx="2">
                  <c:v>20.27</c:v>
                </c:pt>
                <c:pt idx="3">
                  <c:v>0</c:v>
                </c:pt>
                <c:pt idx="4">
                  <c:v>0</c:v>
                </c:pt>
                <c:pt idx="5">
                  <c:v>11.31</c:v>
                </c:pt>
                <c:pt idx="6">
                  <c:v>0</c:v>
                </c:pt>
                <c:pt idx="7">
                  <c:v>4.52</c:v>
                </c:pt>
                <c:pt idx="8">
                  <c:v>0</c:v>
                </c:pt>
                <c:pt idx="9">
                  <c:v>0.27</c:v>
                </c:pt>
                <c:pt idx="10">
                  <c:v>7.06</c:v>
                </c:pt>
                <c:pt idx="11">
                  <c:v>0</c:v>
                </c:pt>
                <c:pt idx="12">
                  <c:v>9.06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0.04</c:v>
                </c:pt>
                <c:pt idx="1">
                  <c:v>0</c:v>
                </c:pt>
                <c:pt idx="2">
                  <c:v>0</c:v>
                </c:pt>
                <c:pt idx="3">
                  <c:v>0</c:v>
                </c:pt>
                <c:pt idx="4">
                  <c:v>0.09</c:v>
                </c:pt>
                <c:pt idx="5">
                  <c:v>0.19</c:v>
                </c:pt>
                <c:pt idx="6">
                  <c:v>1.09</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1.26</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24.64</c:v>
                </c:pt>
                <c:pt idx="4">
                  <c:v>6.7</c:v>
                </c:pt>
                <c:pt idx="5">
                  <c:v>0</c:v>
                </c:pt>
                <c:pt idx="6">
                  <c:v>0</c:v>
                </c:pt>
                <c:pt idx="7">
                  <c:v>0</c:v>
                </c:pt>
                <c:pt idx="8">
                  <c:v>0</c:v>
                </c:pt>
                <c:pt idx="9">
                  <c:v>0</c:v>
                </c:pt>
                <c:pt idx="10">
                  <c:v>0</c:v>
                </c:pt>
                <c:pt idx="11">
                  <c:v>1.15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2023-11-18T10:44:00Z</cp:lastPrinted>
  <dcterms:modified xsi:type="dcterms:W3CDTF">2023-11-27T07:33:30Z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32C78A13D43C4DC3AD692F0A23F65EAD_13</vt:lpwstr>
  </property>
</Properties>
</file>