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环江毛南族自治县非物质文化遗产保护传承中心2022年度部门决算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环江毛南族自治县非物质文化遗产保护传承中心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环江毛南族自治县非物质文化遗产保护传承中心</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环江毛南族自治县非物质文化遗产保护传承中心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环江毛南族自治县非物质文化遗产保护传承中心</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bidi w:val="0"/>
        <w:spacing w:line="560" w:lineRule="exact"/>
        <w:ind w:firstLine="648" w:firstLineChars="200"/>
        <w:textAlignment w:val="auto"/>
        <w:rPr>
          <w:rFonts w:hint="eastAsia" w:ascii="黑体" w:hAnsi="黑体" w:eastAsia="黑体" w:cs="黑体"/>
          <w:sz w:val="32"/>
          <w:szCs w:val="32"/>
        </w:rPr>
      </w:pPr>
      <w:r>
        <w:rPr>
          <w:rFonts w:hint="eastAsia" w:ascii="仿宋_GB2312" w:hAnsi="仿宋_GB2312" w:eastAsia="仿宋_GB2312" w:cs="仿宋_GB2312"/>
          <w:spacing w:val="2"/>
          <w:sz w:val="32"/>
          <w:szCs w:val="32"/>
          <w:highlight w:val="none"/>
        </w:rPr>
        <w:t>保护非物质文化遗产，促进非物质文化文化遗产事业发展。非物质文化遗产普查、挖掘、抢救、研究、保护和整理；非物质文化遗产项目申报工作；舞台艺术作品创作与演出；对外文化交流和展</w:t>
      </w:r>
      <w:r>
        <w:rPr>
          <w:rFonts w:hint="eastAsia" w:ascii="仿宋_GB2312" w:hAnsi="仿宋_GB2312" w:eastAsia="仿宋_GB2312" w:cs="仿宋_GB2312"/>
          <w:spacing w:val="2"/>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600" w:lineRule="exact"/>
        <w:ind w:firstLine="640" w:firstLineChars="200"/>
        <w:rPr>
          <w:rFonts w:hint="eastAsia" w:ascii="黑体" w:hAnsi="宋体" w:eastAsia="黑体"/>
          <w:szCs w:val="32"/>
        </w:rPr>
      </w:pPr>
      <w:r>
        <w:rPr>
          <w:rFonts w:hint="eastAsia" w:ascii="仿宋_GB2312" w:hAnsi="仿宋_GB2312" w:eastAsia="仿宋_GB2312" w:cs="仿宋_GB2312"/>
          <w:i w:val="0"/>
          <w:iCs w:val="0"/>
          <w:color w:val="000000"/>
          <w:kern w:val="0"/>
          <w:sz w:val="32"/>
          <w:szCs w:val="32"/>
          <w:u w:val="none"/>
          <w:lang w:val="en-US" w:eastAsia="zh-CN" w:bidi="ar"/>
        </w:rPr>
        <w:t>环江毛南族自治县非物质文化遗产保护传承中心为</w:t>
      </w:r>
      <w:r>
        <w:rPr>
          <w:rFonts w:hint="eastAsia" w:ascii="仿宋_GB2312" w:eastAsia="仿宋_GB2312"/>
          <w:color w:val="000000"/>
          <w:sz w:val="32"/>
          <w:szCs w:val="32"/>
          <w:shd w:val="clear" w:color="auto" w:fill="FFFFFF"/>
        </w:rPr>
        <w:t>财政全额拨款</w:t>
      </w:r>
      <w:r>
        <w:rPr>
          <w:rFonts w:hint="eastAsia" w:ascii="仿宋" w:hAnsi="仿宋" w:eastAsia="仿宋"/>
          <w:sz w:val="32"/>
          <w:szCs w:val="32"/>
        </w:rPr>
        <w:t>事业单位</w:t>
      </w:r>
      <w:r>
        <w:rPr>
          <w:rFonts w:hint="eastAsia" w:ascii="仿宋_GB2312" w:eastAsia="仿宋_GB2312"/>
          <w:color w:val="000000"/>
          <w:sz w:val="32"/>
          <w:szCs w:val="32"/>
          <w:shd w:val="clear" w:color="auto" w:fill="FFFFFF"/>
          <w:lang w:eastAsia="zh-CN"/>
        </w:rPr>
        <w:t>。</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960" w:firstLineChars="3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环江毛南族自治县非物质文化遗产保护传承中心</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452.82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362.44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41.56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452.82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452.82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452.82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452.82</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452.82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452.82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文化旅游体育与传媒支出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362.44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362.44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文化和旅游</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347.94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347.94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艺术表演团体</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254.14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254.14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2070111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文化创作与保护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其他文化和旅游支出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文物</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文物保护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452.82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239.51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213.31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文化旅游体育与传媒支出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362.44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187.09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文化和旅游</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347.94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187.09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160.86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艺术表演团体</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254.14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187.09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67.06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2070111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文化创作与保护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59.42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其他文化和旅游支出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34.39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文物</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文物保护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24.92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24.92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24.92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452.82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3.51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362.44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362.44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24.92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20.40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41.56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41.56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452.82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452.82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452.82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452.82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452.82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452.82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452.82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239.51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213.31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362.44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187.09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175.36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文化和旅游</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347.94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187.09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160.86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艺术表演团体</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254.14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187.09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67.06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2070111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文化创作与保护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59.42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其他文化和旅游支出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34.39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文物</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文物保护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其他文物支出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24.92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24.92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24.92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24.92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24.92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24.92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37.96</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229.64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231.44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8.07</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环江毛南族自治县非物质文化遗产保护传承中心</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452.82</w:t>
      </w:r>
      <w:r>
        <w:rPr>
          <w:rFonts w:hint="eastAsia" w:ascii="仿宋" w:hAnsi="仿宋" w:eastAsia="仿宋" w:cs="仿宋"/>
          <w:sz w:val="32"/>
          <w:szCs w:val="32"/>
          <w:highlight w:val="none"/>
        </w:rPr>
        <w:t>万元，较2021年度决算数</w:t>
      </w:r>
      <w:r>
        <w:rPr>
          <w:rFonts w:ascii="仿宋" w:hAnsi="仿宋" w:eastAsia="仿宋" w:cs="仿宋"/>
          <w:sz w:val="32"/>
          <w:u w:color="auto"/>
        </w:rPr>
        <w:t>增加150.06</w:t>
      </w:r>
      <w:r>
        <w:rPr>
          <w:rFonts w:hint="eastAsia" w:ascii="仿宋" w:hAnsi="仿宋" w:eastAsia="仿宋" w:cs="仿宋"/>
          <w:sz w:val="32"/>
          <w:szCs w:val="32"/>
          <w:highlight w:val="none"/>
        </w:rPr>
        <w:t>万元，</w:t>
      </w:r>
      <w:r>
        <w:rPr>
          <w:rFonts w:ascii="仿宋" w:hAnsi="仿宋" w:eastAsia="仿宋" w:cs="仿宋"/>
          <w:sz w:val="32"/>
          <w:u w:color="auto"/>
        </w:rPr>
        <w:t>增长49.56%</w:t>
      </w:r>
      <w:r>
        <w:rPr>
          <w:rFonts w:hint="eastAsia" w:ascii="仿宋" w:hAnsi="仿宋" w:eastAsia="仿宋" w:cs="仿宋"/>
          <w:sz w:val="32"/>
          <w:szCs w:val="32"/>
          <w:highlight w:val="none"/>
        </w:rPr>
        <w:t>，其中本年收入</w:t>
      </w:r>
      <w:r>
        <w:rPr>
          <w:rFonts w:ascii="仿宋" w:hAnsi="仿宋" w:eastAsia="仿宋" w:cs="仿宋"/>
          <w:sz w:val="32"/>
          <w:u w:color="auto"/>
        </w:rPr>
        <w:t>452.82</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452.82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增加151.18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增长50.12%</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活动经费增加。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主要原因：本单位无</w:t>
      </w:r>
      <w:r>
        <w:rPr>
          <w:rFonts w:hint="eastAsia" w:ascii="仿宋" w:hAnsi="仿宋" w:eastAsia="仿宋" w:cs="仿宋"/>
          <w:kern w:val="2"/>
          <w:sz w:val="32"/>
          <w:szCs w:val="32"/>
          <w:highlight w:val="none"/>
          <w:lang w:val="en-US" w:eastAsia="zh-CN" w:bidi="ar"/>
        </w:rPr>
        <w:t>政府性基金预算财政拨款收入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减少1.12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13960" cy="3400425"/>
            <wp:effectExtent l="4445" t="4445" r="1079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452.82</w:t>
      </w:r>
      <w:r>
        <w:rPr>
          <w:rFonts w:hint="eastAsia" w:ascii="仿宋" w:hAnsi="仿宋" w:eastAsia="仿宋" w:cs="仿宋"/>
          <w:sz w:val="32"/>
          <w:szCs w:val="32"/>
          <w:highlight w:val="none"/>
        </w:rPr>
        <w:t>万元，其中本年支出</w:t>
      </w:r>
      <w:r>
        <w:rPr>
          <w:rFonts w:ascii="仿宋" w:hAnsi="仿宋" w:eastAsia="仿宋" w:cs="仿宋"/>
          <w:sz w:val="32"/>
          <w:u w:color="auto"/>
        </w:rPr>
        <w:t>452.82</w:t>
      </w:r>
      <w:r>
        <w:rPr>
          <w:rFonts w:hint="eastAsia" w:ascii="仿宋" w:hAnsi="仿宋" w:eastAsia="仿宋" w:cs="仿宋"/>
          <w:sz w:val="32"/>
          <w:szCs w:val="32"/>
          <w:highlight w:val="none"/>
        </w:rPr>
        <w:t>万元，较2021年度决算数</w:t>
      </w:r>
      <w:r>
        <w:rPr>
          <w:rFonts w:ascii="仿宋" w:hAnsi="仿宋" w:eastAsia="仿宋" w:cs="仿宋"/>
          <w:sz w:val="32"/>
          <w:u w:color="auto"/>
        </w:rPr>
        <w:t>增加150.06</w:t>
      </w:r>
      <w:r>
        <w:rPr>
          <w:rFonts w:hint="eastAsia" w:ascii="仿宋" w:hAnsi="仿宋" w:eastAsia="仿宋" w:cs="仿宋"/>
          <w:sz w:val="32"/>
          <w:szCs w:val="32"/>
          <w:highlight w:val="none"/>
        </w:rPr>
        <w:t>万元，</w:t>
      </w:r>
      <w:r>
        <w:rPr>
          <w:rFonts w:ascii="仿宋" w:hAnsi="仿宋" w:eastAsia="仿宋" w:cs="仿宋"/>
          <w:sz w:val="32"/>
          <w:u w:color="auto"/>
        </w:rPr>
        <w:t>增长49.56%</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3.51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工会活动支出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增加3.51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主要原因是：2021年没有工会经费。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文化旅游体育与传媒支出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207</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362.44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单位运行经费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增加166.54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增长85.01%</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主要原因是：单位运行活动经费增加。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24.92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付职工养老保险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减少2.89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下降10.39%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主要原因是：人员调动</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20.40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：付职工住房公积金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增加0.37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增长1.85%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41.56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：付职工奖励性补贴</w:t>
      </w:r>
      <w:r>
        <w:rPr>
          <w:rFonts w:hint="eastAsia" w:ascii="仿宋" w:hAnsi="仿宋" w:eastAsia="仿宋" w:cs="仿宋"/>
          <w:sz w:val="32"/>
          <w:szCs w:val="32"/>
          <w:highlight w:val="none"/>
        </w:rPr>
        <w:t>。较20</w:t>
      </w:r>
      <w:r>
        <w:rPr>
          <w:rFonts w:hint="eastAsia" w:ascii="仿宋" w:hAnsi="仿宋" w:eastAsia="仿宋" w:cs="仿宋"/>
          <w:color w:val="auto"/>
          <w:sz w:val="32"/>
          <w:szCs w:val="32"/>
          <w:highlight w:val="none"/>
        </w:rPr>
        <w:t>21年度决算数</w:t>
      </w:r>
      <w:r>
        <w:rPr>
          <w:rFonts w:hint="eastAsia" w:ascii="仿宋" w:hAnsi="仿宋" w:eastAsia="仿宋" w:cs="仿宋"/>
          <w:color w:val="auto"/>
          <w:sz w:val="32"/>
          <w:szCs w:val="32"/>
          <w:highlight w:val="none"/>
          <w:lang w:bidi="ar"/>
        </w:rPr>
        <w:t>减少17.46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下降29.58%</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主要原因是：人员调动。</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2022年没有结余分配。</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2022年没有结余分配。</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37075" cy="2689225"/>
            <wp:effectExtent l="4445" t="4445" r="1143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环江毛南族自治县非物质文化遗产保护传承中心2022年度一般公共预算财政拨款支出</w:t>
      </w:r>
      <w:r>
        <w:rPr>
          <w:rFonts w:ascii="仿宋" w:hAnsi="仿宋" w:eastAsia="仿宋" w:cs="仿宋"/>
          <w:sz w:val="32"/>
          <w:u w:color="auto"/>
        </w:rPr>
        <w:t>452.82</w:t>
      </w:r>
      <w:r>
        <w:rPr>
          <w:rFonts w:hint="eastAsia" w:ascii="仿宋" w:hAnsi="仿宋" w:eastAsia="仿宋" w:cs="仿宋"/>
          <w:sz w:val="32"/>
          <w:szCs w:val="32"/>
          <w:highlight w:val="none"/>
        </w:rPr>
        <w:t>万元，较2021年度决算数</w:t>
      </w:r>
      <w:r>
        <w:rPr>
          <w:rFonts w:ascii="仿宋" w:hAnsi="仿宋" w:eastAsia="仿宋" w:cs="仿宋"/>
          <w:sz w:val="32"/>
          <w:u w:color="auto"/>
        </w:rPr>
        <w:t>增加150.06</w:t>
      </w:r>
      <w:r>
        <w:rPr>
          <w:rFonts w:hint="eastAsia" w:ascii="仿宋" w:hAnsi="仿宋" w:eastAsia="仿宋" w:cs="仿宋"/>
          <w:sz w:val="32"/>
          <w:szCs w:val="32"/>
          <w:highlight w:val="none"/>
        </w:rPr>
        <w:t>万元，</w:t>
      </w:r>
      <w:r>
        <w:rPr>
          <w:rFonts w:ascii="仿宋" w:hAnsi="仿宋" w:eastAsia="仿宋" w:cs="仿宋"/>
          <w:sz w:val="32"/>
          <w:u w:color="auto"/>
        </w:rPr>
        <w:t>增长49.56%</w:t>
      </w:r>
      <w:r>
        <w:rPr>
          <w:rFonts w:hint="eastAsia" w:ascii="仿宋" w:hAnsi="仿宋" w:eastAsia="仿宋" w:cs="仿宋"/>
          <w:sz w:val="32"/>
          <w:szCs w:val="32"/>
          <w:highlight w:val="none"/>
        </w:rPr>
        <w:t>。其中：基本支出</w:t>
      </w:r>
      <w:r>
        <w:rPr>
          <w:rFonts w:ascii="仿宋" w:hAnsi="仿宋" w:eastAsia="仿宋" w:cs="仿宋"/>
          <w:sz w:val="32"/>
          <w:u w:color="auto"/>
        </w:rPr>
        <w:t>239.51</w:t>
      </w:r>
      <w:r>
        <w:rPr>
          <w:rFonts w:hint="eastAsia" w:ascii="仿宋" w:hAnsi="仿宋" w:eastAsia="仿宋" w:cs="仿宋"/>
          <w:sz w:val="32"/>
          <w:szCs w:val="32"/>
          <w:highlight w:val="none"/>
        </w:rPr>
        <w:t>万元，项目支出</w:t>
      </w:r>
      <w:r>
        <w:rPr>
          <w:rFonts w:ascii="仿宋" w:hAnsi="仿宋" w:eastAsia="仿宋" w:cs="仿宋"/>
          <w:sz w:val="32"/>
          <w:u w:color="auto"/>
        </w:rPr>
        <w:t>213.31</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环江毛南族自治县非物质文化遗产保护传承中心2022 年度一般公共预算财政拨款支出年初预算为</w:t>
      </w:r>
      <w:r>
        <w:rPr>
          <w:rFonts w:ascii="仿宋" w:hAnsi="仿宋" w:eastAsia="仿宋" w:cs="仿宋"/>
          <w:sz w:val="32"/>
          <w:u w:color="auto"/>
        </w:rPr>
        <w:t>249.61</w:t>
      </w:r>
      <w:r>
        <w:rPr>
          <w:rFonts w:hint="eastAsia" w:ascii="仿宋" w:hAnsi="仿宋" w:eastAsia="仿宋" w:cs="仿宋"/>
          <w:sz w:val="32"/>
          <w:szCs w:val="32"/>
          <w:highlight w:val="none"/>
        </w:rPr>
        <w:t>万元，支出决算为</w:t>
      </w:r>
      <w:r>
        <w:rPr>
          <w:rFonts w:ascii="仿宋" w:hAnsi="仿宋" w:eastAsia="仿宋" w:cs="仿宋"/>
          <w:sz w:val="32"/>
          <w:u w:color="auto"/>
        </w:rPr>
        <w:t>452.82</w:t>
      </w:r>
      <w:r>
        <w:rPr>
          <w:rFonts w:hint="eastAsia" w:ascii="仿宋" w:hAnsi="仿宋" w:eastAsia="仿宋" w:cs="仿宋"/>
          <w:sz w:val="32"/>
          <w:szCs w:val="32"/>
          <w:highlight w:val="none"/>
        </w:rPr>
        <w:t>万元，完成年初预算的</w:t>
      </w:r>
      <w:r>
        <w:rPr>
          <w:rFonts w:ascii="仿宋" w:hAnsi="仿宋" w:eastAsia="仿宋" w:cs="仿宋"/>
          <w:sz w:val="32"/>
          <w:u w:color="auto"/>
        </w:rPr>
        <w:t>181.41%</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3.51</w:t>
      </w:r>
      <w:r>
        <w:rPr>
          <w:rFonts w:hint="eastAsia" w:ascii="仿宋" w:hAnsi="仿宋" w:eastAsia="仿宋"/>
          <w:sz w:val="32"/>
          <w:szCs w:val="32"/>
          <w:highlight w:val="none"/>
        </w:rPr>
        <w:t>万元，支出决算为</w:t>
      </w:r>
      <w:r>
        <w:rPr>
          <w:rFonts w:ascii="仿宋" w:hAnsi="仿宋" w:eastAsia="仿宋"/>
          <w:sz w:val="32"/>
          <w:szCs w:val="32"/>
          <w:highlight w:val="none"/>
        </w:rPr>
        <w:t>3.51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2022年无工会经费预算，但是有工会经费的支出。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单位工会经费的支出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0" w:right="0" w:rightChars="0"/>
              <w:jc w:val="left"/>
              <w:rPr>
                <w:rFonts w:hint="default" w:eastAsia="仿宋"/>
                <w:color w:val="auto"/>
                <w:sz w:val="13"/>
                <w:szCs w:val="13"/>
                <w:highlight w:val="none"/>
                <w:lang w:val="en-US" w:eastAsia="zh-CN"/>
              </w:rPr>
            </w:pPr>
            <w:r>
              <w:rPr>
                <w:rFonts w:hint="eastAsia" w:ascii="仿宋" w:hAnsi="仿宋" w:eastAsia="仿宋" w:cs="仿宋"/>
                <w:color w:val="auto"/>
                <w:kern w:val="2"/>
                <w:sz w:val="13"/>
                <w:szCs w:val="13"/>
                <w:highlight w:val="none"/>
                <w:lang w:val="en-US" w:eastAsia="zh-CN" w:bidi="ar"/>
              </w:rPr>
              <w:t>2022年无工会经费预算，但是有工会经费的支出。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435860"/>
            <wp:effectExtent l="5080" t="4445" r="15875" b="1714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文化旅游体育与传媒支出</w:t>
      </w:r>
      <w:r>
        <w:rPr>
          <w:rFonts w:ascii="仿宋" w:hAnsi="仿宋" w:eastAsia="仿宋"/>
          <w:sz w:val="32"/>
          <w:u w:color="auto"/>
        </w:rPr>
        <w:t>（207</w:t>
      </w:r>
      <w:r>
        <w:rPr>
          <w:rFonts w:hint="eastAsia" w:ascii="仿宋" w:hAnsi="仿宋" w:eastAsia="仿宋"/>
          <w:sz w:val="32"/>
          <w:szCs w:val="32"/>
          <w:highlight w:val="none"/>
        </w:rPr>
        <w:t>类）年初预算为</w:t>
      </w:r>
      <w:r>
        <w:rPr>
          <w:rFonts w:ascii="仿宋" w:hAnsi="仿宋" w:eastAsia="仿宋"/>
          <w:sz w:val="32"/>
          <w:szCs w:val="32"/>
          <w:highlight w:val="none"/>
        </w:rPr>
        <w:t>197.03</w:t>
      </w:r>
      <w:r>
        <w:rPr>
          <w:rFonts w:hint="eastAsia" w:ascii="仿宋" w:hAnsi="仿宋" w:eastAsia="仿宋"/>
          <w:sz w:val="32"/>
          <w:szCs w:val="32"/>
          <w:highlight w:val="none"/>
        </w:rPr>
        <w:t>万元，支出决算为</w:t>
      </w:r>
      <w:r>
        <w:rPr>
          <w:rFonts w:ascii="仿宋" w:hAnsi="仿宋" w:eastAsia="仿宋"/>
          <w:sz w:val="32"/>
          <w:szCs w:val="32"/>
          <w:highlight w:val="none"/>
        </w:rPr>
        <w:t>362.44</w:t>
      </w:r>
      <w:r>
        <w:rPr>
          <w:rFonts w:hint="eastAsia" w:ascii="仿宋" w:hAnsi="仿宋" w:eastAsia="仿宋"/>
          <w:sz w:val="32"/>
          <w:szCs w:val="32"/>
          <w:highlight w:val="none"/>
        </w:rPr>
        <w:t>万元，完成年初预算的</w:t>
      </w:r>
      <w:r>
        <w:rPr>
          <w:rFonts w:ascii="仿宋" w:hAnsi="仿宋" w:eastAsia="仿宋"/>
          <w:sz w:val="32"/>
          <w:szCs w:val="32"/>
          <w:highlight w:val="none"/>
        </w:rPr>
        <w:t>183.95%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原因是：活动增加，年中追加经费较多。</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艺术表演团体</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197.03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254.14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用于开展文艺活动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0" w:right="0" w:rightChars="0"/>
              <w:jc w:val="left"/>
              <w:rPr>
                <w:rFonts w:hint="eastAsia" w:eastAsia="仿宋"/>
                <w:color w:val="auto"/>
                <w:sz w:val="16"/>
                <w:szCs w:val="16"/>
                <w:highlight w:val="none"/>
                <w:lang w:val="en-US" w:eastAsia="zh-CN"/>
              </w:rPr>
            </w:pPr>
            <w:r>
              <w:rPr>
                <w:rFonts w:hint="eastAsia" w:ascii="仿宋" w:hAnsi="仿宋" w:eastAsia="仿宋"/>
                <w:color w:val="auto"/>
                <w:sz w:val="16"/>
                <w:szCs w:val="16"/>
                <w:highlight w:val="none"/>
                <w:lang w:val="en-US" w:eastAsia="zh-CN"/>
              </w:rPr>
              <w:t>活动增加，年中追加经费较多。</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2070111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文化创作与保护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用于文艺作品创作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上级拨款，无年初预算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其他文化和旅游支出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用于开展文艺活动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上级拨款，无年初预算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文物保护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用于文物保护项目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上级拨款，无年初预算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其他文物支出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用于非遗传承项目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上级拨款，无年初预算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197.03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362.44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034665"/>
            <wp:effectExtent l="4445" t="4445" r="16510" b="889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28.04</w:t>
      </w:r>
      <w:r>
        <w:rPr>
          <w:rFonts w:hint="eastAsia" w:ascii="仿宋" w:hAnsi="仿宋" w:eastAsia="仿宋"/>
          <w:sz w:val="32"/>
          <w:szCs w:val="32"/>
          <w:highlight w:val="none"/>
        </w:rPr>
        <w:t>万元，支出决算为</w:t>
      </w:r>
      <w:r>
        <w:rPr>
          <w:rFonts w:ascii="仿宋" w:hAnsi="仿宋" w:eastAsia="仿宋"/>
          <w:sz w:val="32"/>
          <w:szCs w:val="32"/>
          <w:highlight w:val="none"/>
        </w:rPr>
        <w:t>24.92</w:t>
      </w:r>
      <w:r>
        <w:rPr>
          <w:rFonts w:hint="eastAsia" w:ascii="仿宋" w:hAnsi="仿宋" w:eastAsia="仿宋"/>
          <w:sz w:val="32"/>
          <w:szCs w:val="32"/>
          <w:highlight w:val="none"/>
        </w:rPr>
        <w:t>万元，完成年初预算的</w:t>
      </w:r>
      <w:r>
        <w:rPr>
          <w:rFonts w:ascii="仿宋" w:hAnsi="仿宋" w:eastAsia="仿宋"/>
          <w:sz w:val="32"/>
          <w:szCs w:val="32"/>
          <w:highlight w:val="none"/>
        </w:rPr>
        <w:t>88.87%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人员调动。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24.92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88.87%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4"/>
                <w:szCs w:val="24"/>
                <w:highlight w:val="none"/>
                <w:lang w:val="en-US" w:eastAsia="zh-CN"/>
              </w:rPr>
              <w:t>用于职工养老保险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4"/>
                <w:szCs w:val="24"/>
                <w:highlight w:val="none"/>
                <w:lang w:val="en-US" w:eastAsia="zh-CN" w:bidi="ar"/>
              </w:rPr>
              <w:t>人员调动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24.92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21.03</w:t>
      </w:r>
      <w:r>
        <w:rPr>
          <w:rFonts w:hint="eastAsia" w:ascii="仿宋" w:hAnsi="仿宋" w:eastAsia="仿宋"/>
          <w:sz w:val="32"/>
          <w:szCs w:val="32"/>
          <w:highlight w:val="none"/>
        </w:rPr>
        <w:t>万元，支出决算为</w:t>
      </w:r>
      <w:r>
        <w:rPr>
          <w:rFonts w:ascii="仿宋" w:hAnsi="仿宋" w:eastAsia="仿宋"/>
          <w:color w:val="auto"/>
          <w:sz w:val="32"/>
          <w:szCs w:val="32"/>
          <w:highlight w:val="none"/>
        </w:rPr>
        <w:t>20.40</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97.00%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人员调动。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4"/>
                <w:szCs w:val="24"/>
                <w:highlight w:val="none"/>
                <w:lang w:val="en-US" w:eastAsia="zh-CN" w:bidi="ar"/>
              </w:rPr>
              <w:t>人员调动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41.56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21"/>
                <w:szCs w:val="21"/>
                <w:highlight w:val="none"/>
                <w:lang w:val="en-US" w:eastAsia="zh-CN"/>
              </w:rPr>
              <w:t xml:space="preserve"> </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18"/>
                <w:szCs w:val="18"/>
                <w:highlight w:val="none"/>
                <w:lang w:val="en-US" w:eastAsia="zh-CN"/>
              </w:rPr>
              <w:t xml:space="preserve"> </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环江毛南族自治县非物质文化遗产保护传承中心2022年度一般公共预算财政拨款基本支出</w:t>
      </w:r>
      <w:r>
        <w:rPr>
          <w:rFonts w:ascii="仿宋" w:hAnsi="仿宋" w:eastAsia="仿宋" w:cs="仿宋"/>
          <w:sz w:val="32"/>
          <w:u w:color="auto"/>
        </w:rPr>
        <w:t>239.51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231.44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8.07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229.64万元，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99.09%</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人员调动。</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78.38万元，30102津贴补贴5.39万元，30103奖金20.52万元，30106伙食补助费3.60万元，30107绩效工资37.68万元，30108机关事业单位基本养老保险缴费24.92万元，30110职工基本医疗保险缴费9.72万元，30112其他社会保障缴费0.98万元，30113住房公积金20.40万元，30199其他工资福利支出28.06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8.07万元，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30201办公费0.32万元，30205水费0.09万元，30206电费0.99万元，30207邮电费0.76万元，30211差旅费1.78万元，30226劳务费0.60万元，30228工会经费3.51万元，30299其他商品和服务支出0.02万元。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1.80万元，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30305生活补助1.80万元。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584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6385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环江毛南族自治县非物质文化遗产保护传承中心2022年度政府性基金支出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环江毛南族自治县非物质文化遗产保护传承中心2022年度政府性基金支出年初预算为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环江毛南族自治县非物质文化遗产保护传承中心</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环江毛南族自治县非物质文化遗产保护传承中心2022年度国有资本经营预算支出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环江毛南族自治县非物质文化遗产保护传承中心2022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环江毛南族自治县非物质文化遗产保护传承中心</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“三公”经费支出</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lang w:val="en-US" w:eastAsia="zh-CN"/>
        </w:rPr>
        <w:t>（请根实际情况自行补充原因）。</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rPr>
        <w:t>本部门无公务用车。</w:t>
      </w:r>
      <w:r>
        <w:rPr>
          <w:rFonts w:hint="eastAsia" w:ascii="仿宋" w:hAnsi="仿宋" w:eastAsia="仿宋" w:cs="仿宋"/>
          <w:color w:val="auto"/>
          <w:sz w:val="32"/>
          <w:szCs w:val="32"/>
          <w:highlight w:val="none"/>
        </w:rPr>
        <w:t>2022年，</w:t>
      </w:r>
      <w:r>
        <w:rPr>
          <w:rFonts w:ascii="仿宋" w:hAnsi="仿宋" w:eastAsia="仿宋" w:cs="仿宋"/>
          <w:color w:val="auto"/>
          <w:sz w:val="32"/>
          <w:u w:color="auto"/>
        </w:rPr>
        <w:t>环江毛南族自治县非物质文化遗产保护传承中心</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本部门无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减少8.07</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未及时支付，</w:t>
      </w:r>
      <w:r>
        <w:rPr>
          <w:rFonts w:hint="eastAsia" w:ascii="仿宋" w:hAnsi="仿宋" w:eastAsia="仿宋" w:cs="仿宋"/>
          <w:color w:val="auto"/>
          <w:sz w:val="32"/>
          <w:szCs w:val="32"/>
          <w:highlight w:val="none"/>
        </w:rPr>
        <w:t>落实过紧日子要求压减支出</w:t>
      </w:r>
      <w:r>
        <w:rPr>
          <w:rFonts w:hint="eastAsia" w:ascii="仿宋" w:hAnsi="仿宋" w:eastAsia="仿宋" w:cs="仿宋"/>
          <w:color w:val="auto"/>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,226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w:t>
      </w:r>
      <w:r>
        <w:rPr>
          <w:rFonts w:hint="eastAsia" w:ascii="仿宋" w:hAnsi="仿宋" w:eastAsia="仿宋" w:cs="仿宋"/>
          <w:color w:val="auto"/>
          <w:sz w:val="32"/>
          <w:szCs w:val="32"/>
        </w:rPr>
        <w:t>自评结果。</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非物质文化遗产保护经费自评得分为80分。发现的主要问题及原因：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。下一步改进措施：与财政沟通于下一年支付。</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演出经费自评得分为79.86分。发现的主要问题及原因：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。下一步改进措施：与财政沟通于下一年支付。</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灯光音响设备维护费</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4、创作濒危剧种毛南戏经费</w:t>
      </w:r>
      <w:r>
        <w:rPr>
          <w:rFonts w:hint="eastAsia" w:ascii="仿宋" w:hAnsi="仿宋" w:eastAsia="仿宋" w:cs="仿宋"/>
          <w:color w:val="000000" w:themeColor="text1"/>
          <w:sz w:val="32"/>
          <w:szCs w:val="32"/>
          <w14:textFill>
            <w14:solidFill>
              <w14:schemeClr w14:val="tx1"/>
            </w14:solidFill>
          </w14:textFill>
        </w:rPr>
        <w:t>80分。发现的主要问题及原因：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项目已完成未及时支付</w:t>
      </w:r>
      <w:r>
        <w:rPr>
          <w:rFonts w:hint="eastAsia" w:ascii="仿宋" w:hAnsi="仿宋" w:eastAsia="仿宋" w:cs="仿宋"/>
          <w:color w:val="000000" w:themeColor="text1"/>
          <w:sz w:val="32"/>
          <w:szCs w:val="32"/>
          <w14:textFill>
            <w14:solidFill>
              <w14:schemeClr w14:val="tx1"/>
            </w14:solidFill>
          </w14:textFill>
        </w:rPr>
        <w:t>。下一步改进措施：与财政沟通于下一年支付。</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5、奖励性补贴项目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6、戏曲进乡村及濒危剧种保护经费</w:t>
      </w:r>
      <w:r>
        <w:rPr>
          <w:rFonts w:hint="eastAsia" w:ascii="仿宋" w:hAnsi="仿宋" w:eastAsia="仿宋" w:cs="仿宋"/>
          <w:color w:val="000000" w:themeColor="text1"/>
          <w:sz w:val="32"/>
          <w:szCs w:val="32"/>
          <w14:textFill>
            <w14:solidFill>
              <w14:schemeClr w14:val="tx1"/>
            </w14:solidFill>
          </w14:textFill>
        </w:rPr>
        <w:t>80分。发现的主要问题及原因：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演出已按计划完成未及时支付</w:t>
      </w:r>
      <w:r>
        <w:rPr>
          <w:rFonts w:hint="eastAsia" w:ascii="仿宋" w:hAnsi="仿宋" w:eastAsia="仿宋" w:cs="仿宋"/>
          <w:color w:val="000000" w:themeColor="text1"/>
          <w:sz w:val="32"/>
          <w:szCs w:val="32"/>
          <w14:textFill>
            <w14:solidFill>
              <w14:schemeClr w14:val="tx1"/>
            </w14:solidFill>
          </w14:textFill>
        </w:rPr>
        <w:t>。下一步改进措施：与财政沟通于下一年支付。</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7、国家非物质文化遗产保护资金</w:t>
      </w:r>
      <w:r>
        <w:rPr>
          <w:rFonts w:hint="eastAsia" w:ascii="仿宋" w:hAnsi="仿宋" w:eastAsia="仿宋" w:cs="仿宋"/>
          <w:color w:val="000000" w:themeColor="text1"/>
          <w:sz w:val="32"/>
          <w:szCs w:val="32"/>
          <w14:textFill>
            <w14:solidFill>
              <w14:schemeClr w14:val="tx1"/>
            </w14:solidFill>
          </w14:textFill>
        </w:rPr>
        <w:t>80分。发现的主要问题及原因：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非遗项目已开展未及时支付</w:t>
      </w:r>
      <w:r>
        <w:rPr>
          <w:rFonts w:hint="eastAsia" w:ascii="仿宋" w:hAnsi="仿宋" w:eastAsia="仿宋" w:cs="仿宋"/>
          <w:color w:val="000000" w:themeColor="text1"/>
          <w:sz w:val="32"/>
          <w:szCs w:val="32"/>
          <w14:textFill>
            <w14:solidFill>
              <w14:schemeClr w14:val="tx1"/>
            </w14:solidFill>
          </w14:textFill>
        </w:rPr>
        <w:t>。下一步改进措施：与财政沟通于下一年支付。</w:t>
      </w:r>
    </w:p>
    <w:p>
      <w:pPr>
        <w:numPr>
          <w:ilvl w:val="0"/>
          <w:numId w:val="0"/>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8、市级非物质文化遗产代表性传承人传承工作补助经费</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0"/>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9、自治区补助市县文化项目资金</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lang w:eastAsia="zh-CN"/>
        </w:rPr>
      </w:pPr>
    </w:p>
    <w:p>
      <w:pPr>
        <w:ind w:firstLine="640" w:firstLineChars="200"/>
        <w:jc w:val="center"/>
        <w:rPr>
          <w:rFonts w:hint="eastAsia" w:ascii="仿宋" w:hAnsi="仿宋" w:eastAsia="仿宋" w:cs="仿宋"/>
          <w:sz w:val="32"/>
          <w:szCs w:val="32"/>
          <w:highlight w:val="none"/>
          <w:lang w:eastAsia="zh-CN"/>
        </w:rPr>
      </w:pPr>
      <w:bookmarkStart w:id="6" w:name="_GoBack"/>
      <w:bookmarkEnd w:id="6"/>
    </w:p>
    <w:p>
      <w:pPr>
        <w:ind w:firstLine="640" w:firstLineChars="200"/>
        <w:jc w:val="left"/>
        <w:rPr>
          <w:rFonts w:hint="eastAsia" w:ascii="仿宋" w:hAnsi="仿宋" w:eastAsia="仿宋" w:cs="仿宋"/>
          <w:sz w:val="32"/>
          <w:szCs w:val="32"/>
          <w:highlight w:val="none"/>
          <w:lang w:eastAsia="zh-CN"/>
        </w:rPr>
      </w:pPr>
    </w:p>
    <w:p>
      <w:pPr>
        <w:ind w:firstLine="640" w:firstLineChars="200"/>
        <w:jc w:val="left"/>
        <w:rPr>
          <w:rFonts w:hint="eastAsia" w:ascii="仿宋" w:hAnsi="仿宋" w:eastAsia="仿宋" w:cs="仿宋"/>
          <w:sz w:val="32"/>
          <w:szCs w:val="32"/>
          <w:highlight w:val="none"/>
          <w:lang w:eastAsia="zh-CN"/>
        </w:rPr>
      </w:pPr>
    </w:p>
    <w:p>
      <w:pPr>
        <w:ind w:firstLine="640" w:firstLineChars="200"/>
        <w:jc w:val="left"/>
        <w:rPr>
          <w:rFonts w:hint="eastAsia" w:ascii="仿宋" w:hAnsi="仿宋" w:eastAsia="仿宋" w:cs="仿宋"/>
          <w:sz w:val="32"/>
          <w:szCs w:val="32"/>
          <w:highlight w:val="none"/>
          <w:lang w:eastAsia="zh-CN"/>
        </w:rPr>
      </w:pPr>
    </w:p>
    <w:p>
      <w:pPr>
        <w:ind w:firstLine="640" w:firstLineChars="200"/>
        <w:jc w:val="left"/>
        <w:rPr>
          <w:rFonts w:hint="default" w:ascii="仿宋" w:hAnsi="仿宋" w:eastAsia="仿宋" w:cs="仿宋"/>
          <w:sz w:val="32"/>
          <w:szCs w:val="32"/>
          <w:highlight w:val="none"/>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xZGYwZjJkNjE2YzQ4OTFkYzY3NWY1ZThkMWQwMTA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647ECA"/>
    <w:rsid w:val="02E0291A"/>
    <w:rsid w:val="04E54546"/>
    <w:rsid w:val="05992762"/>
    <w:rsid w:val="06D51512"/>
    <w:rsid w:val="07B0770E"/>
    <w:rsid w:val="0942143F"/>
    <w:rsid w:val="0D100297"/>
    <w:rsid w:val="0D202B45"/>
    <w:rsid w:val="0F8D4C87"/>
    <w:rsid w:val="10505FAA"/>
    <w:rsid w:val="105F7E7E"/>
    <w:rsid w:val="11E56B5B"/>
    <w:rsid w:val="125C77AB"/>
    <w:rsid w:val="13A62FE4"/>
    <w:rsid w:val="14CB726E"/>
    <w:rsid w:val="15EC0F3B"/>
    <w:rsid w:val="175861E8"/>
    <w:rsid w:val="17E92249"/>
    <w:rsid w:val="18BA5322"/>
    <w:rsid w:val="18D304F1"/>
    <w:rsid w:val="18D526FA"/>
    <w:rsid w:val="19811A3B"/>
    <w:rsid w:val="19F32577"/>
    <w:rsid w:val="19F45B80"/>
    <w:rsid w:val="1B0C078D"/>
    <w:rsid w:val="1B2B31E2"/>
    <w:rsid w:val="1B4C295A"/>
    <w:rsid w:val="1B973C63"/>
    <w:rsid w:val="1BA1001E"/>
    <w:rsid w:val="1D317259"/>
    <w:rsid w:val="1E664F5B"/>
    <w:rsid w:val="1EB34BE1"/>
    <w:rsid w:val="215E639F"/>
    <w:rsid w:val="21EC3183"/>
    <w:rsid w:val="225E72CD"/>
    <w:rsid w:val="246E2F77"/>
    <w:rsid w:val="24F75603"/>
    <w:rsid w:val="254B4E2B"/>
    <w:rsid w:val="283D7C94"/>
    <w:rsid w:val="29480E03"/>
    <w:rsid w:val="2983634D"/>
    <w:rsid w:val="2BB02055"/>
    <w:rsid w:val="2C575A56"/>
    <w:rsid w:val="2F257714"/>
    <w:rsid w:val="2F3275E5"/>
    <w:rsid w:val="30AA08EF"/>
    <w:rsid w:val="30D23D1C"/>
    <w:rsid w:val="31221CF5"/>
    <w:rsid w:val="31400178"/>
    <w:rsid w:val="321E3342"/>
    <w:rsid w:val="3231423E"/>
    <w:rsid w:val="327759C8"/>
    <w:rsid w:val="33185FE3"/>
    <w:rsid w:val="34EE2E36"/>
    <w:rsid w:val="36777241"/>
    <w:rsid w:val="371E78D5"/>
    <w:rsid w:val="38A951DB"/>
    <w:rsid w:val="38B31605"/>
    <w:rsid w:val="39003F4F"/>
    <w:rsid w:val="392151BB"/>
    <w:rsid w:val="3C07002B"/>
    <w:rsid w:val="3D0D152A"/>
    <w:rsid w:val="3D15571E"/>
    <w:rsid w:val="3DF62756"/>
    <w:rsid w:val="3F1B7587"/>
    <w:rsid w:val="41E57B4F"/>
    <w:rsid w:val="4274366C"/>
    <w:rsid w:val="432F26F6"/>
    <w:rsid w:val="43880F63"/>
    <w:rsid w:val="441B78F4"/>
    <w:rsid w:val="441C5A6F"/>
    <w:rsid w:val="44C44FCC"/>
    <w:rsid w:val="44CC7369"/>
    <w:rsid w:val="457F5108"/>
    <w:rsid w:val="46951B6B"/>
    <w:rsid w:val="49A34401"/>
    <w:rsid w:val="4A3E30AB"/>
    <w:rsid w:val="4AC14DAC"/>
    <w:rsid w:val="4D154C85"/>
    <w:rsid w:val="4D930BFD"/>
    <w:rsid w:val="4E157A52"/>
    <w:rsid w:val="4EB35ECE"/>
    <w:rsid w:val="50333567"/>
    <w:rsid w:val="508F4E24"/>
    <w:rsid w:val="51461E90"/>
    <w:rsid w:val="51463753"/>
    <w:rsid w:val="52553A93"/>
    <w:rsid w:val="53521F8B"/>
    <w:rsid w:val="53E22F47"/>
    <w:rsid w:val="54522FF8"/>
    <w:rsid w:val="55450629"/>
    <w:rsid w:val="56692963"/>
    <w:rsid w:val="568B0F48"/>
    <w:rsid w:val="5786217B"/>
    <w:rsid w:val="59337A15"/>
    <w:rsid w:val="595D6CCC"/>
    <w:rsid w:val="59810274"/>
    <w:rsid w:val="5CA96A00"/>
    <w:rsid w:val="5CF730BC"/>
    <w:rsid w:val="5E5F0DCE"/>
    <w:rsid w:val="5FA40A7B"/>
    <w:rsid w:val="5FD56D29"/>
    <w:rsid w:val="5FEC7F3F"/>
    <w:rsid w:val="6038094B"/>
    <w:rsid w:val="608A0718"/>
    <w:rsid w:val="60F74BC3"/>
    <w:rsid w:val="617D3BF8"/>
    <w:rsid w:val="61841F6A"/>
    <w:rsid w:val="623007A9"/>
    <w:rsid w:val="637D7558"/>
    <w:rsid w:val="644F19AC"/>
    <w:rsid w:val="65AA4920"/>
    <w:rsid w:val="65BF03BD"/>
    <w:rsid w:val="65E31D0B"/>
    <w:rsid w:val="66793251"/>
    <w:rsid w:val="67694F1E"/>
    <w:rsid w:val="69597934"/>
    <w:rsid w:val="6B964DDC"/>
    <w:rsid w:val="6BA77FDF"/>
    <w:rsid w:val="6C1809F0"/>
    <w:rsid w:val="6C783074"/>
    <w:rsid w:val="6D9E65C6"/>
    <w:rsid w:val="6DA81947"/>
    <w:rsid w:val="6EA34677"/>
    <w:rsid w:val="6EB66DE2"/>
    <w:rsid w:val="6ED3075F"/>
    <w:rsid w:val="6F2A2D4B"/>
    <w:rsid w:val="6F8A0C1E"/>
    <w:rsid w:val="703F45D4"/>
    <w:rsid w:val="715D6546"/>
    <w:rsid w:val="71BE069E"/>
    <w:rsid w:val="73953409"/>
    <w:rsid w:val="73E069A3"/>
    <w:rsid w:val="76765967"/>
    <w:rsid w:val="78104AA8"/>
    <w:rsid w:val="78E257C5"/>
    <w:rsid w:val="794B35BE"/>
    <w:rsid w:val="7A4A6ABC"/>
    <w:rsid w:val="7B0A3A31"/>
    <w:rsid w:val="7B3360ED"/>
    <w:rsid w:val="7BDF037E"/>
    <w:rsid w:val="7BF50948"/>
    <w:rsid w:val="7CE66A78"/>
    <w:rsid w:val="7D23564C"/>
    <w:rsid w:val="7D5E062D"/>
    <w:rsid w:val="7DF434E0"/>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452.82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1.8</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Sheet1!$B$2:$B$6</c:f>
              <c:numCache>
                <c:formatCode>General</c:formatCode>
                <c:ptCount val="5"/>
                <c:pt idx="0">
                  <c:v>0</c:v>
                </c:pt>
                <c:pt idx="1">
                  <c:v>195.9</c:v>
                </c:pt>
                <c:pt idx="2">
                  <c:v>27.81</c:v>
                </c:pt>
                <c:pt idx="3">
                  <c:v>20.03</c:v>
                </c:pt>
                <c:pt idx="4">
                  <c:v>59.02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Sheet1!$C$2:$C$6</c:f>
              <c:numCache>
                <c:formatCode>General</c:formatCode>
                <c:ptCount val="5"/>
                <c:pt idx="0">
                  <c:v>3.51</c:v>
                </c:pt>
                <c:pt idx="1">
                  <c:v>362.44</c:v>
                </c:pt>
                <c:pt idx="2">
                  <c:v>24.92</c:v>
                </c:pt>
                <c:pt idx="3">
                  <c:v>20.4</c:v>
                </c:pt>
                <c:pt idx="4">
                  <c:v>41.56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3.51</c:v>
                </c:pt>
                <c:pt idx="1">
                  <c:v>3.51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文化旅游体育与传媒支出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Sheet1!$A$2:$A$7</c:f>
              <c:strCache>
                <c:ptCount val="6"/>
                <c:pt idx="0">
                  <c:v>2070107</c:v>
                </c:pt>
                <c:pt idx="1">
                  <c:v>2070111</c:v>
                </c:pt>
                <c:pt idx="2">
                  <c:v>2070199</c:v>
                </c:pt>
                <c:pt idx="3">
                  <c:v>2070204</c:v>
                </c:pt>
                <c:pt idx="4">
                  <c:v>2070299</c:v>
                </c:pt>
                <c:pt idx="5">
                  <c:v>207x</c:v>
                </c:pt>
              </c:strCache>
            </c:strRef>
          </c:cat>
          <c:val>
            <c:numRef>
              <c:f>Sheet1!$B$2:$B$7</c:f>
              <c:numCache>
                <c:formatCode>General</c:formatCode>
                <c:ptCount val="6"/>
                <c:pt idx="0">
                  <c:v>254.14</c:v>
                </c:pt>
                <c:pt idx="1">
                  <c:v>59.42</c:v>
                </c:pt>
                <c:pt idx="2">
                  <c:v>34.39</c:v>
                </c:pt>
                <c:pt idx="3">
                  <c:v>10</c:v>
                </c:pt>
                <c:pt idx="4">
                  <c:v>4.5</c:v>
                </c:pt>
                <c:pt idx="5">
                  <c:v>362.44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24.92</c:v>
                </c:pt>
                <c:pt idx="1">
                  <c:v>24.92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20.4</c:v>
                </c:pt>
                <c:pt idx="1">
                  <c:v>20.4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41.56</c:v>
                </c:pt>
                <c:pt idx="1">
                  <c:v>41.56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78.38</c:v>
                </c:pt>
                <c:pt idx="1">
                  <c:v>5.39</c:v>
                </c:pt>
                <c:pt idx="2">
                  <c:v>20.52</c:v>
                </c:pt>
                <c:pt idx="3">
                  <c:v>3.6</c:v>
                </c:pt>
                <c:pt idx="4">
                  <c:v>37.68</c:v>
                </c:pt>
                <c:pt idx="5">
                  <c:v>24.92</c:v>
                </c:pt>
                <c:pt idx="6">
                  <c:v>0</c:v>
                </c:pt>
                <c:pt idx="7">
                  <c:v>9.72</c:v>
                </c:pt>
                <c:pt idx="8">
                  <c:v>0</c:v>
                </c:pt>
                <c:pt idx="9">
                  <c:v>0.98</c:v>
                </c:pt>
                <c:pt idx="10">
                  <c:v>20.4</c:v>
                </c:pt>
                <c:pt idx="11">
                  <c:v>0</c:v>
                </c:pt>
                <c:pt idx="12">
                  <c:v>28.06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0.32</c:v>
                </c:pt>
                <c:pt idx="1">
                  <c:v>0</c:v>
                </c:pt>
                <c:pt idx="2">
                  <c:v>0</c:v>
                </c:pt>
                <c:pt idx="3">
                  <c:v>0</c:v>
                </c:pt>
                <c:pt idx="4">
                  <c:v>0.09</c:v>
                </c:pt>
                <c:pt idx="5">
                  <c:v>0.99</c:v>
                </c:pt>
                <c:pt idx="6">
                  <c:v>0.76</c:v>
                </c:pt>
                <c:pt idx="7">
                  <c:v>0</c:v>
                </c:pt>
                <c:pt idx="8">
                  <c:v>0</c:v>
                </c:pt>
                <c:pt idx="9">
                  <c:v>1.78</c:v>
                </c:pt>
                <c:pt idx="10">
                  <c:v>0</c:v>
                </c:pt>
                <c:pt idx="11">
                  <c:v>0</c:v>
                </c:pt>
                <c:pt idx="12">
                  <c:v>0</c:v>
                </c:pt>
                <c:pt idx="13">
                  <c:v>0</c:v>
                </c:pt>
                <c:pt idx="14">
                  <c:v>0</c:v>
                </c:pt>
                <c:pt idx="15">
                  <c:v>0</c:v>
                </c:pt>
                <c:pt idx="16">
                  <c:v>0</c:v>
                </c:pt>
                <c:pt idx="17">
                  <c:v>0</c:v>
                </c:pt>
                <c:pt idx="18">
                  <c:v>0</c:v>
                </c:pt>
                <c:pt idx="19">
                  <c:v>0.6</c:v>
                </c:pt>
                <c:pt idx="20">
                  <c:v>0</c:v>
                </c:pt>
                <c:pt idx="21">
                  <c:v>3.51</c:v>
                </c:pt>
                <c:pt idx="22">
                  <c:v>0</c:v>
                </c:pt>
                <c:pt idx="23">
                  <c:v>0</c:v>
                </c:pt>
                <c:pt idx="24">
                  <c:v>0</c:v>
                </c:pt>
                <c:pt idx="25">
                  <c:v>0</c:v>
                </c:pt>
                <c:pt idx="26">
                  <c:v>0.02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2023-11-27T07:37:21Z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