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环江毛南族自治县科学技术协会2022年度部门决算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8日</w:t>
      </w:r>
    </w:p>
    <w:p>
      <w:pPr>
        <w:jc w:val="center"/>
        <w:rPr>
          <w:rFonts w:ascii="黑体" w:hAnsi="黑体" w:eastAsia="黑体" w:cs="黑体"/>
          <w:b/>
          <w:bCs/>
          <w:sz w:val="36"/>
          <w:szCs w:val="36"/>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环江毛南族自治县科学技术协会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环江毛南族自治县科学技术协会</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环江毛南族自治县科学技术协会</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环江毛南族自治县科学技术协会</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FF0000"/>
          <w:sz w:val="32"/>
          <w:szCs w:val="32"/>
          <w:lang w:val="en-US" w:eastAsia="zh-CN"/>
        </w:rPr>
      </w:pPr>
      <w:r>
        <w:rPr>
          <w:rFonts w:hint="eastAsia" w:ascii="仿宋_GB2312" w:hAnsi="Times New Roman" w:eastAsia="仿宋_GB2312" w:cs="Times New Roman"/>
          <w:sz w:val="32"/>
          <w:szCs w:val="32"/>
          <w:lang w:eastAsia="zh-CN"/>
        </w:rPr>
        <w:t>环江毛南族自治县科学技术协会的主要职能是：</w:t>
      </w:r>
      <w:r>
        <w:rPr>
          <w:rFonts w:hint="eastAsia" w:ascii="仿宋_GB2312" w:hAnsi="Times New Roman" w:eastAsia="仿宋_GB2312" w:cs="Times New Roman"/>
          <w:sz w:val="32"/>
          <w:szCs w:val="32"/>
        </w:rPr>
        <w:t>贯彻实施《全民科学素质行动计划纲要》，协调管理全县科学技术普及、宣传、推广、咨询工作；制定、组织、实施全县科普工作计划，指导、管理乡镇科普协会和农村专业技术协会</w:t>
      </w:r>
      <w:r>
        <w:rPr>
          <w:rFonts w:hint="eastAsia" w:ascii="仿宋_GB2312" w:hAnsi="Times New Roman" w:eastAsia="仿宋_GB2312" w:cs="Times New Roman"/>
          <w:sz w:val="32"/>
          <w:szCs w:val="32"/>
          <w:lang w:eastAsia="zh-CN"/>
        </w:rPr>
        <w:t>开展</w:t>
      </w:r>
      <w:r>
        <w:rPr>
          <w:rFonts w:hint="eastAsia" w:ascii="仿宋_GB2312" w:hAnsi="Times New Roman" w:eastAsia="仿宋_GB2312" w:cs="Times New Roman"/>
          <w:sz w:val="32"/>
          <w:szCs w:val="32"/>
        </w:rPr>
        <w:t>工作；组织各专业学(协)会开展学术交流、研讨活动，促进知识创新、学科发展；开展农村实用技术培训；推广新技术、引进新品种、种养新项目；开展青少年科技教育活动，提高青少年学生的科学素质和对科学的兴趣。</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480" w:firstLineChars="150"/>
        <w:jc w:val="left"/>
        <w:rPr>
          <w:rFonts w:ascii="仿宋_GB2312" w:eastAsia="仿宋_GB2312" w:cs="仿宋_GB2312"/>
          <w:sz w:val="32"/>
          <w:szCs w:val="32"/>
        </w:rPr>
      </w:pPr>
      <w:r>
        <w:rPr>
          <w:rFonts w:hint="eastAsia" w:ascii="仿宋_GB2312" w:hAnsi="Times New Roman" w:eastAsia="仿宋_GB2312" w:cs="仿宋_GB2312"/>
          <w:sz w:val="32"/>
          <w:szCs w:val="32"/>
        </w:rPr>
        <w:t>环江科协内设办公室和科技普及管理股两个股室。</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年度单位汇总决算报表由1个单位决算报表构成。</w:t>
      </w:r>
      <w:r>
        <w:rPr>
          <w:rFonts w:hint="eastAsia" w:ascii="仿宋_GB2312" w:hAnsi="Times New Roman" w:eastAsia="仿宋_GB2312" w:cs="仿宋_GB2312"/>
          <w:sz w:val="32"/>
          <w:szCs w:val="32"/>
        </w:rPr>
        <w:t>人员构成情况如下：人员编制总数为5人，行政编制5人。实有财政供养人员</w:t>
      </w:r>
      <w:r>
        <w:rPr>
          <w:rFonts w:hint="eastAsia" w:ascii="仿宋_GB2312" w:hAnsi="Times New Roman" w:eastAsia="仿宋_GB2312" w:cs="仿宋_GB2312"/>
          <w:sz w:val="32"/>
          <w:szCs w:val="32"/>
          <w:lang w:val="en-US" w:eastAsia="zh-CN"/>
        </w:rPr>
        <w:t>10</w:t>
      </w:r>
      <w:r>
        <w:rPr>
          <w:rFonts w:hint="eastAsia" w:ascii="仿宋_GB2312" w:hAnsi="Times New Roman" w:eastAsia="仿宋_GB2312" w:cs="仿宋_GB2312"/>
          <w:sz w:val="32"/>
          <w:szCs w:val="32"/>
        </w:rPr>
        <w:t>人,其中行政在职人员</w:t>
      </w:r>
      <w:r>
        <w:rPr>
          <w:rFonts w:hint="eastAsia" w:ascii="仿宋_GB2312" w:hAnsi="Times New Roman" w:eastAsia="仿宋_GB2312" w:cs="仿宋_GB2312"/>
          <w:sz w:val="32"/>
          <w:szCs w:val="32"/>
          <w:lang w:val="en-US" w:eastAsia="zh-CN"/>
        </w:rPr>
        <w:t>8</w:t>
      </w:r>
      <w:r>
        <w:rPr>
          <w:rFonts w:hint="eastAsia" w:ascii="仿宋_GB2312" w:hAnsi="Times New Roman" w:eastAsia="仿宋_GB2312" w:cs="仿宋_GB2312"/>
          <w:sz w:val="32"/>
          <w:szCs w:val="32"/>
        </w:rPr>
        <w:t>人，退休人员2人。</w:t>
      </w:r>
    </w:p>
    <w:p>
      <w:pPr>
        <w:jc w:val="left"/>
        <w:rPr>
          <w:rFonts w:hint="eastAsia" w:ascii="黑体" w:hAnsi="黑体" w:eastAsia="黑体" w:cs="黑体"/>
          <w:sz w:val="32"/>
          <w:szCs w:val="32"/>
          <w:highlight w:val="none"/>
          <w:lang w:val="en-US" w:eastAsia="zh-CN"/>
        </w:rPr>
      </w:pPr>
      <w:r>
        <w:rPr>
          <w:rFonts w:hint="eastAsia" w:ascii="仿宋" w:hAnsi="仿宋" w:eastAsia="仿宋" w:cs="仿宋"/>
          <w:color w:val="FF0000"/>
          <w:sz w:val="32"/>
          <w:szCs w:val="32"/>
          <w:lang w:eastAsia="zh-CN"/>
        </w:rPr>
        <w:t>　　</w:t>
      </w: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环江毛南族自治县科学技术协会</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广西河池市环江毛南族自治县科学技术协会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115.61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广西河池市环江毛南族自治县科学技术协会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154.65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154.65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科学技术支出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科学技术普及</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机构运行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科普活动</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青少年科技活动</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其他科学技术普及支出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广西河池市环江毛南族自治县科学技术协会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154.65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122.79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31.86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科学技术支出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83.74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科学技术普及</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83.74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机构运行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83.74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科普活动</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16.26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青少年科技活动</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2060799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其他科学技术普及支出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广西河池市环江毛南族自治县科学技术协会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115.61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115.61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12.58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12.58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15.30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154.65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154.65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广西河池市环江毛南族自治县科学技术协会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154.65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122.79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31.86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科学技术支出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115.61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20607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科学技术普及</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115.61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2060701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机构运行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2060702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科普活动</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16.26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2060703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青少年科技活动</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2060799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其他科学技术普及支出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广西河池市环江毛南族自治县科学技术协会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9.79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广西河池市环江毛南族自治县科学技术协会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firstLine="630" w:firstLineChars="30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广西河池市环江毛南族自治县科学技术协会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　　　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广西河池市环江毛南族自治县科学技术协会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　　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环江毛南族自治县科学技术协会</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154.65</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增加21.48</w:t>
      </w:r>
      <w:r>
        <w:rPr>
          <w:rFonts w:hint="eastAsia" w:ascii="仿宋" w:hAnsi="仿宋" w:eastAsia="仿宋" w:cs="仿宋"/>
          <w:sz w:val="32"/>
          <w:szCs w:val="32"/>
          <w:highlight w:val="none"/>
        </w:rPr>
        <w:t>万元，</w:t>
      </w:r>
      <w:r>
        <w:rPr>
          <w:rFonts w:ascii="仿宋" w:hAnsi="仿宋" w:eastAsia="仿宋" w:cs="仿宋"/>
          <w:sz w:val="32"/>
          <w:u w:color="auto"/>
        </w:rPr>
        <w:t>增长16.13%</w:t>
      </w:r>
      <w:r>
        <w:rPr>
          <w:rFonts w:hint="eastAsia" w:ascii="仿宋" w:hAnsi="仿宋" w:eastAsia="仿宋" w:cs="仿宋"/>
          <w:sz w:val="32"/>
          <w:szCs w:val="32"/>
          <w:highlight w:val="none"/>
        </w:rPr>
        <w:t>，其中本年收入</w:t>
      </w:r>
      <w:r>
        <w:rPr>
          <w:rFonts w:ascii="仿宋" w:hAnsi="仿宋" w:eastAsia="仿宋" w:cs="仿宋"/>
          <w:sz w:val="32"/>
          <w:u w:color="auto"/>
        </w:rPr>
        <w:t>154.65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154.65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增加21.93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增长16.52%</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主要原因：22年获得陈双村科普示范村建设奖补资金和</w:t>
      </w:r>
      <w:r>
        <w:rPr>
          <w:rFonts w:hint="eastAsia" w:ascii="Times New Roman" w:hAnsi="Times New Roman" w:eastAsia="仿宋_GB2312" w:cs="Times New Roman"/>
          <w:kern w:val="0"/>
          <w:sz w:val="32"/>
          <w:szCs w:val="32"/>
          <w:lang w:eastAsia="zh-CN"/>
        </w:rPr>
        <w:t>人员工资增长以及社会保障缴费增加。</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Times New Roman" w:hAnsi="Times New Roman" w:eastAsia="仿宋_GB2312" w:cs="Times New Roman"/>
          <w:kern w:val="0"/>
          <w:sz w:val="32"/>
          <w:szCs w:val="32"/>
          <w:lang w:eastAsia="zh-CN"/>
        </w:rPr>
        <w:t>无</w:t>
      </w:r>
      <w:r>
        <w:rPr>
          <w:rFonts w:ascii="Times New Roman" w:hAnsi="Times New Roman" w:eastAsia="仿宋_GB2312" w:cs="Times New Roman"/>
          <w:kern w:val="0"/>
          <w:sz w:val="32"/>
          <w:szCs w:val="32"/>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无</w:t>
      </w:r>
      <w:r>
        <w:rPr>
          <w:rFonts w:ascii="Times New Roman" w:hAnsi="Times New Roman" w:eastAsia="仿宋_GB2312" w:cs="Times New Roman"/>
          <w:kern w:val="0"/>
          <w:sz w:val="32"/>
          <w:szCs w:val="32"/>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减少0.45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65675" cy="2867025"/>
            <wp:effectExtent l="4445" t="4445" r="11430"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154.65</w:t>
      </w:r>
      <w:r>
        <w:rPr>
          <w:rFonts w:hint="eastAsia" w:ascii="仿宋" w:hAnsi="仿宋" w:eastAsia="仿宋" w:cs="仿宋"/>
          <w:sz w:val="32"/>
          <w:szCs w:val="32"/>
          <w:highlight w:val="none"/>
        </w:rPr>
        <w:t>万元，其中本年支出</w:t>
      </w:r>
      <w:r>
        <w:rPr>
          <w:rFonts w:ascii="仿宋" w:hAnsi="仿宋" w:eastAsia="仿宋" w:cs="仿宋"/>
          <w:sz w:val="32"/>
          <w:u w:color="auto"/>
        </w:rPr>
        <w:t>154.65</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增加21.48</w:t>
      </w:r>
      <w:r>
        <w:rPr>
          <w:rFonts w:hint="eastAsia" w:ascii="仿宋" w:hAnsi="仿宋" w:eastAsia="仿宋" w:cs="仿宋"/>
          <w:sz w:val="32"/>
          <w:szCs w:val="32"/>
          <w:highlight w:val="none"/>
        </w:rPr>
        <w:t>万元，</w:t>
      </w:r>
      <w:r>
        <w:rPr>
          <w:rFonts w:ascii="仿宋" w:hAnsi="仿宋" w:eastAsia="仿宋" w:cs="仿宋"/>
          <w:sz w:val="32"/>
          <w:u w:color="auto"/>
        </w:rPr>
        <w:t>增长16.13%</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：工会活动经费开支</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上年工会经费不列入201类。</w:t>
      </w:r>
    </w:p>
    <w:p>
      <w:pPr>
        <w:keepNext w:val="0"/>
        <w:keepLines w:val="0"/>
        <w:widowControl w:val="0"/>
        <w:numPr>
          <w:ilvl w:val="0"/>
          <w:numId w:val="0"/>
        </w:numPr>
        <w:suppressLineNumbers w:val="0"/>
        <w:autoSpaceDE w:val="0"/>
        <w:autoSpaceDN w:val="0"/>
        <w:adjustRightInd w:val="0"/>
        <w:spacing w:before="0" w:beforeAutospacing="0" w:after="0" w:afterAutospacing="0" w:line="560" w:lineRule="exact"/>
        <w:ind w:right="0" w:rightChars="0"/>
        <w:jc w:val="left"/>
        <w:rPr>
          <w:rFonts w:hint="eastAsia" w:ascii="仿宋_GB2312" w:hAnsi="仿宋_GB2312" w:eastAsia="仿宋_GB2312" w:cs="仿宋_GB2312"/>
          <w:kern w:val="0"/>
          <w:sz w:val="32"/>
          <w:szCs w:val="32"/>
          <w:lang w:val="en-US" w:eastAsia="zh-CN" w:bidi="ar"/>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2.科学技术支出（206 类）115.61万元：主要用于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主要用于本部门为保证日常运转发生的基本支出和为完成各项工作任务、保障单位事业发展而发生的项目支出</w:t>
      </w:r>
      <w:r>
        <w:rPr>
          <w:rFonts w:hint="eastAsia" w:ascii="仿宋" w:hAnsi="仿宋" w:eastAsia="仿宋" w:cs="仿宋"/>
          <w:sz w:val="32"/>
          <w:szCs w:val="32"/>
          <w:highlight w:val="none"/>
        </w:rPr>
        <w:t>。较2021年度决算数增加2.36万元，增长2.08%，</w:t>
      </w:r>
      <w:r>
        <w:rPr>
          <w:rFonts w:hint="eastAsia" w:ascii="仿宋" w:hAnsi="仿宋" w:eastAsia="仿宋" w:cs="仿宋"/>
          <w:sz w:val="32"/>
          <w:szCs w:val="32"/>
          <w:highlight w:val="none"/>
          <w:lang w:val="en-US" w:eastAsia="zh-CN"/>
        </w:rPr>
        <w:t>主要原因是：主要</w:t>
      </w:r>
      <w:r>
        <w:rPr>
          <w:rFonts w:hint="eastAsia" w:ascii="仿宋_GB2312" w:hAnsi="仿宋_GB2312" w:eastAsia="仿宋_GB2312" w:cs="仿宋_GB2312"/>
          <w:kern w:val="0"/>
          <w:sz w:val="32"/>
          <w:szCs w:val="32"/>
          <w:lang w:val="en-US" w:eastAsia="zh-CN" w:bidi="ar"/>
        </w:rPr>
        <w:t>原因是</w:t>
      </w:r>
      <w:r>
        <w:rPr>
          <w:rFonts w:hint="eastAsia" w:ascii="Times New Roman" w:hAnsi="Times New Roman" w:eastAsia="仿宋_GB2312" w:cs="Times New Roman"/>
          <w:kern w:val="0"/>
          <w:sz w:val="32"/>
          <w:szCs w:val="32"/>
          <w:lang w:eastAsia="zh-CN"/>
        </w:rPr>
        <w:t>人员工资增长和绩效性补贴增加</w:t>
      </w:r>
      <w:r>
        <w:rPr>
          <w:rFonts w:hint="eastAsia" w:ascii="仿宋_GB2312" w:hAnsi="仿宋_GB2312"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12.58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主要用于按照国家政策规定为职工缴纳养老保险、基本医疗保险和工伤保险等方面的社保支出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增加1.79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增长16.59%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主要原因是：人员工资、绩效补贴增加，按政策，养老、医疗保险、住房公积金等基数增长，测算出的社保缴费也增加了。</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9.62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主要用于按照国家政策规定向职工发放的住房公积金、提租补贴、购房补贴等住房改革方面的支出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增长15.90%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主要原因是：工资和绩效奖增加引起缴纳住房公积金基数提高。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15.30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职员绩效奖补和伙食补助。</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增加15.30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2022年初次将</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职员绩效奖补和伙食补助列入229类。</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：2022年收支平衡</w:t>
      </w:r>
      <w:r>
        <w:rPr>
          <w:rFonts w:hint="eastAsia" w:ascii="仿宋" w:hAnsi="仿宋" w:eastAsia="仿宋" w:cs="仿宋"/>
          <w:color w:val="auto"/>
          <w:kern w:val="2"/>
          <w:sz w:val="32"/>
          <w:szCs w:val="32"/>
          <w:highlight w:val="none"/>
          <w:lang w:val="en-US" w:eastAsia="zh-CN" w:bidi="ar"/>
        </w:rPr>
        <w:t>没有结余。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主要原因是：2022年收支平衡</w:t>
      </w:r>
      <w:r>
        <w:rPr>
          <w:rFonts w:hint="eastAsia" w:ascii="仿宋" w:hAnsi="仿宋" w:eastAsia="仿宋" w:cs="仿宋"/>
          <w:color w:val="auto"/>
          <w:kern w:val="2"/>
          <w:sz w:val="32"/>
          <w:szCs w:val="32"/>
          <w:highlight w:val="none"/>
          <w:lang w:val="en-US" w:eastAsia="zh-CN" w:bidi="ar"/>
        </w:rPr>
        <w:t>没有结余。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27500" cy="2518410"/>
            <wp:effectExtent l="4445" t="5080" r="20955" b="1016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环江毛南族自治县科学技术协会2022年度一般公共预算财政拨款支出</w:t>
      </w:r>
      <w:r>
        <w:rPr>
          <w:rFonts w:ascii="仿宋" w:hAnsi="仿宋" w:eastAsia="仿宋" w:cs="仿宋"/>
          <w:sz w:val="32"/>
          <w:u w:color="auto"/>
        </w:rPr>
        <w:t>154.65</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增加21.48</w:t>
      </w:r>
      <w:r>
        <w:rPr>
          <w:rFonts w:hint="eastAsia" w:ascii="仿宋" w:hAnsi="仿宋" w:eastAsia="仿宋" w:cs="仿宋"/>
          <w:sz w:val="32"/>
          <w:szCs w:val="32"/>
          <w:highlight w:val="none"/>
        </w:rPr>
        <w:t>万元，</w:t>
      </w:r>
      <w:r>
        <w:rPr>
          <w:rFonts w:ascii="仿宋" w:hAnsi="仿宋" w:eastAsia="仿宋" w:cs="仿宋"/>
          <w:sz w:val="32"/>
          <w:u w:color="auto"/>
        </w:rPr>
        <w:t>增长16.13%</w:t>
      </w:r>
      <w:r>
        <w:rPr>
          <w:rFonts w:hint="eastAsia" w:ascii="仿宋" w:hAnsi="仿宋" w:eastAsia="仿宋" w:cs="仿宋"/>
          <w:sz w:val="32"/>
          <w:szCs w:val="32"/>
          <w:highlight w:val="none"/>
        </w:rPr>
        <w:t>。其中：基本支出</w:t>
      </w:r>
      <w:r>
        <w:rPr>
          <w:rFonts w:ascii="仿宋" w:hAnsi="仿宋" w:eastAsia="仿宋" w:cs="仿宋"/>
          <w:sz w:val="32"/>
          <w:u w:color="auto"/>
        </w:rPr>
        <w:t>122.79</w:t>
      </w:r>
      <w:r>
        <w:rPr>
          <w:rFonts w:hint="eastAsia" w:ascii="仿宋" w:hAnsi="仿宋" w:eastAsia="仿宋" w:cs="仿宋"/>
          <w:sz w:val="32"/>
          <w:szCs w:val="32"/>
          <w:highlight w:val="none"/>
        </w:rPr>
        <w:t>万元，项目支出</w:t>
      </w:r>
      <w:r>
        <w:rPr>
          <w:rFonts w:ascii="仿宋" w:hAnsi="仿宋" w:eastAsia="仿宋" w:cs="仿宋"/>
          <w:sz w:val="32"/>
          <w:u w:color="auto"/>
        </w:rPr>
        <w:t>31.86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环江毛南族自治县科学技术协会2022 年度一般公共预算财政拨款支出年初预算为</w:t>
      </w:r>
      <w:r>
        <w:rPr>
          <w:rFonts w:ascii="仿宋" w:hAnsi="仿宋" w:eastAsia="仿宋" w:cs="仿宋"/>
          <w:sz w:val="32"/>
          <w:u w:color="auto"/>
        </w:rPr>
        <w:t>115.04</w:t>
      </w:r>
      <w:r>
        <w:rPr>
          <w:rFonts w:hint="eastAsia" w:ascii="仿宋" w:hAnsi="仿宋" w:eastAsia="仿宋" w:cs="仿宋"/>
          <w:sz w:val="32"/>
          <w:szCs w:val="32"/>
          <w:highlight w:val="none"/>
        </w:rPr>
        <w:t>万元，支出决算为</w:t>
      </w:r>
      <w:r>
        <w:rPr>
          <w:rFonts w:ascii="仿宋" w:hAnsi="仿宋" w:eastAsia="仿宋" w:cs="仿宋"/>
          <w:sz w:val="32"/>
          <w:u w:color="auto"/>
        </w:rPr>
        <w:t>154.65</w:t>
      </w:r>
      <w:r>
        <w:rPr>
          <w:rFonts w:hint="eastAsia" w:ascii="仿宋" w:hAnsi="仿宋" w:eastAsia="仿宋" w:cs="仿宋"/>
          <w:sz w:val="32"/>
          <w:szCs w:val="32"/>
          <w:highlight w:val="none"/>
        </w:rPr>
        <w:t>万元，完成年初预算的</w:t>
      </w:r>
      <w:r>
        <w:rPr>
          <w:rFonts w:ascii="仿宋" w:hAnsi="仿宋" w:eastAsia="仿宋" w:cs="仿宋"/>
          <w:sz w:val="32"/>
          <w:u w:color="auto"/>
        </w:rPr>
        <w:t>134.43%</w:t>
      </w:r>
      <w:r>
        <w:rPr>
          <w:rFonts w:hint="eastAsia" w:ascii="仿宋" w:hAnsi="仿宋" w:eastAsia="仿宋" w:cs="仿宋"/>
          <w:sz w:val="32"/>
          <w:szCs w:val="32"/>
          <w:highlight w:val="none"/>
        </w:rPr>
        <w:t>。</w:t>
      </w:r>
      <w:bookmarkStart w:id="3" w:name="OLE_LINK2"/>
      <w:bookmarkEnd w:id="3"/>
    </w:p>
    <w:p>
      <w:pPr>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　　（一）</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1.55</w:t>
      </w:r>
      <w:r>
        <w:rPr>
          <w:rFonts w:hint="eastAsia" w:ascii="仿宋" w:hAnsi="仿宋" w:eastAsia="仿宋"/>
          <w:sz w:val="32"/>
          <w:szCs w:val="32"/>
          <w:highlight w:val="none"/>
        </w:rPr>
        <w:t>万元，支出决算为</w:t>
      </w:r>
      <w:r>
        <w:rPr>
          <w:rFonts w:ascii="仿宋" w:hAnsi="仿宋" w:eastAsia="仿宋"/>
          <w:sz w:val="32"/>
          <w:szCs w:val="32"/>
          <w:highlight w:val="none"/>
        </w:rPr>
        <w:t>1.55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原因是：201类是工会经费，预算和支出拨付无差异。</w:t>
      </w:r>
      <w:r>
        <w:rPr>
          <w:rFonts w:hint="eastAsia" w:ascii="仿宋" w:hAnsi="仿宋" w:eastAsia="仿宋"/>
          <w:color w:val="000000" w:themeColor="text1"/>
          <w:sz w:val="32"/>
          <w:szCs w:val="32"/>
          <w:highlight w:val="none"/>
          <w:lang w:val="en-US" w:eastAsia="zh-CN"/>
          <w14:textFill>
            <w14:solidFill>
              <w14:schemeClr w14:val="tx1"/>
            </w14:solidFill>
          </w14:textFill>
        </w:rPr>
        <w:br w:type="textWrapping"/>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工会活动经费</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numId w:val="0"/>
        </w:numPr>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科学技术支出</w:t>
      </w:r>
      <w:r>
        <w:rPr>
          <w:rFonts w:ascii="仿宋" w:hAnsi="仿宋" w:eastAsia="仿宋"/>
          <w:sz w:val="32"/>
          <w:u w:color="auto"/>
        </w:rPr>
        <w:t>（206</w:t>
      </w:r>
      <w:r>
        <w:rPr>
          <w:rFonts w:hint="eastAsia" w:ascii="仿宋" w:hAnsi="仿宋" w:eastAsia="仿宋"/>
          <w:sz w:val="32"/>
          <w:szCs w:val="32"/>
          <w:highlight w:val="none"/>
        </w:rPr>
        <w:t>类）年初预算为</w:t>
      </w:r>
      <w:r>
        <w:rPr>
          <w:rFonts w:ascii="仿宋" w:hAnsi="仿宋" w:eastAsia="仿宋"/>
          <w:sz w:val="32"/>
          <w:szCs w:val="32"/>
          <w:highlight w:val="none"/>
        </w:rPr>
        <w:t>91.82</w:t>
      </w:r>
      <w:r>
        <w:rPr>
          <w:rFonts w:hint="eastAsia" w:ascii="仿宋" w:hAnsi="仿宋" w:eastAsia="仿宋"/>
          <w:sz w:val="32"/>
          <w:szCs w:val="32"/>
          <w:highlight w:val="none"/>
        </w:rPr>
        <w:t>万元，支出决算为</w:t>
      </w:r>
      <w:r>
        <w:rPr>
          <w:rFonts w:ascii="仿宋" w:hAnsi="仿宋" w:eastAsia="仿宋"/>
          <w:sz w:val="32"/>
          <w:szCs w:val="32"/>
          <w:highlight w:val="none"/>
        </w:rPr>
        <w:t>115.61</w:t>
      </w:r>
      <w:r>
        <w:rPr>
          <w:rFonts w:hint="eastAsia" w:ascii="仿宋" w:hAnsi="仿宋" w:eastAsia="仿宋"/>
          <w:sz w:val="32"/>
          <w:szCs w:val="32"/>
          <w:highlight w:val="none"/>
        </w:rPr>
        <w:t>万元，完成年初预算的</w:t>
      </w:r>
      <w:r>
        <w:rPr>
          <w:rFonts w:ascii="仿宋" w:hAnsi="仿宋" w:eastAsia="仿宋"/>
          <w:sz w:val="32"/>
          <w:szCs w:val="32"/>
          <w:highlight w:val="none"/>
        </w:rPr>
        <w:t>125.91%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原因是：由于2022年获得科普示范村建设项目和人员工资、绩效奖金增加，所以超出了预算。</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numPr>
          <w:ilvl w:val="0"/>
          <w:numId w:val="0"/>
        </w:numPr>
        <w:ind w:left="640" w:leftChars="0"/>
        <w:jc w:val="left"/>
        <w:rPr>
          <w:rFonts w:hint="eastAsia" w:ascii="仿宋" w:hAnsi="仿宋" w:eastAsia="仿宋"/>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机构运行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83.74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auto"/>
                <w:sz w:val="18"/>
                <w:szCs w:val="18"/>
                <w:highlight w:val="none"/>
                <w:lang w:val="en-US" w:eastAsia="zh-CN"/>
              </w:rPr>
              <w:t>人员工资、绩效奖金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工资及绩效补贴增加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2060702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科普活动</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134.83%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开展科普活动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提升全民科学文化素质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2060703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青少年科技活动</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奖励青少年科技创新</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培养青少年学生的科学兴趣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2060799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其他科学技术普及支出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科普示范村项目建设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自治区科协给的项目奖补经费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115.61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12.38</w:t>
      </w:r>
      <w:r>
        <w:rPr>
          <w:rFonts w:hint="eastAsia" w:ascii="仿宋" w:hAnsi="仿宋" w:eastAsia="仿宋"/>
          <w:sz w:val="32"/>
          <w:szCs w:val="32"/>
          <w:highlight w:val="none"/>
        </w:rPr>
        <w:t>万元，支出决算为</w:t>
      </w:r>
      <w:r>
        <w:rPr>
          <w:rFonts w:ascii="仿宋" w:hAnsi="仿宋" w:eastAsia="仿宋"/>
          <w:sz w:val="32"/>
          <w:szCs w:val="32"/>
          <w:highlight w:val="none"/>
        </w:rPr>
        <w:t>12.58</w:t>
      </w:r>
      <w:r>
        <w:rPr>
          <w:rFonts w:hint="eastAsia" w:ascii="仿宋" w:hAnsi="仿宋" w:eastAsia="仿宋"/>
          <w:sz w:val="32"/>
          <w:szCs w:val="32"/>
          <w:highlight w:val="none"/>
        </w:rPr>
        <w:t>万元，完成年初预算的</w:t>
      </w:r>
      <w:r>
        <w:rPr>
          <w:rFonts w:ascii="仿宋" w:hAnsi="仿宋" w:eastAsia="仿宋"/>
          <w:sz w:val="32"/>
          <w:szCs w:val="32"/>
          <w:highlight w:val="none"/>
        </w:rPr>
        <w:t>101.62%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原因是：人员工资、绩效补贴增加，按政策，养老、医疗保险、住房公积金等基数增长，测算出的社保缴费也增加了。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职员养老保险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9108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9.29</w:t>
      </w:r>
      <w:r>
        <w:rPr>
          <w:rFonts w:hint="eastAsia" w:ascii="仿宋" w:hAnsi="仿宋" w:eastAsia="仿宋"/>
          <w:sz w:val="32"/>
          <w:szCs w:val="32"/>
          <w:highlight w:val="none"/>
        </w:rPr>
        <w:t>万元，支出决算为</w:t>
      </w:r>
      <w:r>
        <w:rPr>
          <w:rFonts w:ascii="仿宋" w:hAnsi="仿宋" w:eastAsia="仿宋"/>
          <w:sz w:val="32"/>
          <w:szCs w:val="32"/>
          <w:highlight w:val="none"/>
        </w:rPr>
        <w:t>9.62</w:t>
      </w:r>
      <w:r>
        <w:rPr>
          <w:rFonts w:hint="eastAsia" w:ascii="仿宋" w:hAnsi="仿宋" w:eastAsia="仿宋"/>
          <w:sz w:val="32"/>
          <w:szCs w:val="32"/>
          <w:highlight w:val="none"/>
        </w:rPr>
        <w:t>万元，完成年初预算的</w:t>
      </w:r>
      <w:r>
        <w:rPr>
          <w:rFonts w:ascii="仿宋" w:hAnsi="仿宋" w:eastAsia="仿宋"/>
          <w:sz w:val="32"/>
          <w:szCs w:val="32"/>
          <w:highlight w:val="none"/>
        </w:rPr>
        <w:t>103.55%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原因是：人员工资、绩效补贴增加，按政策，住房公积金基数增长，测算出的住房公积金缴费也增加了。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　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379345"/>
            <wp:effectExtent l="4445" t="4445" r="16510" b="1651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default" w:eastAsia="仿宋"/>
          <w:color w:val="auto"/>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15.30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2022年才把绩效性补贴和退休人员生活补助列为229类。</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　　支出具体情况如下</w:t>
      </w:r>
      <w:r>
        <w:rPr>
          <w:rFonts w:hint="eastAsia" w:ascii="仿宋" w:hAnsi="仿宋" w:eastAsia="仿宋"/>
          <w:sz w:val="32"/>
          <w:szCs w:val="32"/>
          <w:highlight w:val="none"/>
        </w:rPr>
        <w:t>：</w:t>
      </w:r>
    </w:p>
    <w:tbl>
      <w:tblPr>
        <w:tblStyle w:val="6"/>
        <w:tblW w:w="88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2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绩效性补贴和退休人员生活补助</w:t>
            </w:r>
          </w:p>
        </w:tc>
        <w:tc>
          <w:tcPr>
            <w:tcW w:w="2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22年才列绩效性补贴和退休人员生活补助为229类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环江毛南族自治县科学技术协会2022年度一般公共预算财政拨款基本支出</w:t>
      </w:r>
      <w:r>
        <w:rPr>
          <w:rFonts w:ascii="仿宋" w:hAnsi="仿宋" w:eastAsia="仿宋" w:cs="仿宋"/>
          <w:sz w:val="32"/>
          <w:u w:color="auto"/>
        </w:rPr>
        <w:t>122.79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113.00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9.79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　　（一）</w:t>
      </w:r>
      <w:r>
        <w:rPr>
          <w:rFonts w:hint="eastAsia" w:ascii="仿宋" w:hAnsi="仿宋" w:eastAsia="仿宋" w:cs="仿宋"/>
          <w:sz w:val="32"/>
          <w:szCs w:val="32"/>
          <w:highlight w:val="none"/>
        </w:rPr>
        <w:t>工资福利支出</w:t>
      </w:r>
      <w:r>
        <w:rPr>
          <w:rFonts w:ascii="仿宋" w:hAnsi="仿宋" w:eastAsia="仿宋" w:cs="仿宋"/>
          <w:sz w:val="32"/>
          <w:u w:color="auto"/>
        </w:rPr>
        <w:t>111.80万元，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123.65%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主要原因是：人员工资、绩效补贴增加，按政策，社保基数增长，工资福利支出也增加了。</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35.00万元，30102津贴补贴24.02万元，30103奖金24.07万元，30106伙食补助费1.20万元，30108机关事业单位基本养老保险缴费12.58万元，30110职工基本医疗保险缴费5.18万元，30112其他社会保障缴费0.12万元，30113住房公积金9.62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　　（二）</w:t>
      </w:r>
      <w:r>
        <w:rPr>
          <w:rFonts w:hint="eastAsia" w:ascii="仿宋" w:hAnsi="仿宋" w:eastAsia="仿宋" w:cs="仿宋"/>
          <w:sz w:val="32"/>
          <w:szCs w:val="32"/>
          <w:highlight w:val="none"/>
        </w:rPr>
        <w:t>商品和服务支出</w:t>
      </w:r>
      <w:r>
        <w:rPr>
          <w:rFonts w:ascii="仿宋" w:hAnsi="仿宋" w:eastAsia="仿宋" w:cs="仿宋"/>
          <w:sz w:val="32"/>
          <w:u w:color="auto"/>
        </w:rPr>
        <w:t>9.79万元，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86.18%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主要原因是：财政紧张，节约开支。</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30201办公费0.88万元，30202印刷费0.02万元，30205水费0.02万元，30206电费0.25万元，30207邮电费0.05万元，30211差旅费0.76万元，30228工会经费1.55万元，30239其他交通费用5.36万元，30299其他商品和服务支出0.90万元。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对个人和家庭的补助</w:t>
      </w:r>
      <w:r>
        <w:rPr>
          <w:rFonts w:ascii="仿宋" w:hAnsi="仿宋" w:eastAsia="仿宋" w:cs="仿宋"/>
          <w:sz w:val="32"/>
          <w:u w:color="auto"/>
        </w:rPr>
        <w:t>1.20万元，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主要原因是：及时兑现退休人员生活补助，无差异。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30305生活补助1.20万元。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sz w:val="32"/>
          <w:szCs w:val="32"/>
          <w:highlight w:val="none"/>
        </w:rPr>
        <w:t>债务利息及</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rPr>
        <w:t>费用</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060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环江毛南族自治县科学技术协会2022年度政府性基金支出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环江毛南族自治县科学技术协会2022年度政府性基金支出年初预算为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rPr>
        <w:t>环江毛南族自治县科学技术协会</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环江毛南族自治县科学技术协会2022年度国有资本经营预算支出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环江毛南族自治县科学技术协会2022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环江毛南族自治县科学技术协会</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主要原因是：环江科协2022年无“三公”经费开支，帮本段落无表述。</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2022年，</w:t>
      </w:r>
      <w:bookmarkStart w:id="5" w:name="_GoBack"/>
      <w:bookmarkEnd w:id="5"/>
      <w:r>
        <w:rPr>
          <w:rFonts w:ascii="仿宋" w:hAnsi="仿宋" w:eastAsia="仿宋" w:cs="仿宋"/>
          <w:sz w:val="32"/>
          <w:u w:color="auto"/>
        </w:rPr>
        <w:t>环江毛南族自治县科学技术协会</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9.79</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减少1.57</w:t>
      </w:r>
      <w:r>
        <w:rPr>
          <w:rFonts w:hint="eastAsia" w:ascii="仿宋" w:hAnsi="仿宋" w:eastAsia="仿宋" w:cs="仿宋"/>
          <w:sz w:val="32"/>
          <w:szCs w:val="32"/>
          <w:highlight w:val="none"/>
        </w:rPr>
        <w:t>万元，</w:t>
      </w:r>
      <w:r>
        <w:rPr>
          <w:rFonts w:ascii="仿宋" w:hAnsi="仿宋" w:eastAsia="仿宋" w:cs="仿宋"/>
          <w:sz w:val="32"/>
          <w:szCs w:val="32"/>
          <w:highlight w:val="none"/>
        </w:rPr>
        <w:t>下降13.82%</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增加5.16</w:t>
      </w:r>
      <w:r>
        <w:rPr>
          <w:rFonts w:hint="eastAsia" w:ascii="仿宋" w:hAnsi="仿宋" w:eastAsia="仿宋" w:cs="仿宋"/>
          <w:sz w:val="32"/>
          <w:szCs w:val="32"/>
          <w:highlight w:val="none"/>
        </w:rPr>
        <w:t>万元，</w:t>
      </w:r>
      <w:r>
        <w:rPr>
          <w:rFonts w:ascii="仿宋" w:hAnsi="仿宋" w:eastAsia="仿宋" w:cs="仿宋"/>
          <w:sz w:val="32"/>
          <w:szCs w:val="32"/>
          <w:highlight w:val="none"/>
        </w:rPr>
        <w:t>增长111.45%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主要</w:t>
      </w:r>
      <w:r>
        <w:rPr>
          <w:rFonts w:hint="eastAsia" w:ascii="仿宋" w:hAnsi="仿宋" w:eastAsia="仿宋" w:cs="仿宋"/>
          <w:color w:val="auto"/>
          <w:sz w:val="32"/>
          <w:szCs w:val="32"/>
          <w:highlight w:val="none"/>
        </w:rPr>
        <w:t>原因是：人员数量增加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办公设施设备购置经费增加</w:t>
      </w:r>
      <w:r>
        <w:rPr>
          <w:rFonts w:hint="eastAsia" w:ascii="仿宋" w:hAnsi="仿宋" w:eastAsia="仿宋" w:cs="仿宋"/>
          <w:color w:val="auto"/>
          <w:sz w:val="32"/>
          <w:szCs w:val="32"/>
          <w:highlight w:val="none"/>
          <w:lang w:eastAsia="zh-CN"/>
        </w:rPr>
        <w:t>，年初预算减少是</w:t>
      </w:r>
      <w:r>
        <w:rPr>
          <w:rFonts w:hint="eastAsia" w:ascii="仿宋" w:hAnsi="仿宋" w:eastAsia="仿宋" w:cs="仿宋"/>
          <w:color w:val="auto"/>
          <w:sz w:val="32"/>
          <w:szCs w:val="32"/>
          <w:highlight w:val="none"/>
        </w:rPr>
        <w:t>落实过紧日子要求压减</w:t>
      </w:r>
      <w:r>
        <w:rPr>
          <w:rFonts w:hint="eastAsia" w:ascii="仿宋" w:hAnsi="仿宋" w:eastAsia="仿宋" w:cs="仿宋"/>
          <w:color w:val="auto"/>
          <w:sz w:val="32"/>
          <w:szCs w:val="32"/>
          <w:highlight w:val="none"/>
          <w:lang w:eastAsia="zh-CN"/>
        </w:rPr>
        <w:t>经费</w:t>
      </w:r>
      <w:r>
        <w:rPr>
          <w:rFonts w:hint="eastAsia" w:ascii="仿宋" w:hAnsi="仿宋" w:eastAsia="仿宋" w:cs="仿宋"/>
          <w:color w:val="auto"/>
          <w:sz w:val="32"/>
          <w:szCs w:val="32"/>
          <w:highlight w:val="none"/>
        </w:rPr>
        <w:t>支出</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66.33</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科普活动</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上述项目支出绩效情况较理想，群众较为满意，基本达到项目申请时设定的各项绩效目标。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科普活动</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98.09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财政紧张，科普活动经费不足，预算执行率只有</w:t>
      </w:r>
      <w:r>
        <w:rPr>
          <w:rFonts w:hint="eastAsia" w:ascii="仿宋" w:hAnsi="仿宋" w:eastAsia="仿宋" w:cs="仿宋"/>
          <w:color w:val="000000" w:themeColor="text1"/>
          <w:sz w:val="32"/>
          <w:szCs w:val="32"/>
          <w:lang w:val="en-US" w:eastAsia="zh-CN"/>
          <w14:textFill>
            <w14:solidFill>
              <w14:schemeClr w14:val="tx1"/>
            </w14:solidFill>
          </w14:textFill>
        </w:rPr>
        <w:t>93%。</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A50F7"/>
    <w:multiLevelType w:val="singleLevel"/>
    <w:tmpl w:val="CFCA50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CD0BF6"/>
    <w:rsid w:val="020C171D"/>
    <w:rsid w:val="0216715F"/>
    <w:rsid w:val="02E0291A"/>
    <w:rsid w:val="04E54546"/>
    <w:rsid w:val="05992762"/>
    <w:rsid w:val="07B0770E"/>
    <w:rsid w:val="0942143F"/>
    <w:rsid w:val="0D100297"/>
    <w:rsid w:val="0D202B45"/>
    <w:rsid w:val="0F8D4C87"/>
    <w:rsid w:val="10505FAA"/>
    <w:rsid w:val="105F7E7E"/>
    <w:rsid w:val="11E56B5B"/>
    <w:rsid w:val="125C77AB"/>
    <w:rsid w:val="12FC1543"/>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7394BD8"/>
    <w:rsid w:val="283D7C94"/>
    <w:rsid w:val="29480E03"/>
    <w:rsid w:val="2983634D"/>
    <w:rsid w:val="2BB02055"/>
    <w:rsid w:val="2C575A56"/>
    <w:rsid w:val="2C7C6DC5"/>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73719E"/>
    <w:rsid w:val="53E22F47"/>
    <w:rsid w:val="54522FF8"/>
    <w:rsid w:val="55450629"/>
    <w:rsid w:val="56692963"/>
    <w:rsid w:val="568B0F48"/>
    <w:rsid w:val="5786217B"/>
    <w:rsid w:val="59337A15"/>
    <w:rsid w:val="59810274"/>
    <w:rsid w:val="5AE81111"/>
    <w:rsid w:val="5CA96A00"/>
    <w:rsid w:val="5CF730BC"/>
    <w:rsid w:val="5E5F0DCE"/>
    <w:rsid w:val="5FA40A7B"/>
    <w:rsid w:val="5FD56D29"/>
    <w:rsid w:val="5FEC7F3F"/>
    <w:rsid w:val="60F74BC3"/>
    <w:rsid w:val="617D3BF8"/>
    <w:rsid w:val="61841F6A"/>
    <w:rsid w:val="61A73945"/>
    <w:rsid w:val="623007A9"/>
    <w:rsid w:val="637D7558"/>
    <w:rsid w:val="644F19AC"/>
    <w:rsid w:val="64BD2BD3"/>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2443F85"/>
    <w:rsid w:val="736A67D7"/>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154.65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1.2</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科学技术支出</c:v>
                </c:pt>
                <c:pt idx="2">
                  <c:v>社会保障和就业支出</c:v>
                </c:pt>
                <c:pt idx="3">
                  <c:v>住房保障支出</c:v>
                </c:pt>
                <c:pt idx="4">
                  <c:v>其他支出</c:v>
                </c:pt>
              </c:strCache>
            </c:strRef>
          </c:cat>
          <c:val>
            <c:numRef>
              <c:f>Sheet1!$B$2:$B$6</c:f>
              <c:numCache>
                <c:formatCode>General</c:formatCode>
                <c:ptCount val="5"/>
                <c:pt idx="0">
                  <c:v>0</c:v>
                </c:pt>
                <c:pt idx="1">
                  <c:v>113.25</c:v>
                </c:pt>
                <c:pt idx="2">
                  <c:v>10.79</c:v>
                </c:pt>
                <c:pt idx="3">
                  <c:v>8.3</c:v>
                </c:pt>
                <c:pt idx="4">
                  <c:v>0</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科学技术支出</c:v>
                </c:pt>
                <c:pt idx="2">
                  <c:v>社会保障和就业支出</c:v>
                </c:pt>
                <c:pt idx="3">
                  <c:v>住房保障支出</c:v>
                </c:pt>
                <c:pt idx="4">
                  <c:v>其他支出</c:v>
                </c:pt>
              </c:strCache>
            </c:strRef>
          </c:cat>
          <c:val>
            <c:numRef>
              <c:f>Sheet1!$C$2:$C$6</c:f>
              <c:numCache>
                <c:formatCode>General</c:formatCode>
                <c:ptCount val="5"/>
                <c:pt idx="0">
                  <c:v>1.55</c:v>
                </c:pt>
                <c:pt idx="1">
                  <c:v>115.61</c:v>
                </c:pt>
                <c:pt idx="2">
                  <c:v>12.58</c:v>
                </c:pt>
                <c:pt idx="3">
                  <c:v>9.62</c:v>
                </c:pt>
                <c:pt idx="4">
                  <c:v>15.3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1.55</c:v>
                </c:pt>
                <c:pt idx="1">
                  <c:v>1.55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科学技术支出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2060701</c:v>
                </c:pt>
                <c:pt idx="1">
                  <c:v>2060702</c:v>
                </c:pt>
                <c:pt idx="2">
                  <c:v>2060703</c:v>
                </c:pt>
                <c:pt idx="3">
                  <c:v>2060799</c:v>
                </c:pt>
                <c:pt idx="4">
                  <c:v>206x</c:v>
                </c:pt>
              </c:strCache>
            </c:strRef>
          </c:cat>
          <c:val>
            <c:numRef>
              <c:f>Sheet1!$B$2:$B$6</c:f>
              <c:numCache>
                <c:formatCode>General</c:formatCode>
                <c:ptCount val="5"/>
                <c:pt idx="0">
                  <c:v>83.74</c:v>
                </c:pt>
                <c:pt idx="1">
                  <c:v>16.26</c:v>
                </c:pt>
                <c:pt idx="2">
                  <c:v>0.6</c:v>
                </c:pt>
                <c:pt idx="3">
                  <c:v>15</c:v>
                </c:pt>
                <c:pt idx="4">
                  <c:v>115.61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12.58</c:v>
                </c:pt>
                <c:pt idx="1">
                  <c:v>12.58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9.62</c:v>
                </c:pt>
                <c:pt idx="1">
                  <c:v>9.62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15.3</c:v>
                </c:pt>
                <c:pt idx="1">
                  <c:v>15.3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35</c:v>
                </c:pt>
                <c:pt idx="1">
                  <c:v>24.02</c:v>
                </c:pt>
                <c:pt idx="2">
                  <c:v>24.07</c:v>
                </c:pt>
                <c:pt idx="3">
                  <c:v>1.2</c:v>
                </c:pt>
                <c:pt idx="4">
                  <c:v>0</c:v>
                </c:pt>
                <c:pt idx="5">
                  <c:v>12.58</c:v>
                </c:pt>
                <c:pt idx="6">
                  <c:v>0</c:v>
                </c:pt>
                <c:pt idx="7">
                  <c:v>5.18</c:v>
                </c:pt>
                <c:pt idx="8">
                  <c:v>0</c:v>
                </c:pt>
                <c:pt idx="9">
                  <c:v>0.12</c:v>
                </c:pt>
                <c:pt idx="10">
                  <c:v>9.62</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0.88</c:v>
                </c:pt>
                <c:pt idx="1">
                  <c:v>0.02</c:v>
                </c:pt>
                <c:pt idx="2">
                  <c:v>0</c:v>
                </c:pt>
                <c:pt idx="3">
                  <c:v>0</c:v>
                </c:pt>
                <c:pt idx="4">
                  <c:v>0.02</c:v>
                </c:pt>
                <c:pt idx="5">
                  <c:v>0.25</c:v>
                </c:pt>
                <c:pt idx="6">
                  <c:v>0.05</c:v>
                </c:pt>
                <c:pt idx="7">
                  <c:v>0</c:v>
                </c:pt>
                <c:pt idx="8">
                  <c:v>0</c:v>
                </c:pt>
                <c:pt idx="9">
                  <c:v>0.76</c:v>
                </c:pt>
                <c:pt idx="10">
                  <c:v>0</c:v>
                </c:pt>
                <c:pt idx="11">
                  <c:v>0</c:v>
                </c:pt>
                <c:pt idx="12">
                  <c:v>0</c:v>
                </c:pt>
                <c:pt idx="13">
                  <c:v>0</c:v>
                </c:pt>
                <c:pt idx="14">
                  <c:v>0</c:v>
                </c:pt>
                <c:pt idx="15">
                  <c:v>0</c:v>
                </c:pt>
                <c:pt idx="16">
                  <c:v>0</c:v>
                </c:pt>
                <c:pt idx="17">
                  <c:v>0</c:v>
                </c:pt>
                <c:pt idx="18">
                  <c:v>0</c:v>
                </c:pt>
                <c:pt idx="19">
                  <c:v>0</c:v>
                </c:pt>
                <c:pt idx="20">
                  <c:v>0</c:v>
                </c:pt>
                <c:pt idx="21">
                  <c:v>1.55</c:v>
                </c:pt>
                <c:pt idx="22">
                  <c:v>0</c:v>
                </c:pt>
                <c:pt idx="23">
                  <c:v>0</c:v>
                </c:pt>
                <c:pt idx="24">
                  <c:v>5.36</c:v>
                </c:pt>
                <c:pt idx="25">
                  <c:v>0</c:v>
                </c:pt>
                <c:pt idx="26">
                  <c:v>0.9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5</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2023-11-27T07:42:08Z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