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环江毛南族自治县融媒体中心</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3" w:firstLineChars="200"/>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说明：以上</w:t>
      </w:r>
      <w:r>
        <w:rPr>
          <w:rFonts w:hint="eastAsia" w:ascii="仿宋_GB2312" w:hAnsi="仿宋_GB2312" w:eastAsia="仿宋_GB2312" w:cs="仿宋_GB2312"/>
          <w:b/>
          <w:kern w:val="0"/>
          <w:sz w:val="32"/>
          <w:szCs w:val="32"/>
          <w:lang w:val="en-US" w:eastAsia="zh-CN"/>
        </w:rPr>
        <w:t>一、二</w:t>
      </w:r>
      <w:r>
        <w:rPr>
          <w:rFonts w:hint="eastAsia" w:ascii="仿宋_GB2312" w:hAnsi="仿宋_GB2312" w:eastAsia="仿宋_GB2312" w:cs="仿宋_GB2312"/>
          <w:b/>
          <w:kern w:val="0"/>
          <w:sz w:val="32"/>
          <w:szCs w:val="32"/>
        </w:rPr>
        <w:t>项内容涉及密文</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rPr>
        <w:t>环办发〔2019〕*号</w:t>
      </w:r>
      <w:r>
        <w:rPr>
          <w:rFonts w:hint="eastAsia" w:ascii="仿宋_GB2312" w:hAnsi="仿宋_GB2312" w:eastAsia="仿宋_GB2312" w:cs="仿宋_GB2312"/>
          <w:b/>
          <w:kern w:val="0"/>
          <w:sz w:val="32"/>
          <w:szCs w:val="32"/>
          <w:lang w:eastAsia="zh-CN"/>
        </w:rPr>
        <w:t>。</w:t>
      </w:r>
    </w:p>
    <w:p>
      <w:pPr>
        <w:jc w:val="left"/>
        <w:rPr>
          <w:rFonts w:hint="eastAsia" w:ascii="黑体" w:hAnsi="黑体" w:eastAsia="黑体" w:cs="黑体"/>
          <w:sz w:val="32"/>
          <w:szCs w:val="32"/>
          <w:highlight w:val="none"/>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 2022年度部门决算报表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4"/>
        <w:gridCol w:w="786"/>
        <w:gridCol w:w="1050"/>
        <w:gridCol w:w="4215"/>
        <w:gridCol w:w="786"/>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sz w:val="32"/>
          <w:szCs w:val="32"/>
          <w:highlight w:val="none"/>
        </w:rPr>
      </w:pPr>
      <w:r>
        <w:rPr>
          <w:rFonts w:hint="eastAsia" w:ascii="仿宋" w:hAnsi="仿宋" w:eastAsia="仿宋" w:cs="仿宋"/>
          <w:sz w:val="24"/>
          <w:highlight w:val="none"/>
        </w:rPr>
        <w:t>表二：收入决算表</w:t>
      </w:r>
    </w:p>
    <w:tbl>
      <w:tblPr>
        <w:tblStyle w:val="6"/>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1"/>
        <w:gridCol w:w="222"/>
        <w:gridCol w:w="222"/>
        <w:gridCol w:w="3729"/>
        <w:gridCol w:w="842"/>
        <w:gridCol w:w="842"/>
        <w:gridCol w:w="633"/>
        <w:gridCol w:w="633"/>
        <w:gridCol w:w="633"/>
        <w:gridCol w:w="633"/>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53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3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宋体" w:hAnsi="宋体" w:eastAsia="宋体" w:cs="宋体"/>
          <w:color w:val="000000"/>
          <w:kern w:val="0"/>
          <w:sz w:val="30"/>
          <w:szCs w:val="30"/>
          <w:highlight w:val="none"/>
          <w:lang w:bidi="ar"/>
        </w:rPr>
      </w:pPr>
      <w:r>
        <w:rPr>
          <w:rFonts w:hint="eastAsia" w:ascii="仿宋" w:hAnsi="仿宋" w:eastAsia="仿宋" w:cs="仿宋"/>
          <w:sz w:val="24"/>
          <w:highlight w:val="none"/>
        </w:rPr>
        <w:t>表三：支出决算表</w:t>
      </w:r>
    </w:p>
    <w:tbl>
      <w:tblPr>
        <w:tblStyle w:val="6"/>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07"/>
        <w:gridCol w:w="222"/>
        <w:gridCol w:w="222"/>
        <w:gridCol w:w="3859"/>
        <w:gridCol w:w="865"/>
        <w:gridCol w:w="865"/>
        <w:gridCol w:w="865"/>
        <w:gridCol w:w="648"/>
        <w:gridCol w:w="648"/>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02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center"/>
        <w:rPr>
          <w:rFonts w:ascii="仿宋" w:hAnsi="仿宋" w:eastAsia="仿宋" w:cs="仿宋"/>
          <w:sz w:val="24"/>
          <w:highlight w:val="none"/>
        </w:rPr>
      </w:pPr>
    </w:p>
    <w:p>
      <w:pPr>
        <w:rPr>
          <w:rFonts w:hint="eastAsia" w:ascii="仿宋" w:hAnsi="仿宋" w:eastAsia="仿宋" w:cs="仿宋"/>
          <w:sz w:val="24"/>
          <w:highlight w:val="none"/>
        </w:rPr>
      </w:pPr>
      <w:r>
        <w:rPr>
          <w:rFonts w:ascii="仿宋" w:hAnsi="仿宋" w:eastAsia="仿宋" w:cs="仿宋"/>
          <w:sz w:val="24"/>
          <w:highlight w:val="none"/>
        </w:rPr>
        <w:br w:type="page"/>
      </w:r>
      <w:r>
        <w:rPr>
          <w:rFonts w:hint="eastAsia" w:ascii="仿宋" w:hAnsi="仿宋" w:eastAsia="仿宋" w:cs="仿宋"/>
          <w:sz w:val="24"/>
          <w:highlight w:val="none"/>
        </w:rPr>
        <w:t>表四：财政拨款收入支出决算总表</w:t>
      </w:r>
    </w:p>
    <w:tbl>
      <w:tblPr>
        <w:tblStyle w:val="6"/>
        <w:tblW w:w="1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1"/>
        <w:gridCol w:w="544"/>
        <w:gridCol w:w="1045"/>
        <w:gridCol w:w="3410"/>
        <w:gridCol w:w="544"/>
        <w:gridCol w:w="828"/>
        <w:gridCol w:w="1045"/>
        <w:gridCol w:w="103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62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6"/>
        <w:gridCol w:w="222"/>
        <w:gridCol w:w="222"/>
        <w:gridCol w:w="3956"/>
        <w:gridCol w:w="882"/>
        <w:gridCol w:w="8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869.29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其他广播电视支出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7"/>
        <w:gridCol w:w="2511"/>
        <w:gridCol w:w="675"/>
        <w:gridCol w:w="599"/>
        <w:gridCol w:w="1746"/>
        <w:gridCol w:w="599"/>
        <w:gridCol w:w="599"/>
        <w:gridCol w:w="3123"/>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215"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414.69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422.08</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2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6"/>
        <w:gridCol w:w="222"/>
        <w:gridCol w:w="222"/>
        <w:gridCol w:w="1096"/>
        <w:gridCol w:w="1135"/>
        <w:gridCol w:w="1135"/>
        <w:gridCol w:w="1135"/>
        <w:gridCol w:w="1135"/>
        <w:gridCol w:w="113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247"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40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说明：本部门</w:t>
      </w:r>
      <w:r>
        <w:rPr>
          <w:rFonts w:hint="default" w:ascii="宋体" w:hAnsi="宋体" w:eastAsia="宋体" w:cs="宋体"/>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年度没有政府性基金预算财政拨款收入，也没有政府性基金预算财政拨款安排的支出，故本表无数据。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6"/>
        <w:gridCol w:w="222"/>
        <w:gridCol w:w="222"/>
        <w:gridCol w:w="1096"/>
        <w:gridCol w:w="1237"/>
        <w:gridCol w:w="1087"/>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004"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说明：本部门</w:t>
      </w:r>
      <w:r>
        <w:rPr>
          <w:rFonts w:hint="default" w:ascii="宋体" w:hAnsi="宋体" w:eastAsia="宋体" w:cs="宋体"/>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年度没有国有资本经营预算财政拨款收入，也没有国有资本经营预算财政拨款安排的支出，故本表无数据。</w:t>
      </w:r>
    </w:p>
    <w:p>
      <w:pPr>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tbl>
      <w:tblPr>
        <w:tblStyle w:val="6"/>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6"/>
        <w:gridCol w:w="876"/>
        <w:gridCol w:w="766"/>
        <w:gridCol w:w="656"/>
        <w:gridCol w:w="766"/>
        <w:gridCol w:w="656"/>
        <w:gridCol w:w="656"/>
        <w:gridCol w:w="876"/>
        <w:gridCol w:w="656"/>
        <w:gridCol w:w="656"/>
        <w:gridCol w:w="65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14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部门：广西河池市环江毛南族自治县融媒体中心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7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570"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40"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869.29</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336.05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63.02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869.29</w:t>
      </w:r>
      <w:r>
        <w:rPr>
          <w:rFonts w:hint="eastAsia" w:ascii="仿宋" w:hAnsi="仿宋" w:eastAsia="仿宋" w:cs="仿宋"/>
          <w:sz w:val="32"/>
          <w:szCs w:val="32"/>
          <w:highlight w:val="none"/>
        </w:rPr>
        <w:t>万元。收入具体情况如下。</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869.29</w:t>
      </w:r>
      <w:r>
        <w:rPr>
          <w:rFonts w:hint="eastAsia" w:ascii="仿宋" w:hAnsi="仿宋" w:eastAsia="仿宋" w:cs="仿宋"/>
          <w:kern w:val="2"/>
          <w:sz w:val="32"/>
          <w:szCs w:val="32"/>
          <w:highlight w:val="none"/>
          <w:lang w:val="en-US" w:eastAsia="zh-CN" w:bidi="ar"/>
        </w:rPr>
        <w:t>万元，为县本级财政当年拨付的资金。较2021年度决算数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336.05</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63.02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是机构改革后融媒体中心增加业务及政策增资等。</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val="en-US" w:eastAsia="zh-CN"/>
        </w:rPr>
        <w:t>.00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val="en-US" w:eastAsia="zh-CN"/>
        </w:rPr>
        <w:t>.00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jc w:val="center"/>
        <w:rPr>
          <w:rFonts w:hint="eastAsia" w:ascii="仿宋" w:hAnsi="仿宋" w:eastAsia="仿宋" w:cs="仿宋"/>
          <w:sz w:val="32"/>
          <w:szCs w:val="32"/>
          <w:highlight w:val="none"/>
        </w:rPr>
      </w:pPr>
    </w:p>
    <w:p>
      <w:pPr>
        <w:jc w:val="center"/>
        <w:rPr>
          <w:rFonts w:ascii="仿宋" w:hAnsi="仿宋" w:eastAsia="仿宋" w:cs="仿宋"/>
          <w:sz w:val="32"/>
          <w:szCs w:val="32"/>
          <w:highlight w:val="none"/>
        </w:rPr>
      </w:pPr>
    </w:p>
    <w:p>
      <w:pPr>
        <w:ind w:firstLine="420" w:firstLineChars="200"/>
        <w:jc w:val="left"/>
        <w:rPr>
          <w:rFonts w:hint="eastAsia" w:ascii="仿宋" w:hAnsi="仿宋" w:eastAsia="仿宋" w:cs="仿宋"/>
          <w:sz w:val="32"/>
          <w:szCs w:val="32"/>
          <w:highlight w:val="none"/>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869.29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869.29</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336.05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63.02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主要用于本部门为保证日常运转发生的基本支出和为完成各项工作任务、保障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2.51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36.01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主要原因是：项目变动导致此类支出减少。</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2.教育支出(205类）4.25万元，</w:t>
      </w:r>
      <w:r>
        <w:rPr>
          <w:rFonts w:hint="eastAsia" w:ascii="仿宋_GB2312" w:hAnsi="仿宋_GB2312" w:eastAsia="仿宋_GB2312" w:cs="仿宋_GB2312"/>
          <w:sz w:val="32"/>
          <w:szCs w:val="32"/>
        </w:rPr>
        <w:t>主要用于本部门</w:t>
      </w:r>
      <w:r>
        <w:rPr>
          <w:rFonts w:hint="eastAsia" w:ascii="仿宋_GB2312" w:hAnsi="仿宋_GB2312" w:eastAsia="仿宋_GB2312" w:cs="仿宋_GB2312"/>
          <w:sz w:val="32"/>
          <w:szCs w:val="32"/>
          <w:lang w:val="en-US" w:eastAsia="zh-CN"/>
        </w:rPr>
        <w:t>广播电视毛南语栏目聘用播音员的经费</w:t>
      </w:r>
      <w:r>
        <w:rPr>
          <w:rFonts w:hint="eastAsia" w:ascii="仿宋_GB2312" w:hAnsi="仿宋_GB2312" w:eastAsia="仿宋_GB2312" w:cs="仿宋_GB2312"/>
          <w:sz w:val="32"/>
          <w:szCs w:val="32"/>
        </w:rPr>
        <w:t>支出。</w:t>
      </w:r>
      <w:r>
        <w:rPr>
          <w:rFonts w:hint="eastAsia" w:ascii="仿宋_GB2312" w:hAnsi="仿宋_GB2312" w:eastAsia="仿宋_GB2312" w:cs="仿宋_GB2312"/>
          <w:kern w:val="0"/>
          <w:sz w:val="32"/>
          <w:szCs w:val="32"/>
        </w:rPr>
        <w:t>较202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1114.29</w:t>
      </w:r>
      <w:r>
        <w:rPr>
          <w:rFonts w:hint="eastAsia" w:ascii="仿宋_GB2312" w:hAnsi="仿宋_GB2312" w:eastAsia="仿宋_GB2312" w:cs="仿宋_GB2312"/>
          <w:kern w:val="0"/>
          <w:sz w:val="32"/>
          <w:szCs w:val="32"/>
        </w:rPr>
        <w:t>%，主要原因是202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年此分类科目下没有预算</w:t>
      </w:r>
      <w:r>
        <w:rPr>
          <w:rFonts w:hint="eastAsia" w:ascii="仿宋_GB2312" w:hAnsi="仿宋_GB2312" w:eastAsia="仿宋_GB2312" w:cs="仿宋_GB2312"/>
          <w:sz w:val="32"/>
          <w:szCs w:val="32"/>
          <w:lang w:val="en-US" w:eastAsia="zh-CN"/>
        </w:rPr>
        <w:t>广播电视毛南语栏目聘用播音员的经费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此项目今年属新增，所以出现巨量增长</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sz w:val="32"/>
          <w:szCs w:val="32"/>
          <w:highlight w:val="none"/>
          <w:lang w:val="en-US" w:eastAsia="zh-CN"/>
        </w:rPr>
        <w:t>3.文化旅游体育与传媒支出（207类）741.98万元，</w:t>
      </w:r>
      <w:r>
        <w:rPr>
          <w:rFonts w:hint="eastAsia" w:ascii="仿宋_GB2312" w:hAnsi="仿宋_GB2312" w:eastAsia="仿宋_GB2312" w:cs="仿宋_GB2312"/>
          <w:sz w:val="32"/>
          <w:szCs w:val="32"/>
        </w:rPr>
        <w:t>主要用于本部门为保证日常运转发生的基本支出和为完成各项工作任务、保障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_GB2312" w:hAnsi="仿宋_GB2312" w:eastAsia="仿宋_GB2312" w:cs="仿宋_GB2312"/>
          <w:kern w:val="0"/>
          <w:sz w:val="32"/>
          <w:szCs w:val="32"/>
        </w:rPr>
        <w:t>较202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341.42</w:t>
      </w:r>
      <w:r>
        <w:rPr>
          <w:rFonts w:hint="eastAsia" w:ascii="仿宋_GB2312" w:hAnsi="仿宋_GB2312" w:eastAsia="仿宋_GB2312" w:cs="仿宋_GB2312"/>
          <w:kern w:val="0"/>
          <w:sz w:val="32"/>
          <w:szCs w:val="32"/>
        </w:rPr>
        <w:t xml:space="preserve"> 万元，增长</w:t>
      </w:r>
      <w:r>
        <w:rPr>
          <w:rFonts w:hint="eastAsia" w:ascii="仿宋_GB2312" w:hAnsi="仿宋_GB2312" w:eastAsia="仿宋_GB2312" w:cs="仿宋_GB2312"/>
          <w:kern w:val="0"/>
          <w:sz w:val="32"/>
          <w:szCs w:val="32"/>
          <w:lang w:val="en-US" w:eastAsia="zh-CN"/>
        </w:rPr>
        <w:t>85.24</w:t>
      </w:r>
      <w:r>
        <w:rPr>
          <w:rFonts w:hint="eastAsia" w:ascii="仿宋_GB2312" w:hAnsi="仿宋_GB2312" w:eastAsia="仿宋_GB2312" w:cs="仿宋_GB2312"/>
          <w:kern w:val="0"/>
          <w:sz w:val="32"/>
          <w:szCs w:val="32"/>
        </w:rPr>
        <w:t xml:space="preserve"> %，主要原因是机构改革后融媒体中心增加业务及政策增资等支出。</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35.12</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rPr>
        <w:t>主要用于本部门为保证机关事业单位基本养老保险支出。较202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6.26</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21.69</w:t>
      </w:r>
      <w:r>
        <w:rPr>
          <w:rFonts w:hint="eastAsia" w:ascii="仿宋_GB2312" w:hAnsi="仿宋_GB2312" w:eastAsia="仿宋_GB2312" w:cs="仿宋_GB2312"/>
          <w:kern w:val="0"/>
          <w:sz w:val="32"/>
          <w:szCs w:val="32"/>
        </w:rPr>
        <w:t xml:space="preserve"> %，主要原因是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今年人员增加及</w:t>
      </w:r>
      <w:r>
        <w:rPr>
          <w:rFonts w:hint="eastAsia" w:ascii="仿宋_GB2312" w:hAnsi="仿宋_GB2312" w:eastAsia="仿宋_GB2312" w:cs="仿宋_GB2312"/>
          <w:kern w:val="0"/>
          <w:sz w:val="32"/>
          <w:szCs w:val="32"/>
        </w:rPr>
        <w:t>增资引起基数增加而</w:t>
      </w:r>
      <w:r>
        <w:rPr>
          <w:rFonts w:hint="eastAsia" w:ascii="仿宋_GB2312" w:hAnsi="仿宋_GB2312" w:eastAsia="仿宋_GB2312" w:cs="仿宋_GB2312"/>
          <w:kern w:val="0"/>
          <w:sz w:val="32"/>
          <w:szCs w:val="32"/>
          <w:lang w:val="en-US" w:eastAsia="zh-CN"/>
        </w:rPr>
        <w:t>有所</w:t>
      </w:r>
      <w:r>
        <w:rPr>
          <w:rFonts w:hint="eastAsia" w:ascii="仿宋_GB2312" w:hAnsi="仿宋_GB2312" w:eastAsia="仿宋_GB2312" w:cs="仿宋_GB2312"/>
          <w:kern w:val="0"/>
          <w:sz w:val="32"/>
          <w:szCs w:val="32"/>
        </w:rPr>
        <w:t>增加。</w:t>
      </w:r>
    </w:p>
    <w:p>
      <w:pPr>
        <w:autoSpaceDE w:val="0"/>
        <w:autoSpaceDN w:val="0"/>
        <w:adjustRightInd w:val="0"/>
        <w:spacing w:line="600" w:lineRule="exact"/>
        <w:ind w:firstLine="640" w:firstLineChars="200"/>
        <w:jc w:val="left"/>
        <w:rPr>
          <w:rFonts w:hint="eastAsia" w:ascii="仿宋_GB2312" w:hAnsi="仿宋_GB2312" w:eastAsia="仿宋_GB2312" w:cs="仿宋_GB2312"/>
          <w:spacing w:val="6"/>
          <w:kern w:val="0"/>
          <w:sz w:val="32"/>
          <w:szCs w:val="32"/>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25.54</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rPr>
        <w:t>主要用于按照国家政策规定</w:t>
      </w:r>
      <w:r>
        <w:rPr>
          <w:rFonts w:hint="eastAsia" w:ascii="仿宋_GB2312" w:hAnsi="仿宋_GB2312" w:eastAsia="仿宋_GB2312" w:cs="仿宋_GB2312"/>
          <w:kern w:val="0"/>
          <w:sz w:val="32"/>
          <w:szCs w:val="32"/>
          <w:lang w:val="en-US" w:eastAsia="zh-CN"/>
        </w:rPr>
        <w:t>帮</w:t>
      </w:r>
      <w:r>
        <w:rPr>
          <w:rFonts w:hint="eastAsia" w:ascii="仿宋_GB2312" w:hAnsi="仿宋_GB2312" w:eastAsia="仿宋_GB2312" w:cs="仿宋_GB2312"/>
          <w:kern w:val="0"/>
          <w:sz w:val="32"/>
          <w:szCs w:val="32"/>
        </w:rPr>
        <w:t>职</w:t>
      </w:r>
      <w:r>
        <w:rPr>
          <w:rFonts w:hint="eastAsia" w:ascii="仿宋_GB2312" w:hAnsi="仿宋_GB2312" w:eastAsia="仿宋_GB2312" w:cs="仿宋_GB2312"/>
          <w:kern w:val="0"/>
          <w:sz w:val="32"/>
          <w:szCs w:val="32"/>
          <w:lang w:val="en-US" w:eastAsia="zh-CN"/>
        </w:rPr>
        <w:t>工交纳</w:t>
      </w:r>
      <w:r>
        <w:rPr>
          <w:rFonts w:hint="eastAsia" w:ascii="仿宋_GB2312" w:hAnsi="仿宋_GB2312" w:eastAsia="仿宋_GB2312" w:cs="仿宋_GB2312"/>
          <w:kern w:val="0"/>
          <w:sz w:val="32"/>
          <w:szCs w:val="32"/>
        </w:rPr>
        <w:t>住房公积金</w:t>
      </w:r>
      <w:r>
        <w:rPr>
          <w:rFonts w:hint="eastAsia" w:ascii="仿宋_GB2312" w:hAnsi="仿宋_GB2312" w:eastAsia="仿宋_GB2312" w:cs="仿宋_GB2312"/>
          <w:kern w:val="0"/>
          <w:sz w:val="32"/>
          <w:szCs w:val="32"/>
          <w:lang w:val="en-US" w:eastAsia="zh-CN"/>
        </w:rPr>
        <w:t>单位部分</w:t>
      </w:r>
      <w:r>
        <w:rPr>
          <w:rFonts w:hint="eastAsia" w:ascii="仿宋_GB2312" w:hAnsi="仿宋_GB2312" w:eastAsia="仿宋_GB2312" w:cs="仿宋_GB2312"/>
          <w:spacing w:val="-3"/>
          <w:kern w:val="0"/>
          <w:sz w:val="32"/>
          <w:szCs w:val="32"/>
        </w:rPr>
        <w:t>的支出。较202</w:t>
      </w:r>
      <w:r>
        <w:rPr>
          <w:rFonts w:hint="eastAsia" w:ascii="仿宋_GB2312" w:hAnsi="仿宋_GB2312" w:eastAsia="仿宋_GB2312" w:cs="仿宋_GB2312"/>
          <w:spacing w:val="-3"/>
          <w:kern w:val="0"/>
          <w:sz w:val="32"/>
          <w:szCs w:val="32"/>
          <w:lang w:val="en-US" w:eastAsia="zh-CN"/>
        </w:rPr>
        <w:t>1</w:t>
      </w:r>
      <w:r>
        <w:rPr>
          <w:rFonts w:hint="eastAsia" w:ascii="仿宋_GB2312" w:hAnsi="仿宋_GB2312" w:eastAsia="仿宋_GB2312" w:cs="仿宋_GB2312"/>
          <w:spacing w:val="-3"/>
          <w:kern w:val="0"/>
          <w:sz w:val="32"/>
          <w:szCs w:val="32"/>
        </w:rPr>
        <w:t>年度决算数增加</w:t>
      </w:r>
      <w:r>
        <w:rPr>
          <w:rFonts w:hint="eastAsia" w:ascii="仿宋_GB2312" w:hAnsi="仿宋_GB2312" w:eastAsia="仿宋_GB2312" w:cs="仿宋_GB2312"/>
          <w:spacing w:val="-3"/>
          <w:kern w:val="0"/>
          <w:sz w:val="32"/>
          <w:szCs w:val="32"/>
          <w:lang w:val="en-US" w:eastAsia="zh-CN"/>
        </w:rPr>
        <w:t>1.84</w:t>
      </w:r>
      <w:r>
        <w:rPr>
          <w:rFonts w:hint="eastAsia" w:ascii="仿宋_GB2312" w:hAnsi="仿宋_GB2312" w:eastAsia="仿宋_GB2312" w:cs="仿宋_GB2312"/>
          <w:spacing w:val="-3"/>
          <w:kern w:val="0"/>
          <w:sz w:val="32"/>
          <w:szCs w:val="32"/>
        </w:rPr>
        <w:t xml:space="preserve"> 万元，增长</w:t>
      </w:r>
      <w:r>
        <w:rPr>
          <w:rFonts w:hint="eastAsia" w:ascii="仿宋_GB2312" w:hAnsi="仿宋_GB2312" w:eastAsia="仿宋_GB2312" w:cs="仿宋_GB2312"/>
          <w:spacing w:val="-3"/>
          <w:kern w:val="0"/>
          <w:sz w:val="32"/>
          <w:szCs w:val="32"/>
          <w:lang w:val="en-US" w:eastAsia="zh-CN"/>
        </w:rPr>
        <w:t>7.76</w:t>
      </w:r>
      <w:r>
        <w:rPr>
          <w:rFonts w:hint="eastAsia" w:ascii="仿宋_GB2312" w:hAnsi="仿宋_GB2312" w:eastAsia="仿宋_GB2312" w:cs="仿宋_GB2312"/>
          <w:spacing w:val="-3"/>
          <w:kern w:val="0"/>
          <w:sz w:val="32"/>
          <w:szCs w:val="32"/>
        </w:rPr>
        <w:t xml:space="preserve">  %，</w:t>
      </w:r>
      <w:r>
        <w:rPr>
          <w:rFonts w:hint="eastAsia" w:ascii="仿宋_GB2312" w:hAnsi="仿宋_GB2312" w:eastAsia="仿宋_GB2312" w:cs="仿宋_GB2312"/>
          <w:kern w:val="0"/>
          <w:sz w:val="32"/>
          <w:szCs w:val="32"/>
        </w:rPr>
        <w:t>主要原因是增资引起基数增长而增加</w:t>
      </w:r>
      <w:r>
        <w:rPr>
          <w:rFonts w:hint="eastAsia" w:ascii="仿宋_GB2312" w:hAnsi="仿宋_GB2312" w:eastAsia="仿宋_GB2312" w:cs="仿宋_GB2312"/>
          <w:spacing w:val="6"/>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_GB2312" w:cs="仿宋"/>
          <w:sz w:val="32"/>
          <w:szCs w:val="32"/>
          <w:highlight w:val="none"/>
          <w:lang w:val="en-US" w:eastAsia="zh-CN"/>
        </w:rPr>
      </w:pPr>
      <w:r>
        <w:rPr>
          <w:rFonts w:hint="eastAsia" w:ascii="仿宋" w:hAnsi="仿宋" w:eastAsia="仿宋" w:cs="仿宋"/>
          <w:sz w:val="32"/>
          <w:szCs w:val="32"/>
          <w:highlight w:val="none"/>
          <w:lang w:val="en-US" w:eastAsia="zh-CN"/>
        </w:rPr>
        <w:t>6.其他支出</w:t>
      </w:r>
      <w:r>
        <w:rPr>
          <w:rFonts w:hint="eastAsia" w:ascii="仿宋_GB2312" w:hAnsi="仿宋_GB2312" w:eastAsia="仿宋_GB2312" w:cs="仿宋_GB2312"/>
          <w:spacing w:val="6"/>
          <w:kern w:val="0"/>
          <w:sz w:val="32"/>
          <w:szCs w:val="32"/>
        </w:rPr>
        <w:t>其他支出</w:t>
      </w:r>
      <w:r>
        <w:rPr>
          <w:rFonts w:hint="eastAsia" w:ascii="仿宋_GB2312" w:hAnsi="仿宋_GB2312" w:eastAsia="仿宋_GB2312" w:cs="仿宋_GB2312"/>
          <w:spacing w:val="6"/>
          <w:kern w:val="0"/>
          <w:sz w:val="32"/>
          <w:szCs w:val="32"/>
          <w:lang w:val="en-US" w:eastAsia="zh-CN"/>
        </w:rPr>
        <w:t>57.94</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kern w:val="0"/>
          <w:sz w:val="32"/>
          <w:szCs w:val="32"/>
        </w:rPr>
        <w:t>主要用于按照国家政策规定向职工发放的绩效考评奖方</w:t>
      </w:r>
      <w:r>
        <w:rPr>
          <w:rFonts w:hint="eastAsia" w:ascii="仿宋_GB2312" w:hAnsi="仿宋_GB2312" w:eastAsia="仿宋_GB2312" w:cs="仿宋_GB2312"/>
          <w:spacing w:val="-3"/>
          <w:kern w:val="0"/>
          <w:sz w:val="32"/>
          <w:szCs w:val="32"/>
        </w:rPr>
        <w:t>面的支出。较202</w:t>
      </w:r>
      <w:r>
        <w:rPr>
          <w:rFonts w:hint="eastAsia" w:ascii="仿宋_GB2312" w:hAnsi="仿宋_GB2312" w:eastAsia="仿宋_GB2312" w:cs="仿宋_GB2312"/>
          <w:spacing w:val="-3"/>
          <w:kern w:val="0"/>
          <w:sz w:val="32"/>
          <w:szCs w:val="32"/>
          <w:lang w:val="en-US" w:eastAsia="zh-CN"/>
        </w:rPr>
        <w:t>1</w:t>
      </w:r>
      <w:r>
        <w:rPr>
          <w:rFonts w:hint="eastAsia" w:ascii="仿宋_GB2312" w:hAnsi="仿宋_GB2312" w:eastAsia="仿宋_GB2312" w:cs="仿宋_GB2312"/>
          <w:spacing w:val="-3"/>
          <w:kern w:val="0"/>
          <w:sz w:val="32"/>
          <w:szCs w:val="32"/>
        </w:rPr>
        <w:t>年度决算数</w:t>
      </w:r>
      <w:r>
        <w:rPr>
          <w:rFonts w:hint="eastAsia" w:ascii="仿宋_GB2312" w:hAnsi="仿宋_GB2312" w:eastAsia="仿宋_GB2312" w:cs="仿宋_GB2312"/>
          <w:spacing w:val="-3"/>
          <w:kern w:val="0"/>
          <w:sz w:val="32"/>
          <w:szCs w:val="32"/>
          <w:lang w:val="en-US" w:eastAsia="zh-CN"/>
        </w:rPr>
        <w:t>减少14.86</w:t>
      </w:r>
      <w:r>
        <w:rPr>
          <w:rFonts w:hint="eastAsia" w:ascii="仿宋_GB2312" w:hAnsi="仿宋_GB2312" w:eastAsia="仿宋_GB2312" w:cs="仿宋_GB2312"/>
          <w:spacing w:val="-3"/>
          <w:kern w:val="0"/>
          <w:sz w:val="32"/>
          <w:szCs w:val="32"/>
        </w:rPr>
        <w:t xml:space="preserve"> 万元，</w:t>
      </w:r>
      <w:r>
        <w:rPr>
          <w:rFonts w:hint="eastAsia" w:ascii="仿宋_GB2312" w:hAnsi="仿宋_GB2312" w:eastAsia="仿宋_GB2312" w:cs="仿宋_GB2312"/>
          <w:spacing w:val="-3"/>
          <w:kern w:val="0"/>
          <w:sz w:val="32"/>
          <w:szCs w:val="32"/>
          <w:lang w:val="en-US" w:eastAsia="zh-CN"/>
        </w:rPr>
        <w:t>下降20.41</w:t>
      </w:r>
      <w:r>
        <w:rPr>
          <w:rFonts w:hint="eastAsia" w:ascii="仿宋_GB2312" w:hAnsi="仿宋_GB2312" w:eastAsia="仿宋_GB2312" w:cs="仿宋_GB2312"/>
          <w:spacing w:val="-3"/>
          <w:kern w:val="0"/>
          <w:sz w:val="32"/>
          <w:szCs w:val="32"/>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今年</w:t>
      </w:r>
      <w:r>
        <w:rPr>
          <w:rFonts w:hint="eastAsia" w:ascii="仿宋_GB2312" w:hAnsi="仿宋_GB2312" w:eastAsia="仿宋_GB2312" w:cs="仿宋_GB2312"/>
          <w:kern w:val="0"/>
          <w:sz w:val="32"/>
          <w:szCs w:val="32"/>
        </w:rPr>
        <w:t>发</w:t>
      </w:r>
      <w:r>
        <w:rPr>
          <w:rFonts w:hint="eastAsia" w:ascii="仿宋_GB2312" w:hAnsi="仿宋_GB2312" w:eastAsia="仿宋_GB2312" w:cs="仿宋_GB2312"/>
          <w:kern w:val="0"/>
          <w:sz w:val="32"/>
          <w:szCs w:val="32"/>
          <w:lang w:val="en-US" w:eastAsia="zh-CN"/>
        </w:rPr>
        <w:t>放</w:t>
      </w:r>
      <w:r>
        <w:rPr>
          <w:rFonts w:hint="eastAsia" w:ascii="仿宋_GB2312" w:hAnsi="仿宋_GB2312" w:eastAsia="仿宋_GB2312" w:cs="仿宋_GB2312"/>
          <w:kern w:val="0"/>
          <w:sz w:val="32"/>
          <w:szCs w:val="32"/>
        </w:rPr>
        <w:t>的绩效考评奖</w:t>
      </w:r>
      <w:r>
        <w:rPr>
          <w:rFonts w:hint="eastAsia" w:ascii="仿宋_GB2312" w:hAnsi="仿宋_GB2312" w:eastAsia="仿宋_GB2312" w:cs="仿宋_GB2312"/>
          <w:kern w:val="0"/>
          <w:sz w:val="32"/>
          <w:szCs w:val="32"/>
          <w:lang w:val="en-US" w:eastAsia="zh-CN"/>
        </w:rPr>
        <w:t>大量减少。</w:t>
      </w:r>
    </w:p>
    <w:p>
      <w:pPr>
        <w:autoSpaceDE w:val="0"/>
        <w:autoSpaceDN w:val="0"/>
        <w:adjustRightInd w:val="0"/>
        <w:spacing w:line="560" w:lineRule="exact"/>
        <w:ind w:firstLine="627" w:firstLineChars="196"/>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spacing w:val="6"/>
          <w:kern w:val="0"/>
          <w:sz w:val="32"/>
          <w:szCs w:val="32"/>
        </w:rPr>
        <w:t>结余分配0.00万元，为事业单位按规定提取的职工福利</w:t>
      </w:r>
      <w:r>
        <w:rPr>
          <w:rFonts w:hint="eastAsia" w:ascii="仿宋_GB2312" w:hAnsi="仿宋_GB2312" w:eastAsia="仿宋_GB2312" w:cs="仿宋_GB2312"/>
          <w:spacing w:val="11"/>
          <w:kern w:val="0"/>
          <w:sz w:val="32"/>
          <w:szCs w:val="32"/>
        </w:rPr>
        <w:t>基金、事业基金和缴纳的所得税等。较2020年度决算数增加</w:t>
      </w:r>
      <w:r>
        <w:rPr>
          <w:rFonts w:hint="eastAsia" w:ascii="仿宋_GB2312" w:hAnsi="仿宋_GB2312" w:eastAsia="仿宋_GB2312" w:cs="仿宋_GB2312"/>
          <w:spacing w:val="6"/>
          <w:kern w:val="0"/>
          <w:sz w:val="32"/>
          <w:szCs w:val="32"/>
        </w:rPr>
        <w:t xml:space="preserve"> 0.00 万元，增长 0.00  %，主要原因是</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没有分配。</w:t>
      </w:r>
    </w:p>
    <w:p>
      <w:pPr>
        <w:autoSpaceDE w:val="0"/>
        <w:autoSpaceDN w:val="0"/>
        <w:adjustRightInd w:val="0"/>
        <w:spacing w:line="600" w:lineRule="exact"/>
        <w:ind w:firstLine="615" w:firstLineChars="196"/>
        <w:rPr>
          <w:rFonts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8.年末结转和结余0.00万元，</w:t>
      </w:r>
      <w:r>
        <w:rPr>
          <w:rFonts w:ascii="Times New Roman" w:hAnsi="Times New Roman" w:eastAsia="仿宋_GB2312"/>
          <w:kern w:val="0"/>
          <w:sz w:val="32"/>
          <w:szCs w:val="32"/>
        </w:rPr>
        <w:t>为以前年度支出预算因客观条件变化未执行完毕、结转到本年度按有关规定继续使用的资金。</w:t>
      </w:r>
      <w:r>
        <w:rPr>
          <w:rFonts w:hint="eastAsia" w:ascii="仿宋_GB2312" w:hAnsi="仿宋_GB2312" w:eastAsia="仿宋_GB2312" w:cs="仿宋_GB2312"/>
          <w:kern w:val="0"/>
          <w:sz w:val="32"/>
          <w:szCs w:val="32"/>
        </w:rPr>
        <w:t>较2020年度决算数减少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万元，下降0.00%，主要原因是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没有</w:t>
      </w:r>
      <w:r>
        <w:rPr>
          <w:rFonts w:hint="eastAsia" w:ascii="仿宋_GB2312" w:hAnsi="仿宋_GB2312" w:eastAsia="仿宋_GB2312" w:cs="仿宋_GB2312"/>
          <w:kern w:val="0"/>
          <w:sz w:val="32"/>
          <w:szCs w:val="32"/>
        </w:rPr>
        <w:t>在结转和结余数。</w:t>
      </w:r>
    </w:p>
    <w:p>
      <w:pPr>
        <w:ind w:firstLine="640" w:firstLineChars="200"/>
        <w:jc w:val="center"/>
        <w:rPr>
          <w:rFonts w:hint="eastAsia" w:ascii="仿宋" w:hAnsi="仿宋" w:eastAsia="仿宋" w:cs="仿宋"/>
          <w:sz w:val="32"/>
          <w:szCs w:val="32"/>
          <w:highlight w:val="none"/>
        </w:rPr>
      </w:pPr>
    </w:p>
    <w:p>
      <w:pPr>
        <w:ind w:firstLine="420" w:firstLineChars="200"/>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869.29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增加336.05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63.02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434.54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434.75</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522.29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869.29</w:t>
      </w:r>
      <w:r>
        <w:rPr>
          <w:rFonts w:hint="eastAsia" w:ascii="仿宋" w:hAnsi="仿宋" w:eastAsia="仿宋" w:cs="仿宋"/>
          <w:sz w:val="32"/>
          <w:szCs w:val="32"/>
          <w:highlight w:val="none"/>
        </w:rPr>
        <w:t>元，完成年初预算的</w:t>
      </w:r>
      <w:r>
        <w:rPr>
          <w:rFonts w:hint="eastAsia" w:ascii="仿宋" w:hAnsi="仿宋" w:eastAsia="仿宋" w:cs="仿宋"/>
          <w:sz w:val="32"/>
          <w:u w:color="auto"/>
          <w:lang w:val="en-US" w:eastAsia="zh-CN"/>
        </w:rPr>
        <w:t>166.44</w:t>
      </w:r>
      <w:r>
        <w:rPr>
          <w:rFonts w:ascii="仿宋" w:hAnsi="仿宋" w:eastAsia="仿宋" w:cs="仿宋"/>
          <w:sz w:val="32"/>
          <w:u w:color="auto"/>
        </w:rPr>
        <w:t>%</w:t>
      </w:r>
      <w:r>
        <w:rPr>
          <w:rFonts w:hint="eastAsia" w:ascii="仿宋" w:hAnsi="仿宋" w:eastAsia="仿宋" w:cs="仿宋"/>
          <w:sz w:val="32"/>
          <w:szCs w:val="32"/>
          <w:highlight w:val="none"/>
        </w:rPr>
        <w:t>。</w:t>
      </w:r>
    </w:p>
    <w:p>
      <w:pPr>
        <w:numPr>
          <w:ilvl w:val="0"/>
          <w:numId w:val="1"/>
        </w:numPr>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4.46万元，支出决算数为</w:t>
      </w:r>
      <w:r>
        <w:rPr>
          <w:rFonts w:hint="eastAsia" w:ascii="仿宋" w:hAnsi="仿宋" w:eastAsia="仿宋" w:cs="仿宋"/>
          <w:sz w:val="32"/>
          <w:szCs w:val="32"/>
          <w:highlight w:val="none"/>
          <w:lang w:val="en-US" w:eastAsia="zh-CN" w:bidi="ar"/>
        </w:rPr>
        <w:t>4.46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原因是：不存在差异。</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不存在差异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eastAsiaTheme="minorEastAsia"/>
                <w:lang w:val="en-US" w:eastAsia="zh-CN"/>
              </w:rPr>
            </w:pPr>
            <w:r>
              <w:rPr>
                <w:rFonts w:hint="eastAsia"/>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numPr>
          <w:ilvl w:val="0"/>
          <w:numId w:val="0"/>
        </w:numPr>
        <w:jc w:val="left"/>
      </w:pPr>
    </w:p>
    <w:p>
      <w:pPr>
        <w:numPr>
          <w:ilvl w:val="0"/>
          <w:numId w:val="0"/>
        </w:numPr>
        <w:jc w:val="left"/>
        <w:rPr>
          <w:rFonts w:hint="eastAsia" w:ascii="仿宋" w:hAnsi="仿宋" w:eastAsia="仿宋"/>
          <w:color w:val="000000" w:themeColor="text1"/>
          <w:sz w:val="32"/>
          <w:szCs w:val="32"/>
          <w:highlight w:val="none"/>
          <w:lang w:val="en-US" w:eastAsia="zh-CN"/>
          <w14:textFill>
            <w14:solidFill>
              <w14:schemeClr w14:val="tx1"/>
            </w14:solidFill>
          </w14:textFill>
        </w:rPr>
      </w:pPr>
      <w:r>
        <w:drawing>
          <wp:inline distT="0" distB="0" distL="114300" distR="114300">
            <wp:extent cx="4572000" cy="2743200"/>
            <wp:effectExtent l="4445" t="4445" r="14605" b="14605"/>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 教育支出</w:t>
      </w:r>
      <w:r>
        <w:rPr>
          <w:rFonts w:ascii="仿宋" w:hAnsi="仿宋" w:eastAsia="仿宋"/>
          <w:sz w:val="32"/>
          <w:u w:color="auto"/>
        </w:rPr>
        <w:t>（205</w:t>
      </w:r>
      <w:r>
        <w:rPr>
          <w:rFonts w:hint="eastAsia" w:ascii="仿宋" w:hAnsi="仿宋" w:eastAsia="仿宋"/>
          <w:sz w:val="32"/>
          <w:szCs w:val="32"/>
          <w:highlight w:val="none"/>
        </w:rPr>
        <w:t>类）</w:t>
      </w:r>
      <w:r>
        <w:rPr>
          <w:rFonts w:ascii="Times New Roman" w:hAnsi="Times New Roman" w:eastAsia="仿宋_GB2312"/>
          <w:bCs/>
          <w:kern w:val="0"/>
          <w:sz w:val="32"/>
          <w:szCs w:val="32"/>
        </w:rPr>
        <w:t>年初预算为</w:t>
      </w:r>
      <w:r>
        <w:rPr>
          <w:rFonts w:hint="eastAsia" w:ascii="Times New Roman" w:hAnsi="Times New Roman" w:eastAsia="仿宋_GB2312"/>
          <w:bCs/>
          <w:kern w:val="0"/>
          <w:sz w:val="32"/>
          <w:szCs w:val="32"/>
        </w:rPr>
        <w:t>0.00</w:t>
      </w:r>
      <w:r>
        <w:rPr>
          <w:rFonts w:ascii="Times New Roman" w:hAnsi="Times New Roman" w:eastAsia="仿宋_GB2312"/>
          <w:bCs/>
          <w:kern w:val="0"/>
          <w:sz w:val="32"/>
          <w:szCs w:val="32"/>
        </w:rPr>
        <w:t>万元，支出决算为</w:t>
      </w:r>
      <w:r>
        <w:rPr>
          <w:rFonts w:hint="eastAsia" w:ascii="Times New Roman" w:hAnsi="Times New Roman" w:eastAsia="仿宋_GB2312"/>
          <w:bCs/>
          <w:kern w:val="0"/>
          <w:sz w:val="32"/>
          <w:szCs w:val="32"/>
          <w:lang w:val="en-US" w:eastAsia="zh-CN"/>
        </w:rPr>
        <w:t>4.25</w:t>
      </w:r>
      <w:r>
        <w:rPr>
          <w:rFonts w:ascii="Times New Roman" w:hAnsi="Times New Roman" w:eastAsia="仿宋_GB2312"/>
          <w:bCs/>
          <w:kern w:val="0"/>
          <w:sz w:val="32"/>
          <w:szCs w:val="32"/>
        </w:rPr>
        <w:t xml:space="preserve">万元，完成年初预算的 </w:t>
      </w:r>
      <w:r>
        <w:rPr>
          <w:rFonts w:hint="eastAsia" w:ascii="Times New Roman" w:hAnsi="Times New Roman" w:eastAsia="仿宋_GB2312"/>
          <w:bCs/>
          <w:kern w:val="0"/>
          <w:sz w:val="32"/>
          <w:szCs w:val="32"/>
        </w:rPr>
        <w:t>0.00</w:t>
      </w:r>
      <w:r>
        <w:rPr>
          <w:rFonts w:ascii="Times New Roman" w:hAnsi="Times New Roman" w:eastAsia="仿宋_GB2312"/>
          <w:bCs/>
          <w:kern w:val="0"/>
          <w:sz w:val="32"/>
          <w:szCs w:val="32"/>
        </w:rPr>
        <w:t xml:space="preserve"> %。预决算差异</w:t>
      </w:r>
      <w:r>
        <w:rPr>
          <w:rFonts w:hint="eastAsia" w:ascii="Times New Roman" w:hAnsi="Times New Roman" w:eastAsia="仿宋_GB2312"/>
          <w:bCs/>
          <w:kern w:val="0"/>
          <w:sz w:val="32"/>
          <w:szCs w:val="32"/>
        </w:rPr>
        <w:t>的</w:t>
      </w:r>
      <w:r>
        <w:rPr>
          <w:rFonts w:hint="eastAsia" w:ascii="仿宋_GB2312" w:hAnsi="仿宋_GB2312" w:eastAsia="仿宋_GB2312" w:cs="仿宋_GB2312"/>
          <w:sz w:val="32"/>
          <w:szCs w:val="32"/>
        </w:rPr>
        <w:t>主要原因是年初无此项预算，年中财政根据实际情况调整而产生。</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其他广播电视教育支出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毛南语聘用播音员经费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年中根据实际情况调整产生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pPr>
      <w:r>
        <w:drawing>
          <wp:inline distT="0" distB="0" distL="114300" distR="114300">
            <wp:extent cx="4572000" cy="2743200"/>
            <wp:effectExtent l="4445" t="4445" r="14605" b="1460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2"/>
        </w:num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文化旅游体育与传媒支出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207）</w:t>
      </w:r>
      <w:r>
        <w:rPr>
          <w:rFonts w:ascii="Times New Roman" w:hAnsi="Times New Roman" w:eastAsia="仿宋_GB2312"/>
          <w:bCs/>
          <w:kern w:val="0"/>
          <w:sz w:val="32"/>
          <w:szCs w:val="32"/>
        </w:rPr>
        <w:t>年初预算为</w:t>
      </w:r>
      <w:r>
        <w:rPr>
          <w:rFonts w:hint="eastAsia" w:ascii="Times New Roman" w:hAnsi="Times New Roman" w:eastAsia="仿宋_GB2312"/>
          <w:bCs/>
          <w:kern w:val="0"/>
          <w:sz w:val="32"/>
          <w:szCs w:val="32"/>
          <w:lang w:val="en-US" w:eastAsia="zh-CN"/>
        </w:rPr>
        <w:t>455.46</w:t>
      </w:r>
      <w:r>
        <w:rPr>
          <w:rFonts w:ascii="Times New Roman" w:hAnsi="Times New Roman" w:eastAsia="仿宋_GB2312"/>
          <w:bCs/>
          <w:kern w:val="0"/>
          <w:sz w:val="32"/>
          <w:szCs w:val="32"/>
        </w:rPr>
        <w:t>万元，支出决算为</w:t>
      </w:r>
      <w:r>
        <w:rPr>
          <w:rFonts w:hint="eastAsia" w:ascii="Times New Roman" w:hAnsi="Times New Roman" w:eastAsia="仿宋_GB2312"/>
          <w:bCs/>
          <w:kern w:val="0"/>
          <w:sz w:val="32"/>
          <w:szCs w:val="32"/>
          <w:lang w:val="en-US" w:eastAsia="zh-CN"/>
        </w:rPr>
        <w:t>741.98</w:t>
      </w:r>
      <w:r>
        <w:rPr>
          <w:rFonts w:ascii="Times New Roman" w:hAnsi="Times New Roman" w:eastAsia="仿宋_GB2312"/>
          <w:bCs/>
          <w:kern w:val="0"/>
          <w:sz w:val="32"/>
          <w:szCs w:val="32"/>
        </w:rPr>
        <w:t>万元，完成年初预算的</w:t>
      </w:r>
      <w:r>
        <w:rPr>
          <w:rFonts w:hint="eastAsia" w:ascii="Times New Roman" w:hAnsi="Times New Roman" w:eastAsia="仿宋_GB2312"/>
          <w:bCs/>
          <w:kern w:val="0"/>
          <w:sz w:val="32"/>
          <w:szCs w:val="32"/>
          <w:lang w:val="en-US" w:eastAsia="zh-CN"/>
        </w:rPr>
        <w:t>162.91</w:t>
      </w:r>
      <w:r>
        <w:rPr>
          <w:rFonts w:ascii="Times New Roman" w:hAnsi="Times New Roman" w:eastAsia="仿宋_GB2312"/>
          <w:bCs/>
          <w:kern w:val="0"/>
          <w:sz w:val="32"/>
          <w:szCs w:val="32"/>
        </w:rPr>
        <w:t xml:space="preserve"> %。预决算差异</w:t>
      </w:r>
      <w:r>
        <w:rPr>
          <w:rFonts w:hint="eastAsia" w:ascii="Times New Roman" w:hAnsi="Times New Roman" w:eastAsia="仿宋_GB2312"/>
          <w:bCs/>
          <w:kern w:val="0"/>
          <w:sz w:val="32"/>
          <w:szCs w:val="32"/>
        </w:rPr>
        <w:t>的</w:t>
      </w:r>
      <w:r>
        <w:rPr>
          <w:rFonts w:hint="eastAsia" w:ascii="仿宋_GB2312" w:hAnsi="仿宋_GB2312" w:eastAsia="仿宋_GB2312" w:cs="仿宋_GB2312"/>
          <w:sz w:val="32"/>
          <w:szCs w:val="32"/>
        </w:rPr>
        <w:t>主要原因是中途增加业务及正常增资等和增加。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2070808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广播电视事务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357.16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352.67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98.74%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年中根据实际情况调整产生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eastAsiaTheme="minorEastAsia"/>
                <w:lang w:val="en-US" w:eastAsia="zh-CN"/>
              </w:rPr>
            </w:pPr>
            <w:r>
              <w:rPr>
                <w:rFonts w:hint="eastAsia"/>
                <w:lang w:val="en-US" w:eastAsia="zh-CN"/>
              </w:rPr>
              <w:t>2070899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其他广播电视支出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98.30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389.31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396.04%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年中根据实际情况调整产生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lang w:val="en-US" w:eastAsia="zh-CN"/>
              </w:rPr>
            </w:pPr>
            <w:r>
              <w:rPr>
                <w:rFonts w:hint="eastAsia"/>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455.46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741.98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p>
    <w:p>
      <w:pPr>
        <w:jc w:val="center"/>
      </w:pPr>
      <w:r>
        <w:drawing>
          <wp:inline distT="0" distB="0" distL="114300" distR="114300">
            <wp:extent cx="4572000" cy="2410460"/>
            <wp:effectExtent l="5080" t="4445" r="13970" b="23495"/>
            <wp:docPr id="3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pPr>
    </w:p>
    <w:p>
      <w:p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Times New Roman" w:hAnsi="Times New Roman" w:eastAsia="仿宋_GB2312"/>
          <w:bCs/>
          <w:kern w:val="0"/>
          <w:sz w:val="32"/>
          <w:szCs w:val="32"/>
          <w:lang w:val="en-US" w:eastAsia="zh-CN"/>
        </w:rPr>
        <w:t>35.64</w:t>
      </w:r>
      <w:r>
        <w:rPr>
          <w:rFonts w:ascii="Times New Roman" w:hAnsi="Times New Roman" w:eastAsia="仿宋_GB2312"/>
          <w:bCs/>
          <w:kern w:val="0"/>
          <w:sz w:val="32"/>
          <w:szCs w:val="32"/>
        </w:rPr>
        <w:t>万元，支出决算为</w:t>
      </w:r>
      <w:r>
        <w:rPr>
          <w:rFonts w:hint="eastAsia" w:ascii="Times New Roman" w:hAnsi="Times New Roman" w:eastAsia="仿宋_GB2312"/>
          <w:bCs/>
          <w:kern w:val="0"/>
          <w:sz w:val="32"/>
          <w:szCs w:val="32"/>
          <w:lang w:val="en-US" w:eastAsia="zh-CN"/>
        </w:rPr>
        <w:t>35.12</w:t>
      </w:r>
      <w:r>
        <w:rPr>
          <w:rFonts w:ascii="Times New Roman" w:hAnsi="Times New Roman" w:eastAsia="仿宋_GB2312"/>
          <w:bCs/>
          <w:kern w:val="0"/>
          <w:sz w:val="32"/>
          <w:szCs w:val="32"/>
        </w:rPr>
        <w:t>万元，完成年初预算的</w:t>
      </w:r>
      <w:r>
        <w:rPr>
          <w:rFonts w:hint="eastAsia" w:ascii="Times New Roman" w:hAnsi="Times New Roman" w:eastAsia="仿宋_GB2312"/>
          <w:bCs/>
          <w:kern w:val="0"/>
          <w:sz w:val="32"/>
          <w:szCs w:val="32"/>
          <w:lang w:val="en-US" w:eastAsia="zh-CN"/>
        </w:rPr>
        <w:t>98.54</w:t>
      </w:r>
      <w:r>
        <w:rPr>
          <w:rFonts w:ascii="Times New Roman" w:hAnsi="Times New Roman" w:eastAsia="仿宋_GB2312"/>
          <w:bCs/>
          <w:kern w:val="0"/>
          <w:sz w:val="32"/>
          <w:szCs w:val="32"/>
        </w:rPr>
        <w:t xml:space="preserve"> %。预决算差异</w:t>
      </w:r>
      <w:r>
        <w:rPr>
          <w:rFonts w:hint="eastAsia" w:ascii="Times New Roman" w:hAnsi="Times New Roman" w:eastAsia="仿宋_GB2312"/>
          <w:bCs/>
          <w:kern w:val="0"/>
          <w:sz w:val="32"/>
          <w:szCs w:val="32"/>
        </w:rPr>
        <w:t>的</w:t>
      </w:r>
      <w:r>
        <w:rPr>
          <w:rFonts w:hint="eastAsia" w:ascii="仿宋_GB2312" w:hAnsi="仿宋_GB2312" w:eastAsia="仿宋_GB2312" w:cs="仿宋_GB2312"/>
          <w:sz w:val="32"/>
          <w:szCs w:val="32"/>
        </w:rPr>
        <w:t>主要原因是中途</w:t>
      </w:r>
      <w:r>
        <w:rPr>
          <w:rFonts w:hint="eastAsia" w:ascii="仿宋_GB2312" w:hAnsi="仿宋_GB2312" w:eastAsia="仿宋_GB2312" w:cs="仿宋_GB2312"/>
          <w:sz w:val="32"/>
          <w:szCs w:val="32"/>
          <w:lang w:val="en-US" w:eastAsia="zh-CN"/>
        </w:rPr>
        <w:t>人员调进调出产生</w:t>
      </w:r>
      <w:r>
        <w:rPr>
          <w:rFonts w:hint="eastAsia" w:ascii="仿宋_GB2312" w:hAnsi="仿宋_GB2312" w:eastAsia="仿宋_GB2312" w:cs="仿宋_GB2312"/>
          <w:sz w:val="32"/>
          <w:szCs w:val="32"/>
        </w:rPr>
        <w:t>。</w:t>
      </w:r>
    </w:p>
    <w:p>
      <w:pPr>
        <w:keepNext w:val="0"/>
        <w:keepLines w:val="0"/>
        <w:widowControl w:val="0"/>
        <w:numPr>
          <w:ilvl w:val="0"/>
          <w:numId w:val="0"/>
        </w:numPr>
        <w:suppressLineNumbers w:val="0"/>
        <w:spacing w:before="0" w:beforeAutospacing="0" w:after="0" w:afterAutospacing="0"/>
        <w:ind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98.54%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交纳编内在职人员养老保险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中途人员调进调出产生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35.64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jc w:val="left"/>
      </w:pPr>
    </w:p>
    <w:p>
      <w:pPr>
        <w:jc w:val="both"/>
      </w:pPr>
      <w:r>
        <w:drawing>
          <wp:inline distT="0" distB="0" distL="114300" distR="114300">
            <wp:extent cx="4572000" cy="2439670"/>
            <wp:effectExtent l="4445" t="4445" r="14605" b="13335"/>
            <wp:docPr id="3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autoSpaceDE w:val="0"/>
        <w:autoSpaceDN w:val="0"/>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住房保障支出（221类）年初预算为</w:t>
      </w:r>
      <w:r>
        <w:rPr>
          <w:rFonts w:hint="eastAsia" w:ascii="仿宋" w:hAnsi="仿宋" w:eastAsia="仿宋"/>
          <w:sz w:val="32"/>
          <w:szCs w:val="32"/>
          <w:highlight w:val="none"/>
          <w:lang w:val="en-US" w:eastAsia="zh-CN"/>
        </w:rPr>
        <w:t>26.73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25.54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95.55</w:t>
      </w:r>
      <w:r>
        <w:rPr>
          <w:rFonts w:hint="eastAsia" w:ascii="仿宋" w:hAnsi="仿宋" w:eastAsia="仿宋"/>
          <w:sz w:val="32"/>
          <w:szCs w:val="32"/>
          <w:highlight w:val="none"/>
        </w:rPr>
        <w:t>%。预决算</w:t>
      </w:r>
      <w:r>
        <w:rPr>
          <w:rFonts w:hint="eastAsia" w:ascii="仿宋" w:hAnsi="仿宋" w:eastAsia="仿宋"/>
          <w:sz w:val="32"/>
          <w:szCs w:val="32"/>
          <w:highlight w:val="none"/>
          <w:lang w:val="en-US" w:eastAsia="zh-CN"/>
        </w:rPr>
        <w:t>存有</w:t>
      </w:r>
      <w:r>
        <w:rPr>
          <w:rFonts w:hint="eastAsia" w:ascii="仿宋" w:hAnsi="仿宋" w:eastAsia="仿宋"/>
          <w:sz w:val="32"/>
          <w:szCs w:val="32"/>
          <w:highlight w:val="none"/>
        </w:rPr>
        <w:t>差异</w:t>
      </w:r>
      <w:r>
        <w:rPr>
          <w:rFonts w:hint="eastAsia" w:ascii="仿宋" w:hAnsi="仿宋" w:eastAsia="仿宋"/>
          <w:sz w:val="32"/>
          <w:szCs w:val="32"/>
          <w:highlight w:val="none"/>
          <w:lang w:val="en-US" w:eastAsia="zh-CN"/>
        </w:rPr>
        <w:t>原因是：中途人员调进调出产生。</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交纳住房公积金单位部分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中途人员调进调出产生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p>
    <w:p>
      <w:pPr>
        <w:jc w:val="center"/>
      </w:pP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434.54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422.08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12.45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414.69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120.19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年初预算数为345.03万元，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主要原因是：政策性增资及补发上年度绩效考评奖等。</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98.25万元，30102津贴补贴6.51万元，30103奖金75.98万元，30106伙食补助费4.40万元，30107绩效工资49.73万元，30108机关事业单位基本养老保险缴费41.85万元，30110职工基本医疗保险缴费13.76万元，30111公务员医疗补助缴费0.00万元，30112其他社会保障缴费0.00万元，30113住房公积金30.34万元，30199其他工资福利支出70.56万元。</w:t>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12.45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111.46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主要原因是：年底结算增人增加额定公务费。</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0.03万元，30205水费0.03万元，30206电费0.82万元，30207邮电费0.92万元，30211差旅费2.22万元，30216培训费1.95万元，30226劳务费0.70万元，30228工会经费4.46万元，30231公务用车运行维护费0.95万元，30299其他商品和服务支出0.38万元。</w:t>
      </w: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7.40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主要原因是：没有变动，和年初预算一样。</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30305生活补助7.40万元。</w:t>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无支出，实际也无支出。</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drawing>
          <wp:inline distT="0" distB="0" distL="114300" distR="114300">
            <wp:extent cx="4474845" cy="28727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无支出，实际也无支出。</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无支出，实际也无支出。</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lang w:val="en-US" w:eastAsia="zh-CN"/>
        </w:rPr>
        <w:t>说明：2022年</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没有政府性基金收入，也没有政府性基金收入安排的支出。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1" w:name="PO_part3A5B1C1DiffReason1"/>
      <w:r>
        <w:rPr>
          <w:rFonts w:hint="eastAsia" w:ascii="仿宋" w:hAnsi="仿宋" w:eastAsia="仿宋" w:cs="仿宋"/>
          <w:sz w:val="32"/>
          <w:szCs w:val="32"/>
          <w:highlight w:val="none"/>
          <w:lang w:val="en-US" w:eastAsia="zh-CN"/>
        </w:rPr>
        <w:t>说明：2022年本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没有国有资本经营预算收入，也没有国有资本经营预算</w:t>
      </w:r>
      <w:r>
        <w:rPr>
          <w:rFonts w:hint="eastAsia" w:ascii="仿宋" w:hAnsi="仿宋" w:eastAsia="仿宋" w:cs="仿宋"/>
          <w:sz w:val="32"/>
          <w:szCs w:val="32"/>
          <w:highlight w:val="none"/>
          <w:lang w:val="en-US" w:eastAsia="zh-CN"/>
        </w:rPr>
        <w:t>收入</w:t>
      </w:r>
      <w:r>
        <w:rPr>
          <w:rFonts w:hint="eastAsia" w:ascii="仿宋" w:hAnsi="仿宋" w:eastAsia="仿宋" w:cs="仿宋"/>
          <w:sz w:val="32"/>
          <w:szCs w:val="32"/>
          <w:highlight w:val="none"/>
        </w:rPr>
        <w:t>安排的支出。</w:t>
      </w:r>
      <w:bookmarkEnd w:id="1"/>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8.15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68.20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增加3.02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今年增加了采访车费。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7.58</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0.57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left="-10" w:leftChars="0" w:firstLine="64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bCs/>
          <w:kern w:val="0"/>
          <w:sz w:val="32"/>
          <w:szCs w:val="32"/>
        </w:rPr>
        <w:t>无此项预算也无此项支出</w:t>
      </w:r>
      <w:r>
        <w:rPr>
          <w:rFonts w:ascii="仿宋_GB2312" w:hAnsi="仿宋_GB2312" w:eastAsia="仿宋_GB2312" w:cs="仿宋_GB2312"/>
          <w:bCs/>
          <w:kern w:val="0"/>
          <w:sz w:val="32"/>
          <w:szCs w:val="32"/>
        </w:rPr>
        <w:t>。</w:t>
      </w:r>
      <w:r>
        <w:rPr>
          <w:rFonts w:hint="eastAsia" w:ascii="仿宋" w:hAnsi="仿宋" w:eastAsia="仿宋" w:cs="仿宋"/>
          <w:sz w:val="32"/>
          <w:szCs w:val="32"/>
          <w:highlight w:val="none"/>
        </w:rPr>
        <w:t xml:space="preserve">全年使用财政拨款安排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（局、办、镇）机关、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个所属单位出国团组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个，参加其他单位组织的出国团组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人次。开支内容包括：</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szCs w:val="32"/>
          <w:highlight w:val="none"/>
          <w:lang w:val="en-US" w:eastAsia="zh-CN"/>
        </w:rPr>
        <w:t>7.58</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万元。主要原因是</w:t>
      </w:r>
      <w:bookmarkStart w:id="2" w:name="PO_part3A6B2IncReason1"/>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则表述为本部门无公务用车购置</w:t>
      </w:r>
      <w:bookmarkEnd w:id="2"/>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公务用车运行维护支出7.58万元，完成年初预算的</w:t>
      </w:r>
      <w:r>
        <w:rPr>
          <w:rFonts w:hint="eastAsia" w:ascii="仿宋" w:hAnsi="仿宋" w:eastAsia="仿宋" w:cs="仿宋"/>
          <w:sz w:val="32"/>
          <w:szCs w:val="32"/>
          <w:highlight w:val="none"/>
          <w:lang w:val="en-US" w:eastAsia="zh-CN"/>
        </w:rPr>
        <w:t>69.22%，比上年增加2.45万元。主要原因是：主要用于机要文件交换、市内因公出行以及开展业务所需车辆燃料费、维修费、过路过桥费、保险费等。2022年，2022年，1个所属单位开支财政拨款的公务用车保有量为 2 辆，全年运行费支出 7.58万元，平均每辆 3.79万元。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0.57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57.00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主要原因是：去年由于商家没有及时来结账，导致上年</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国内公</w:t>
      </w:r>
      <w:r>
        <w:rPr>
          <w:rFonts w:hint="eastAsia" w:ascii="仿宋" w:hAnsi="仿宋" w:eastAsia="仿宋" w:cs="仿宋"/>
          <w:color w:val="000000" w:themeColor="text1"/>
          <w:sz w:val="32"/>
          <w:szCs w:val="32"/>
          <w:highlight w:val="none"/>
          <w14:textFill>
            <w14:solidFill>
              <w14:schemeClr w14:val="tx1"/>
            </w14:solidFill>
          </w14:textFill>
        </w:rPr>
        <w:t>务接待批次</w:t>
      </w:r>
      <w:r>
        <w:rPr>
          <w:rFonts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90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年度机关运行经费支出 0.00 万元，比年初预算数增加0.00 万元，增长0.00 %，比上年决算数增加0.00 万元，增长0.00 %。主要原因是：无，比202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年增加0.00 万元，增长0.00 %。主要原因是：本部门无机关运行经费支出。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widowControl/>
        <w:spacing w:line="560" w:lineRule="exact"/>
        <w:ind w:firstLine="640"/>
        <w:rPr>
          <w:rFonts w:hint="eastAsia" w:ascii="Times New Roman" w:hAnsi="Times New Roman" w:eastAsia="仿宋_GB2312"/>
          <w:bCs/>
          <w:kern w:val="0"/>
          <w:sz w:val="32"/>
          <w:szCs w:val="32"/>
        </w:rPr>
      </w:pPr>
      <w:r>
        <w:rPr>
          <w:rFonts w:ascii="Times New Roman" w:hAnsi="Times New Roman" w:eastAsia="仿宋_GB2312"/>
          <w:bCs/>
          <w:kern w:val="0"/>
          <w:sz w:val="32"/>
          <w:szCs w:val="32"/>
        </w:rPr>
        <w:t>本部门</w:t>
      </w:r>
      <w:r>
        <w:rPr>
          <w:rFonts w:hint="eastAsia" w:ascii="Times New Roman" w:hAnsi="Times New Roman" w:eastAsia="仿宋_GB2312"/>
          <w:bCs/>
          <w:kern w:val="0"/>
          <w:sz w:val="32"/>
          <w:szCs w:val="32"/>
          <w:lang w:val="en-US" w:eastAsia="zh-CN"/>
        </w:rPr>
        <w:t>2022年</w:t>
      </w:r>
      <w:r>
        <w:rPr>
          <w:rFonts w:ascii="Times New Roman" w:hAnsi="Times New Roman" w:eastAsia="仿宋_GB2312"/>
          <w:bCs/>
          <w:kern w:val="0"/>
          <w:sz w:val="32"/>
          <w:szCs w:val="32"/>
        </w:rPr>
        <w:t>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226.56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26.06</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226.56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部门整体评价为一等，基本全部达成预期目标。</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795.03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部门整体评价为一等，基本全部达成预期目标。</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17个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1699.56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17个项目自评分中，其中16个项目自评得分各为100分，只有一个项目“奖励性补贴”评分得分为99.56分，原因是：因本次奖励性补贴发放的时间要求有些紧，各单位先报发放数给财政部门，后各单位再把审批表送相关部门审核。上报发放数据后，财务部门才知道昨天单位刚好有1个同志被立案审查，后暂停发放该同志的奖励性补贴，导致该项目自评得分扣减0.44分。</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以后单位将继续加大项目绩效管理，争取确保所有项目绩效全部达成预期目标。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3" w:name="_GoBack"/>
      <w:bookmarkEnd w:id="3"/>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ECC1C77A"/>
    <w:multiLevelType w:val="singleLevel"/>
    <w:tmpl w:val="ECC1C77A"/>
    <w:lvl w:ilvl="0" w:tentative="0">
      <w:start w:val="1"/>
      <w:numFmt w:val="chineseCounting"/>
      <w:suff w:val="nothing"/>
      <w:lvlText w:val="（%1）"/>
      <w:lvlJc w:val="left"/>
      <w:pPr>
        <w:ind w:left="-10"/>
      </w:pPr>
      <w:rPr>
        <w:rFonts w:hint="eastAsia"/>
      </w:rPr>
    </w:lvl>
  </w:abstractNum>
  <w:abstractNum w:abstractNumId="2">
    <w:nsid w:val="2C28F5D6"/>
    <w:multiLevelType w:val="singleLevel"/>
    <w:tmpl w:val="2C28F5D6"/>
    <w:lvl w:ilvl="0" w:tentative="0">
      <w:start w:val="1"/>
      <w:numFmt w:val="chineseCounting"/>
      <w:suff w:val="nothing"/>
      <w:lvlText w:val="（%1）"/>
      <w:lvlJc w:val="left"/>
      <w:rPr>
        <w:rFonts w:hint="eastAsia"/>
      </w:rPr>
    </w:lvl>
  </w:abstractNum>
  <w:abstractNum w:abstractNumId="3">
    <w:nsid w:val="4EF6F3FE"/>
    <w:multiLevelType w:val="singleLevel"/>
    <w:tmpl w:val="4EF6F3FE"/>
    <w:lvl w:ilvl="0" w:tentative="0">
      <w:start w:val="3"/>
      <w:numFmt w:val="chineseCounting"/>
      <w:suff w:val="space"/>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41238"/>
    <w:rsid w:val="0216715F"/>
    <w:rsid w:val="027D4F23"/>
    <w:rsid w:val="02830618"/>
    <w:rsid w:val="02E0291A"/>
    <w:rsid w:val="04E54546"/>
    <w:rsid w:val="05992762"/>
    <w:rsid w:val="079E0D8E"/>
    <w:rsid w:val="07B0770E"/>
    <w:rsid w:val="0942143F"/>
    <w:rsid w:val="0C2013EE"/>
    <w:rsid w:val="0D100297"/>
    <w:rsid w:val="0D202B45"/>
    <w:rsid w:val="0EE205D3"/>
    <w:rsid w:val="0F8D4C87"/>
    <w:rsid w:val="10505FAA"/>
    <w:rsid w:val="105F7E7E"/>
    <w:rsid w:val="11E56B5B"/>
    <w:rsid w:val="125C77AB"/>
    <w:rsid w:val="143C503F"/>
    <w:rsid w:val="145506D3"/>
    <w:rsid w:val="14CB726E"/>
    <w:rsid w:val="15D363DA"/>
    <w:rsid w:val="17E92249"/>
    <w:rsid w:val="181B1DAD"/>
    <w:rsid w:val="18D304F1"/>
    <w:rsid w:val="19F32577"/>
    <w:rsid w:val="19F45B80"/>
    <w:rsid w:val="1B0C078D"/>
    <w:rsid w:val="1B2B31E2"/>
    <w:rsid w:val="1B4C295A"/>
    <w:rsid w:val="1B973C63"/>
    <w:rsid w:val="1BA1001E"/>
    <w:rsid w:val="1D317259"/>
    <w:rsid w:val="1E664F5B"/>
    <w:rsid w:val="1EB34BE1"/>
    <w:rsid w:val="1EEC558B"/>
    <w:rsid w:val="215E639F"/>
    <w:rsid w:val="21EC3183"/>
    <w:rsid w:val="225E72CD"/>
    <w:rsid w:val="233911DB"/>
    <w:rsid w:val="23E847F6"/>
    <w:rsid w:val="246E2F77"/>
    <w:rsid w:val="254B4E2B"/>
    <w:rsid w:val="27D95F34"/>
    <w:rsid w:val="283D7C94"/>
    <w:rsid w:val="28850088"/>
    <w:rsid w:val="29480E03"/>
    <w:rsid w:val="2983634D"/>
    <w:rsid w:val="29F205DF"/>
    <w:rsid w:val="2B6E6CE1"/>
    <w:rsid w:val="2BB02055"/>
    <w:rsid w:val="2C575A56"/>
    <w:rsid w:val="2E0E4B9C"/>
    <w:rsid w:val="2F257714"/>
    <w:rsid w:val="2F3275E5"/>
    <w:rsid w:val="30AA08EF"/>
    <w:rsid w:val="30D23D1C"/>
    <w:rsid w:val="31221CF5"/>
    <w:rsid w:val="31400178"/>
    <w:rsid w:val="317D1040"/>
    <w:rsid w:val="321E3342"/>
    <w:rsid w:val="327759C8"/>
    <w:rsid w:val="33185FE3"/>
    <w:rsid w:val="33C9703B"/>
    <w:rsid w:val="34257C99"/>
    <w:rsid w:val="34EE2E36"/>
    <w:rsid w:val="35215FD4"/>
    <w:rsid w:val="35A1628C"/>
    <w:rsid w:val="35D231D8"/>
    <w:rsid w:val="36777241"/>
    <w:rsid w:val="38A951DB"/>
    <w:rsid w:val="38B31605"/>
    <w:rsid w:val="39003F4F"/>
    <w:rsid w:val="3A2E449F"/>
    <w:rsid w:val="3C07002B"/>
    <w:rsid w:val="3D0D152A"/>
    <w:rsid w:val="3DC85D27"/>
    <w:rsid w:val="3DF62756"/>
    <w:rsid w:val="3F1B7587"/>
    <w:rsid w:val="3F914C60"/>
    <w:rsid w:val="40666DD6"/>
    <w:rsid w:val="41E57B4F"/>
    <w:rsid w:val="432F26F6"/>
    <w:rsid w:val="43880F63"/>
    <w:rsid w:val="441C5A6F"/>
    <w:rsid w:val="444A3897"/>
    <w:rsid w:val="44C44FCC"/>
    <w:rsid w:val="44CC7369"/>
    <w:rsid w:val="45482B4D"/>
    <w:rsid w:val="457F5108"/>
    <w:rsid w:val="45D50E20"/>
    <w:rsid w:val="46951B6B"/>
    <w:rsid w:val="488E3597"/>
    <w:rsid w:val="48F45D3F"/>
    <w:rsid w:val="49A34401"/>
    <w:rsid w:val="4A3E30AB"/>
    <w:rsid w:val="4AC14DAC"/>
    <w:rsid w:val="4D154C85"/>
    <w:rsid w:val="4EC8553A"/>
    <w:rsid w:val="4F1634D1"/>
    <w:rsid w:val="502874A3"/>
    <w:rsid w:val="505B27A8"/>
    <w:rsid w:val="50683D77"/>
    <w:rsid w:val="508F4E24"/>
    <w:rsid w:val="51461E90"/>
    <w:rsid w:val="51463753"/>
    <w:rsid w:val="52553A93"/>
    <w:rsid w:val="53521F8B"/>
    <w:rsid w:val="53E22F47"/>
    <w:rsid w:val="54522FF8"/>
    <w:rsid w:val="55450629"/>
    <w:rsid w:val="56692963"/>
    <w:rsid w:val="567A17DA"/>
    <w:rsid w:val="56805848"/>
    <w:rsid w:val="568B0F48"/>
    <w:rsid w:val="5786217B"/>
    <w:rsid w:val="57EE28CF"/>
    <w:rsid w:val="58A041E3"/>
    <w:rsid w:val="59337A15"/>
    <w:rsid w:val="5946623D"/>
    <w:rsid w:val="59810274"/>
    <w:rsid w:val="5CA96A00"/>
    <w:rsid w:val="5CF730BC"/>
    <w:rsid w:val="5D3665F9"/>
    <w:rsid w:val="5E5F0DCE"/>
    <w:rsid w:val="5EDE0C40"/>
    <w:rsid w:val="5FA40A7B"/>
    <w:rsid w:val="5FD56D29"/>
    <w:rsid w:val="5FEC7F3F"/>
    <w:rsid w:val="60F74BC3"/>
    <w:rsid w:val="617D3BF8"/>
    <w:rsid w:val="61841F6A"/>
    <w:rsid w:val="623007A9"/>
    <w:rsid w:val="637D7558"/>
    <w:rsid w:val="63E621EB"/>
    <w:rsid w:val="644F19AC"/>
    <w:rsid w:val="65275B85"/>
    <w:rsid w:val="65AA4920"/>
    <w:rsid w:val="66CC61B6"/>
    <w:rsid w:val="67694F1E"/>
    <w:rsid w:val="691B0EFE"/>
    <w:rsid w:val="69597934"/>
    <w:rsid w:val="6AFB7215"/>
    <w:rsid w:val="6B964DDC"/>
    <w:rsid w:val="6C783074"/>
    <w:rsid w:val="6D5D16C5"/>
    <w:rsid w:val="6D9E65C6"/>
    <w:rsid w:val="6DA81947"/>
    <w:rsid w:val="6EB66DE2"/>
    <w:rsid w:val="6ED3075F"/>
    <w:rsid w:val="6F2A2D4B"/>
    <w:rsid w:val="6F4E709D"/>
    <w:rsid w:val="6F8A0C1E"/>
    <w:rsid w:val="703F45D4"/>
    <w:rsid w:val="71524096"/>
    <w:rsid w:val="715D6546"/>
    <w:rsid w:val="71BE069E"/>
    <w:rsid w:val="72672065"/>
    <w:rsid w:val="73953409"/>
    <w:rsid w:val="73E069A3"/>
    <w:rsid w:val="77613024"/>
    <w:rsid w:val="78104AA8"/>
    <w:rsid w:val="78E257C5"/>
    <w:rsid w:val="794065A6"/>
    <w:rsid w:val="794B35BE"/>
    <w:rsid w:val="795934C1"/>
    <w:rsid w:val="7A1F13AF"/>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1"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24037;&#20316;&#31807;1"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[工作簿1]Sheet1!$A$1:$A$8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[工作簿1]Sheet1!$B$1:$B$8</c:f>
              <c:numCache>
                <c:formatCode>General</c:formatCode>
                <c:ptCount val="8"/>
                <c:pt idx="0">
                  <c:v>869.29</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0763888888889"/>
          <c:y val="0.024305555555555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[工作簿1]Sheet1!$A$3</c:f>
              <c:strCache>
                <c:ptCount val="1"/>
                <c:pt idx="0">
                  <c:v>30305 生活补助</c:v>
                </c:pt>
              </c:strCache>
            </c:strRef>
          </c:tx>
          <c:spPr>
            <a:solidFill>
              <a:schemeClr val="accent1"/>
            </a:solidFill>
            <a:ln>
              <a:noFill/>
            </a:ln>
            <a:effectLst/>
          </c:spPr>
          <c:invertIfNegative val="0"/>
          <c:dLbls>
            <c:delete val="1"/>
          </c:dLbls>
          <c:val>
            <c:numRef>
              <c:f>[工作簿1]Sheet1!$B$3</c:f>
              <c:numCache>
                <c:formatCode>General</c:formatCode>
                <c:ptCount val="1"/>
                <c:pt idx="0">
                  <c:v>7.4</c:v>
                </c:pt>
              </c:numCache>
            </c:numRef>
          </c:val>
        </c:ser>
        <c:dLbls>
          <c:showLegendKey val="0"/>
          <c:showVal val="0"/>
          <c:showCatName val="0"/>
          <c:showSerName val="0"/>
          <c:showPercent val="0"/>
          <c:showBubbleSize val="0"/>
        </c:dLbls>
        <c:gapWidth val="219"/>
        <c:overlap val="-27"/>
        <c:axId val="622251297"/>
        <c:axId val="456220578"/>
      </c:barChart>
      <c:catAx>
        <c:axId val="6222512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6220578"/>
        <c:crosses val="autoZero"/>
        <c:auto val="1"/>
        <c:lblAlgn val="ctr"/>
        <c:lblOffset val="100"/>
        <c:noMultiLvlLbl val="0"/>
      </c:catAx>
      <c:valAx>
        <c:axId val="4562205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22512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[工作簿1]Sheet1!$B$1</c:f>
              <c:strCache>
                <c:ptCount val="1"/>
                <c:pt idx="0">
                  <c:v>2021年</c:v>
                </c:pt>
              </c:strCache>
            </c:strRef>
          </c:tx>
          <c:spPr>
            <a:solidFill>
              <a:schemeClr val="accent1"/>
            </a:solidFill>
            <a:ln>
              <a:noFill/>
            </a:ln>
            <a:effectLst/>
          </c:spPr>
          <c:invertIfNegative val="0"/>
          <c:dLbls>
            <c:delete val="1"/>
          </c:dLbls>
          <c:cat>
            <c:strRef>
              <c:f>[工作簿1]Sheet1!$A$2:$A$7</c:f>
              <c:strCache>
                <c:ptCount val="6"/>
                <c:pt idx="0">
                  <c:v>一般公共服务支出</c:v>
                </c:pt>
                <c:pt idx="1">
                  <c:v>教育支出</c:v>
                </c:pt>
                <c:pt idx="2">
                  <c:v>文化旅游体育与传媒支出</c:v>
                </c:pt>
                <c:pt idx="3">
                  <c:v>社会保障和就业支出</c:v>
                </c:pt>
                <c:pt idx="4">
                  <c:v>住房保障支出</c:v>
                </c:pt>
                <c:pt idx="5">
                  <c:v>其他支出</c:v>
                </c:pt>
              </c:strCache>
            </c:strRef>
          </c:cat>
          <c:val>
            <c:numRef>
              <c:f>[工作簿1]Sheet1!$B$2:$B$7</c:f>
              <c:numCache>
                <c:formatCode>General</c:formatCode>
                <c:ptCount val="6"/>
                <c:pt idx="0">
                  <c:v>6.97</c:v>
                </c:pt>
                <c:pt idx="1">
                  <c:v>0.35</c:v>
                </c:pt>
                <c:pt idx="2">
                  <c:v>400.56</c:v>
                </c:pt>
                <c:pt idx="3">
                  <c:v>28.86</c:v>
                </c:pt>
                <c:pt idx="4" c:formatCode="0.00_ ">
                  <c:v>23.7</c:v>
                </c:pt>
                <c:pt idx="5">
                  <c:v>72.8</c:v>
                </c:pt>
              </c:numCache>
            </c:numRef>
          </c:val>
        </c:ser>
        <c:ser>
          <c:idx val="1"/>
          <c:order val="1"/>
          <c:tx>
            <c:strRef>
              <c:f>[工作簿1]Sheet1!$C$1</c:f>
              <c:strCache>
                <c:ptCount val="1"/>
                <c:pt idx="0">
                  <c:v>2022年</c:v>
                </c:pt>
              </c:strCache>
            </c:strRef>
          </c:tx>
          <c:spPr>
            <a:solidFill>
              <a:schemeClr val="accent2"/>
            </a:solidFill>
            <a:ln>
              <a:noFill/>
            </a:ln>
            <a:effectLst/>
          </c:spPr>
          <c:invertIfNegative val="0"/>
          <c:dLbls>
            <c:delete val="1"/>
          </c:dLbls>
          <c:cat>
            <c:strRef>
              <c:f>[工作簿1]Sheet1!$A$2:$A$7</c:f>
              <c:strCache>
                <c:ptCount val="6"/>
                <c:pt idx="0">
                  <c:v>一般公共服务支出</c:v>
                </c:pt>
                <c:pt idx="1">
                  <c:v>教育支出</c:v>
                </c:pt>
                <c:pt idx="2">
                  <c:v>文化旅游体育与传媒支出</c:v>
                </c:pt>
                <c:pt idx="3">
                  <c:v>社会保障和就业支出</c:v>
                </c:pt>
                <c:pt idx="4">
                  <c:v>住房保障支出</c:v>
                </c:pt>
                <c:pt idx="5">
                  <c:v>其他支出</c:v>
                </c:pt>
              </c:strCache>
            </c:strRef>
          </c:cat>
          <c:val>
            <c:numRef>
              <c:f>[工作簿1]Sheet1!$C$2:$C$7</c:f>
              <c:numCache>
                <c:formatCode>General</c:formatCode>
                <c:ptCount val="6"/>
                <c:pt idx="0">
                  <c:v>4.46</c:v>
                </c:pt>
                <c:pt idx="1">
                  <c:v>4.25</c:v>
                </c:pt>
                <c:pt idx="2">
                  <c:v>741.98</c:v>
                </c:pt>
                <c:pt idx="3">
                  <c:v>35.12</c:v>
                </c:pt>
                <c:pt idx="4">
                  <c:v>25.54</c:v>
                </c:pt>
                <c:pt idx="5">
                  <c:v>57.94</c:v>
                </c:pt>
              </c:numCache>
            </c:numRef>
          </c:val>
        </c:ser>
        <c:dLbls>
          <c:showLegendKey val="0"/>
          <c:showVal val="0"/>
          <c:showCatName val="0"/>
          <c:showSerName val="0"/>
          <c:showPercent val="0"/>
          <c:showBubbleSize val="0"/>
        </c:dLbls>
        <c:gapWidth val="219"/>
        <c:overlap val="-27"/>
        <c:axId val="315239215"/>
        <c:axId val="574455310"/>
      </c:barChart>
      <c:catAx>
        <c:axId val="3152392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4455310"/>
        <c:crosses val="autoZero"/>
        <c:auto val="1"/>
        <c:lblAlgn val="ctr"/>
        <c:lblOffset val="100"/>
        <c:noMultiLvlLbl val="0"/>
      </c:catAx>
      <c:valAx>
        <c:axId val="5744553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2392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一般公共服务支出</c:v>
                </c:pt>
              </c:strCache>
            </c:strRef>
          </c:tx>
          <c:spPr>
            <a:solidFill>
              <a:schemeClr val="accent1"/>
            </a:solidFill>
            <a:ln>
              <a:noFill/>
            </a:ln>
            <a:effectLst/>
          </c:spPr>
          <c:invertIfNegative val="0"/>
          <c:dLbls>
            <c:delete val="1"/>
          </c:dLbls>
          <c:cat>
            <c:numRef>
              <c:f>[工作簿1]Sheet1!$B$1</c:f>
              <c:numCache>
                <c:formatCode>General</c:formatCode>
                <c:ptCount val="1"/>
                <c:pt idx="0">
                  <c:v>2012999</c:v>
                </c:pt>
              </c:numCache>
            </c:numRef>
          </c:cat>
          <c:val>
            <c:numRef>
              <c:f>[工作簿1]Sheet1!$B$2</c:f>
              <c:numCache>
                <c:formatCode>General</c:formatCode>
                <c:ptCount val="1"/>
                <c:pt idx="0">
                  <c:v>4.46</c:v>
                </c:pt>
              </c:numCache>
            </c:numRef>
          </c:val>
        </c:ser>
        <c:dLbls>
          <c:showLegendKey val="0"/>
          <c:showVal val="0"/>
          <c:showCatName val="0"/>
          <c:showSerName val="0"/>
          <c:showPercent val="0"/>
          <c:showBubbleSize val="0"/>
        </c:dLbls>
        <c:gapWidth val="219"/>
        <c:overlap val="-27"/>
        <c:axId val="324951101"/>
        <c:axId val="775850153"/>
      </c:barChart>
      <c:catAx>
        <c:axId val="3249511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5850153"/>
        <c:crosses val="autoZero"/>
        <c:auto val="1"/>
        <c:lblAlgn val="ctr"/>
        <c:lblOffset val="100"/>
        <c:noMultiLvlLbl val="0"/>
      </c:catAx>
      <c:valAx>
        <c:axId val="7758501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49511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教育支出</c:v>
                </c:pt>
              </c:strCache>
            </c:strRef>
          </c:tx>
          <c:spPr>
            <a:solidFill>
              <a:schemeClr val="accent1"/>
            </a:solidFill>
            <a:ln>
              <a:noFill/>
            </a:ln>
            <a:effectLst/>
          </c:spPr>
          <c:invertIfNegative val="0"/>
          <c:dLbls>
            <c:delete val="1"/>
          </c:dLbls>
          <c:cat>
            <c:numRef>
              <c:f>[工作簿1]Sheet1!$B$1</c:f>
              <c:numCache>
                <c:formatCode>General</c:formatCode>
                <c:ptCount val="1"/>
                <c:pt idx="0">
                  <c:v>2050599</c:v>
                </c:pt>
              </c:numCache>
            </c:numRef>
          </c:cat>
          <c:val>
            <c:numRef>
              <c:f>[工作簿1]Sheet1!$B$2</c:f>
              <c:numCache>
                <c:formatCode>General</c:formatCode>
                <c:ptCount val="1"/>
                <c:pt idx="0">
                  <c:v>4.25</c:v>
                </c:pt>
              </c:numCache>
            </c:numRef>
          </c:val>
        </c:ser>
        <c:dLbls>
          <c:showLegendKey val="0"/>
          <c:showVal val="0"/>
          <c:showCatName val="0"/>
          <c:showSerName val="0"/>
          <c:showPercent val="0"/>
          <c:showBubbleSize val="0"/>
        </c:dLbls>
        <c:gapWidth val="219"/>
        <c:overlap val="-27"/>
        <c:axId val="329630348"/>
        <c:axId val="88785601"/>
      </c:barChart>
      <c:catAx>
        <c:axId val="3296303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85601"/>
        <c:crosses val="autoZero"/>
        <c:auto val="1"/>
        <c:lblAlgn val="ctr"/>
        <c:lblOffset val="100"/>
        <c:noMultiLvlLbl val="0"/>
      </c:catAx>
      <c:valAx>
        <c:axId val="887856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6303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文化旅游体育与传媒支出</c:v>
                </c:pt>
              </c:strCache>
            </c:strRef>
          </c:tx>
          <c:spPr>
            <a:solidFill>
              <a:schemeClr val="accent1"/>
            </a:solidFill>
            <a:ln>
              <a:noFill/>
            </a:ln>
            <a:effectLst/>
          </c:spPr>
          <c:invertIfNegative val="0"/>
          <c:dLbls>
            <c:delete val="1"/>
          </c:dLbls>
          <c:cat>
            <c:numRef>
              <c:f>[工作簿1]Sheet1!$B$1:$C$1</c:f>
              <c:numCache>
                <c:formatCode>General</c:formatCode>
                <c:ptCount val="2"/>
                <c:pt idx="0">
                  <c:v>2070808</c:v>
                </c:pt>
                <c:pt idx="1">
                  <c:v>2070899</c:v>
                </c:pt>
              </c:numCache>
            </c:numRef>
          </c:cat>
          <c:val>
            <c:numRef>
              <c:f>[工作簿1]Sheet1!$B$2:$C$2</c:f>
              <c:numCache>
                <c:formatCode>General</c:formatCode>
                <c:ptCount val="2"/>
                <c:pt idx="0">
                  <c:v>352.67</c:v>
                </c:pt>
                <c:pt idx="1">
                  <c:v>389.31</c:v>
                </c:pt>
              </c:numCache>
            </c:numRef>
          </c:val>
        </c:ser>
        <c:dLbls>
          <c:showLegendKey val="0"/>
          <c:showVal val="0"/>
          <c:showCatName val="0"/>
          <c:showSerName val="0"/>
          <c:showPercent val="0"/>
          <c:showBubbleSize val="0"/>
        </c:dLbls>
        <c:gapWidth val="219"/>
        <c:overlap val="-27"/>
        <c:axId val="991739101"/>
        <c:axId val="202099437"/>
      </c:barChart>
      <c:catAx>
        <c:axId val="9917391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099437"/>
        <c:crosses val="autoZero"/>
        <c:auto val="1"/>
        <c:lblAlgn val="ctr"/>
        <c:lblOffset val="100"/>
        <c:noMultiLvlLbl val="0"/>
      </c:catAx>
      <c:valAx>
        <c:axId val="2020994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17391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社会保障和就业支出</c:v>
                </c:pt>
              </c:strCache>
            </c:strRef>
          </c:tx>
          <c:spPr>
            <a:solidFill>
              <a:schemeClr val="accent1"/>
            </a:solidFill>
            <a:ln>
              <a:noFill/>
            </a:ln>
            <a:effectLst/>
          </c:spPr>
          <c:invertIfNegative val="0"/>
          <c:dLbls>
            <c:delete val="1"/>
          </c:dLbls>
          <c:cat>
            <c:numRef>
              <c:f>[工作簿1]Sheet1!$B$1</c:f>
              <c:numCache>
                <c:formatCode>General</c:formatCode>
                <c:ptCount val="1"/>
                <c:pt idx="0">
                  <c:v>2080505</c:v>
                </c:pt>
              </c:numCache>
            </c:numRef>
          </c:cat>
          <c:val>
            <c:numRef>
              <c:f>[工作簿1]Sheet1!$B$2</c:f>
              <c:numCache>
                <c:formatCode>General</c:formatCode>
                <c:ptCount val="1"/>
                <c:pt idx="0">
                  <c:v>35.12</c:v>
                </c:pt>
              </c:numCache>
            </c:numRef>
          </c:val>
        </c:ser>
        <c:dLbls>
          <c:showLegendKey val="0"/>
          <c:showVal val="0"/>
          <c:showCatName val="0"/>
          <c:showSerName val="0"/>
          <c:showPercent val="0"/>
          <c:showBubbleSize val="0"/>
        </c:dLbls>
        <c:gapWidth val="219"/>
        <c:overlap val="-27"/>
        <c:axId val="542477879"/>
        <c:axId val="940634667"/>
      </c:barChart>
      <c:catAx>
        <c:axId val="5424778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634667"/>
        <c:crosses val="autoZero"/>
        <c:auto val="1"/>
        <c:lblAlgn val="ctr"/>
        <c:lblOffset val="100"/>
        <c:noMultiLvlLbl val="0"/>
      </c:catAx>
      <c:valAx>
        <c:axId val="9406346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477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住房保障支出</c:v>
                </c:pt>
              </c:strCache>
            </c:strRef>
          </c:tx>
          <c:spPr>
            <a:solidFill>
              <a:schemeClr val="accent1"/>
            </a:solidFill>
            <a:ln>
              <a:noFill/>
            </a:ln>
            <a:effectLst/>
          </c:spPr>
          <c:invertIfNegative val="0"/>
          <c:dLbls>
            <c:delete val="1"/>
          </c:dLbls>
          <c:cat>
            <c:numRef>
              <c:f>[工作簿1]Sheet1!$B$1</c:f>
              <c:numCache>
                <c:formatCode>General</c:formatCode>
                <c:ptCount val="1"/>
                <c:pt idx="0">
                  <c:v>2210201</c:v>
                </c:pt>
              </c:numCache>
            </c:numRef>
          </c:cat>
          <c:val>
            <c:numRef>
              <c:f>[工作簿1]Sheet1!$B$2</c:f>
              <c:numCache>
                <c:formatCode>General</c:formatCode>
                <c:ptCount val="1"/>
                <c:pt idx="0">
                  <c:v>25.54</c:v>
                </c:pt>
              </c:numCache>
            </c:numRef>
          </c:val>
        </c:ser>
        <c:dLbls>
          <c:showLegendKey val="0"/>
          <c:showVal val="0"/>
          <c:showCatName val="0"/>
          <c:showSerName val="0"/>
          <c:showPercent val="0"/>
          <c:showBubbleSize val="0"/>
        </c:dLbls>
        <c:gapWidth val="219"/>
        <c:overlap val="-27"/>
        <c:axId val="542200282"/>
        <c:axId val="415978480"/>
      </c:barChart>
      <c:catAx>
        <c:axId val="5422002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978480"/>
        <c:crosses val="autoZero"/>
        <c:auto val="1"/>
        <c:lblAlgn val="ctr"/>
        <c:lblOffset val="100"/>
        <c:noMultiLvlLbl val="0"/>
      </c:catAx>
      <c:valAx>
        <c:axId val="41597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2002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工资福利支出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[工作簿1]Sheet1!$A$1:$A$10</c:f>
              <c:strCache>
                <c:ptCount val="10"/>
                <c:pt idx="0">
                  <c:v>30101基本工资</c:v>
                </c:pt>
                <c:pt idx="1">
                  <c:v>30102  津贴补贴</c:v>
                </c:pt>
                <c:pt idx="2">
                  <c:v>30103  奖金</c:v>
                </c:pt>
                <c:pt idx="3">
                  <c:v>30106  伙食补助费</c:v>
                </c:pt>
                <c:pt idx="4">
                  <c:v>30107  绩效工资</c:v>
                </c:pt>
                <c:pt idx="5">
                  <c:v>30108  机关事业单位基本养老保险缴费</c:v>
                </c:pt>
                <c:pt idx="6">
                  <c:v>30110  职工基本医疗保险缴费</c:v>
                </c:pt>
                <c:pt idx="7">
                  <c:v>30112  其他社会保障缴费</c:v>
                </c:pt>
                <c:pt idx="8">
                  <c:v>30113  住房公积金</c:v>
                </c:pt>
                <c:pt idx="9">
                  <c:v>30199  其他工资福利支出</c:v>
                </c:pt>
              </c:strCache>
            </c:strRef>
          </c:cat>
          <c:val>
            <c:numRef>
              <c:f>[工作簿1]Sheet1!$B$1:$B$10</c:f>
              <c:numCache>
                <c:formatCode>General</c:formatCode>
                <c:ptCount val="10"/>
                <c:pt idx="0">
                  <c:v>98.25</c:v>
                </c:pt>
                <c:pt idx="1">
                  <c:v>6.51</c:v>
                </c:pt>
                <c:pt idx="2">
                  <c:v>75.98</c:v>
                </c:pt>
                <c:pt idx="3">
                  <c:v>4.4</c:v>
                </c:pt>
                <c:pt idx="4">
                  <c:v>49.73</c:v>
                </c:pt>
                <c:pt idx="5">
                  <c:v>41.85</c:v>
                </c:pt>
                <c:pt idx="6">
                  <c:v>13.76</c:v>
                </c:pt>
                <c:pt idx="7">
                  <c:v>23.32</c:v>
                </c:pt>
                <c:pt idx="8">
                  <c:v>30.34</c:v>
                </c:pt>
                <c:pt idx="9">
                  <c:v>70.56</c:v>
                </c:pt>
              </c:numCache>
            </c:numRef>
          </c:val>
        </c:ser>
        <c:dLbls>
          <c:showLegendKey val="0"/>
          <c:showVal val="0"/>
          <c:showCatName val="0"/>
          <c:showSerName val="0"/>
          <c:showPercent val="0"/>
          <c:showBubbleSize val="0"/>
        </c:dLbls>
        <c:gapWidth val="219"/>
        <c:overlap val="-27"/>
        <c:axId val="60316860"/>
        <c:axId val="431949954"/>
      </c:barChart>
      <c:catAx>
        <c:axId val="603168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949954"/>
        <c:crosses val="autoZero"/>
        <c:auto val="1"/>
        <c:lblAlgn val="ctr"/>
        <c:lblOffset val="100"/>
        <c:noMultiLvlLbl val="0"/>
      </c:catAx>
      <c:valAx>
        <c:axId val="4319499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168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商品和服务支出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[工作簿1]Sheet1!$A$1:$A$10</c:f>
              <c:strCache>
                <c:ptCount val="10"/>
                <c:pt idx="0">
                  <c:v>30201办公费</c:v>
                </c:pt>
                <c:pt idx="1">
                  <c:v>30205水费</c:v>
                </c:pt>
                <c:pt idx="2">
                  <c:v>30206电费</c:v>
                </c:pt>
                <c:pt idx="3">
                  <c:v>30207邮电费</c:v>
                </c:pt>
                <c:pt idx="4">
                  <c:v>30211差旅费</c:v>
                </c:pt>
                <c:pt idx="5">
                  <c:v>30216培训费</c:v>
                </c:pt>
                <c:pt idx="6">
                  <c:v>30226劳务费</c:v>
                </c:pt>
                <c:pt idx="7">
                  <c:v>30228工会经费</c:v>
                </c:pt>
                <c:pt idx="8">
                  <c:v>30231公务用车运行维护费</c:v>
                </c:pt>
                <c:pt idx="9">
                  <c:v>30299其他商品和服务支出</c:v>
                </c:pt>
              </c:strCache>
            </c:strRef>
          </c:cat>
          <c:val>
            <c:numRef>
              <c:f>[工作簿1]Sheet1!$B$1:$B$10</c:f>
              <c:numCache>
                <c:formatCode>General</c:formatCode>
                <c:ptCount val="10"/>
                <c:pt idx="0">
                  <c:v>0.3</c:v>
                </c:pt>
                <c:pt idx="1">
                  <c:v>0.03</c:v>
                </c:pt>
                <c:pt idx="2">
                  <c:v>0.82</c:v>
                </c:pt>
                <c:pt idx="3">
                  <c:v>0.92</c:v>
                </c:pt>
                <c:pt idx="4">
                  <c:v>2.22</c:v>
                </c:pt>
                <c:pt idx="5">
                  <c:v>1.95</c:v>
                </c:pt>
                <c:pt idx="6">
                  <c:v>0.7</c:v>
                </c:pt>
                <c:pt idx="7">
                  <c:v>4.46</c:v>
                </c:pt>
                <c:pt idx="8">
                  <c:v>0.95</c:v>
                </c:pt>
                <c:pt idx="9">
                  <c:v>0.38</c:v>
                </c:pt>
              </c:numCache>
            </c:numRef>
          </c:val>
        </c:ser>
        <c:dLbls>
          <c:showLegendKey val="0"/>
          <c:showVal val="0"/>
          <c:showCatName val="0"/>
          <c:showSerName val="0"/>
          <c:showPercent val="0"/>
          <c:showBubbleSize val="0"/>
        </c:dLbls>
        <c:gapWidth val="219"/>
        <c:overlap val="-27"/>
        <c:axId val="636867999"/>
        <c:axId val="143623511"/>
      </c:barChart>
      <c:catAx>
        <c:axId val="6368679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623511"/>
        <c:crosses val="autoZero"/>
        <c:auto val="1"/>
        <c:lblAlgn val="ctr"/>
        <c:lblOffset val="100"/>
        <c:noMultiLvlLbl val="0"/>
      </c:catAx>
      <c:valAx>
        <c:axId val="143623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867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2023-11-27T07:48:25Z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