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w:t>
      </w:r>
      <w:r>
        <w:rPr>
          <w:rFonts w:hint="eastAsia" w:ascii="黑体" w:hAnsi="黑体" w:eastAsia="黑体" w:cs="黑体"/>
          <w:b/>
          <w:bCs/>
          <w:sz w:val="52"/>
          <w:szCs w:val="52"/>
          <w:highlight w:val="none"/>
          <w:lang w:val="en-US" w:eastAsia="zh-CN"/>
        </w:rPr>
        <w:t>少数民族语言文字研究中心</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8日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w:t>
      </w:r>
      <w:r>
        <w:rPr>
          <w:rFonts w:hint="eastAsia" w:ascii="黑体" w:hAnsi="黑体" w:eastAsia="黑体" w:cs="黑体"/>
          <w:sz w:val="32"/>
          <w:u w:color="auto"/>
          <w:lang w:val="en-US" w:eastAsia="zh-CN"/>
        </w:rPr>
        <w:t>少数民族语言文字研究中心</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w:t>
      </w:r>
      <w:r>
        <w:rPr>
          <w:rFonts w:hint="eastAsia" w:ascii="黑体" w:hAnsi="黑体" w:eastAsia="黑体" w:cs="黑体"/>
          <w:sz w:val="32"/>
          <w:u w:color="auto"/>
          <w:lang w:val="en-US" w:eastAsia="zh-CN"/>
        </w:rPr>
        <w:t>少数民族语言文字研究中心</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w:t>
      </w:r>
      <w:r>
        <w:rPr>
          <w:rFonts w:hint="eastAsia" w:ascii="黑体" w:hAnsi="黑体" w:eastAsia="黑体" w:cs="黑体"/>
          <w:sz w:val="32"/>
          <w:u w:color="auto"/>
          <w:lang w:val="en-US" w:eastAsia="zh-CN"/>
        </w:rPr>
        <w:t>少数民族语言文字研究中心</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val="en-US" w:eastAsia="zh-CN"/>
        </w:rPr>
        <w:t>少数民族语言文字研究中心</w:t>
      </w:r>
      <w:r>
        <w:rPr>
          <w:rFonts w:hint="eastAsia" w:ascii="黑体" w:hAnsi="黑体" w:eastAsia="黑体" w:cs="黑体"/>
          <w:b/>
          <w:sz w:val="32"/>
          <w:u w:color="auto"/>
          <w:lang w:eastAsia="zh-CN"/>
        </w:rPr>
        <w:t>单位</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环江毛南族自治县少数民族文化和语言文字研究中心的主要职责是：</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一）根据国家《宪法》、《民族区域自治法》赋予的权利，贯彻党和国家有关少数民族语言文字工作的方针、政策，负责全县少数民族语言文字工作的统筹、规划、协调、监督工作，管理少数民族语言文字推行和实验等各项事务。</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（二）</w:t>
      </w:r>
      <w:r>
        <w:rPr>
          <w:rFonts w:hint="default" w:ascii="Times New Roman" w:hAnsi="Times New Roman" w:eastAsia="仿宋_GB2312" w:cs="Times New Roman"/>
          <w:snapToGrid w:val="0"/>
          <w:kern w:val="0"/>
          <w:sz w:val="32"/>
          <w:szCs w:val="32"/>
          <w:lang w:val="en-US" w:eastAsia="zh-CN" w:bidi="ar-SA"/>
        </w:rPr>
        <w:t>负责全县少数民族语言文字的科研工作，系统调查少数民族语言文字使用情况，配合上级业务部门，搞好少数民族语言文字基础理论、应用和有关政策法规的研究工作，建立全县少数民族语言文字资料库和信息系统，协调县内各民族语言文字的信息处理，使全县少数民族语言文字推行使用工作逐步走上科学化、规范化、标准化。</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（三）</w:t>
      </w:r>
      <w:r>
        <w:rPr>
          <w:rFonts w:hint="default" w:ascii="Times New Roman" w:hAnsi="Times New Roman" w:eastAsia="仿宋_GB2312" w:cs="Times New Roman"/>
          <w:snapToGrid w:val="0"/>
          <w:kern w:val="0"/>
          <w:sz w:val="32"/>
          <w:szCs w:val="32"/>
          <w:lang w:val="en-US" w:eastAsia="zh-CN" w:bidi="ar-SA"/>
        </w:rPr>
        <w:t>负责全县少数民族语言文字工作有关法规的宣传教育工作，并对贯彻执行情况进行监督检查。</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（四）</w:t>
      </w:r>
      <w:r>
        <w:rPr>
          <w:rFonts w:hint="default" w:ascii="Times New Roman" w:hAnsi="Times New Roman" w:eastAsia="仿宋_GB2312" w:cs="Times New Roman"/>
          <w:snapToGrid w:val="0"/>
          <w:kern w:val="0"/>
          <w:sz w:val="32"/>
          <w:szCs w:val="32"/>
          <w:lang w:val="en-US" w:eastAsia="zh-CN" w:bidi="ar-SA"/>
        </w:rPr>
        <w:t>负责全县少数民族语言文字推行使用情况的社会管理工作，起草壮文等少数民族语言文字推行使用的管理办法，并组织实施。</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（五）</w:t>
      </w:r>
      <w:r>
        <w:rPr>
          <w:rFonts w:hint="default" w:ascii="Times New Roman" w:hAnsi="Times New Roman" w:eastAsia="仿宋_GB2312" w:cs="Times New Roman"/>
          <w:snapToGrid w:val="0"/>
          <w:kern w:val="0"/>
          <w:sz w:val="32"/>
          <w:szCs w:val="32"/>
          <w:lang w:val="en-US" w:eastAsia="zh-CN" w:bidi="ar-SA"/>
        </w:rPr>
        <w:t>负责全县少数民族语言文字的翻译和审定工作。</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（六）</w:t>
      </w:r>
      <w:r>
        <w:rPr>
          <w:rFonts w:hint="default" w:ascii="Times New Roman" w:hAnsi="Times New Roman" w:eastAsia="仿宋_GB2312" w:cs="Times New Roman"/>
          <w:snapToGrid w:val="0"/>
          <w:kern w:val="0"/>
          <w:sz w:val="32"/>
          <w:szCs w:val="32"/>
          <w:lang w:val="en-US" w:eastAsia="zh-CN" w:bidi="ar-SA"/>
        </w:rPr>
        <w:t>负责全县使用壮汉两种语言文字书写公文、牌匾、印章等的壮文翻译和审定工作，管理广播、影视、报刊、广告、商标、图书等媒体和领域使用少数民族语言文字工作。</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（七）</w:t>
      </w:r>
      <w:r>
        <w:rPr>
          <w:rFonts w:hint="default" w:ascii="Times New Roman" w:hAnsi="Times New Roman" w:eastAsia="仿宋_GB2312" w:cs="Times New Roman"/>
          <w:snapToGrid w:val="0"/>
          <w:kern w:val="0"/>
          <w:sz w:val="32"/>
          <w:szCs w:val="32"/>
          <w:lang w:val="en-US" w:eastAsia="zh-CN" w:bidi="ar-SA"/>
        </w:rPr>
        <w:t>会同有关部门协调全县少数民族语言文字的社会教育和壮文进校的教学管理工作。</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（八）</w:t>
      </w:r>
      <w:r>
        <w:rPr>
          <w:rFonts w:hint="default" w:ascii="Times New Roman" w:hAnsi="Times New Roman" w:eastAsia="仿宋_GB2312" w:cs="Times New Roman"/>
          <w:snapToGrid w:val="0"/>
          <w:kern w:val="0"/>
          <w:sz w:val="32"/>
          <w:szCs w:val="32"/>
          <w:lang w:val="en-US" w:eastAsia="zh-CN" w:bidi="ar-SA"/>
        </w:rPr>
        <w:t>负责我县少数民族语言文字工作干部培训、教育、使用工作及民族语言志的编纂工作。</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（九）</w:t>
      </w:r>
      <w:r>
        <w:rPr>
          <w:rFonts w:hint="default" w:ascii="Times New Roman" w:hAnsi="Times New Roman" w:eastAsia="仿宋_GB2312" w:cs="Times New Roman"/>
          <w:snapToGrid w:val="0"/>
          <w:kern w:val="0"/>
          <w:sz w:val="32"/>
          <w:szCs w:val="32"/>
          <w:lang w:val="en-US" w:eastAsia="zh-CN" w:bidi="ar-SA"/>
        </w:rPr>
        <w:t>负责全县少数民族语言文字理论研讨和学术交流工作。</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（十）</w:t>
      </w:r>
      <w:r>
        <w:rPr>
          <w:rFonts w:hint="default" w:ascii="Times New Roman" w:hAnsi="Times New Roman" w:eastAsia="仿宋_GB2312" w:cs="Times New Roman"/>
          <w:snapToGrid w:val="0"/>
          <w:kern w:val="0"/>
          <w:sz w:val="32"/>
          <w:szCs w:val="32"/>
          <w:lang w:val="en-US" w:eastAsia="zh-CN" w:bidi="ar-SA"/>
        </w:rPr>
        <w:t>承办自治县人民政府等上级领导机关交办的其他事项。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根据我局工作实际，拟设局办公室、局综合股。</w:t>
      </w:r>
    </w:p>
    <w:p>
      <w:pPr>
        <w:keepNext w:val="0"/>
        <w:keepLines w:val="0"/>
        <w:pageBreakBefore w:val="0"/>
        <w:kinsoku/>
        <w:wordWrap/>
        <w:overflowPunct/>
        <w:topLinePunct w:val="0"/>
        <w:bidi w:val="0"/>
        <w:spacing w:line="560" w:lineRule="exact"/>
        <w:ind w:firstLine="646"/>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二、部门决算单位构成</w:t>
      </w:r>
    </w:p>
    <w:p>
      <w:pPr>
        <w:spacing w:line="560" w:lineRule="exact"/>
        <w:ind w:left="160" w:leftChars="76" w:firstLine="467" w:firstLineChars="146"/>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环江毛南族自治县少数民族</w:t>
      </w:r>
      <w:r>
        <w:rPr>
          <w:rFonts w:hint="eastAsia" w:ascii="Times New Roman" w:hAnsi="Times New Roman" w:eastAsia="仿宋_GB2312" w:cs="Times New Roman"/>
          <w:sz w:val="32"/>
          <w:szCs w:val="32"/>
          <w:lang w:val="en-US" w:eastAsia="zh-CN"/>
        </w:rPr>
        <w:t>文化和语言文字研究中心事业</w:t>
      </w:r>
      <w:r>
        <w:rPr>
          <w:rFonts w:hint="eastAsia" w:ascii="Times New Roman" w:hAnsi="Times New Roman" w:eastAsia="仿宋_GB2312" w:cs="Times New Roman"/>
          <w:sz w:val="32"/>
          <w:szCs w:val="32"/>
        </w:rPr>
        <w:t>编制</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其中副主任1人。</w:t>
      </w:r>
      <w:r>
        <w:rPr>
          <w:rFonts w:hint="eastAsia" w:ascii="Times New Roman" w:hAnsi="Times New Roman" w:eastAsia="仿宋_GB2312" w:cs="Times New Roman"/>
          <w:sz w:val="32"/>
          <w:szCs w:val="32"/>
        </w:rPr>
        <w:t>实有财政供养人数</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人，其中</w:t>
      </w:r>
      <w:r>
        <w:rPr>
          <w:rFonts w:hint="eastAsia" w:ascii="Times New Roman" w:hAnsi="Times New Roman" w:eastAsia="仿宋_GB2312" w:cs="Times New Roman"/>
          <w:sz w:val="32"/>
          <w:szCs w:val="32"/>
          <w:lang w:eastAsia="zh-CN"/>
        </w:rPr>
        <w:t>事业</w:t>
      </w:r>
      <w:r>
        <w:rPr>
          <w:rFonts w:hint="eastAsia" w:ascii="Times New Roman" w:hAnsi="Times New Roman" w:eastAsia="仿宋_GB2312" w:cs="Times New Roman"/>
          <w:sz w:val="32"/>
          <w:szCs w:val="32"/>
        </w:rPr>
        <w:t>在职人</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见习人员</w:t>
      </w:r>
      <w:r>
        <w:rPr>
          <w:rFonts w:hint="eastAsia" w:ascii="Times New Roman" w:hAnsi="Times New Roman" w:eastAsia="仿宋_GB2312" w:cs="Times New Roman"/>
          <w:sz w:val="32"/>
          <w:szCs w:val="32"/>
        </w:rPr>
        <w:t>人数1人，</w:t>
      </w:r>
      <w:r>
        <w:rPr>
          <w:rFonts w:hint="eastAsia" w:ascii="Times New Roman" w:hAnsi="Times New Roman" w:eastAsia="仿宋_GB2312" w:cs="Times New Roman"/>
          <w:sz w:val="32"/>
          <w:szCs w:val="32"/>
          <w:lang w:val="en-US" w:eastAsia="zh-CN"/>
        </w:rPr>
        <w:t>公益性岗位人员1人，</w:t>
      </w:r>
      <w:r>
        <w:rPr>
          <w:rFonts w:hint="eastAsia" w:ascii="Times New Roman" w:hAnsi="Times New Roman" w:eastAsia="仿宋_GB2312" w:cs="Times New Roman"/>
          <w:sz w:val="32"/>
          <w:szCs w:val="32"/>
        </w:rPr>
        <w:t>离退休人员</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p>
    <w:p>
      <w:pPr>
        <w:spacing w:line="560" w:lineRule="exact"/>
        <w:ind w:left="160" w:leftChars="76" w:firstLine="467" w:firstLineChars="146"/>
        <w:rPr>
          <w:rFonts w:hint="eastAsia" w:ascii="仿宋_GB2312" w:eastAsia="仿宋_GB2312"/>
          <w:sz w:val="32"/>
          <w:szCs w:val="32"/>
        </w:rPr>
        <w:sectPr>
          <w:footerReference r:id="rId5" w:type="default"/>
          <w:pgSz w:w="11906" w:h="16838"/>
          <w:pgMar w:top="1440" w:right="1800" w:bottom="1440" w:left="1800" w:header="851" w:footer="992" w:gutter="0"/>
          <w:cols w:space="720" w:num="1"/>
          <w:docGrid w:type="lines" w:linePitch="312" w:charSpace="0"/>
        </w:sectPr>
      </w:pP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w:t>
      </w:r>
      <w:r>
        <w:rPr>
          <w:rFonts w:hint="eastAsia" w:ascii="黑体" w:hAnsi="黑体" w:eastAsia="黑体" w:cs="黑体"/>
          <w:sz w:val="32"/>
          <w:u w:color="auto"/>
          <w:lang w:val="en-US" w:eastAsia="zh-CN"/>
        </w:rPr>
        <w:t>少数民族文化和语言文字研究中心</w:t>
      </w:r>
      <w:r>
        <w:rPr>
          <w:rFonts w:hint="eastAsia" w:ascii="黑体" w:hAnsi="黑体" w:eastAsia="黑体" w:cs="黑体"/>
          <w:sz w:val="32"/>
          <w:szCs w:val="32"/>
          <w:highlight w:val="none"/>
        </w:rPr>
        <w:t xml:space="preserve"> 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w:t>
            </w:r>
            <w:r>
              <w:rPr>
                <w:rFonts w:hint="eastAsia" w:ascii="宋体" w:hAnsi="宋体" w:eastAsia="宋体" w:cs="宋体"/>
                <w:color w:val="000000"/>
                <w:kern w:val="0"/>
                <w:sz w:val="20"/>
                <w:szCs w:val="20"/>
                <w:highlight w:val="none"/>
                <w:lang w:val="en-US" w:eastAsia="zh-CN" w:bidi="ar"/>
              </w:rPr>
              <w:t>少数民族文化和语言文字研究中心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72.79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49.57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11.53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72.79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72.79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72.79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72.79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863"/>
        <w:gridCol w:w="1181"/>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8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eastAsia" w:ascii="宋体" w:hAnsi="宋体" w:eastAsia="宋体" w:cs="宋体"/>
                <w:color w:val="000000"/>
                <w:sz w:val="20"/>
                <w:u w:color="auto"/>
                <w:lang w:val="en-US" w:eastAsia="zh-CN"/>
              </w:rPr>
              <w:t>少数民族文化和语言文字研究中心</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29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1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713"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13"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13"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429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429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72.79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72.79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2.80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49.57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49.57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20123</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民族事务</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2012350</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20129</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2012999</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3935"/>
        <w:gridCol w:w="1392"/>
        <w:gridCol w:w="1368"/>
        <w:gridCol w:w="1368"/>
        <w:gridCol w:w="1284"/>
        <w:gridCol w:w="1464"/>
        <w:gridCol w:w="1487"/>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3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9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6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6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7"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9745"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eastAsia" w:ascii="宋体" w:hAnsi="宋体" w:eastAsia="宋体" w:cs="宋体"/>
                <w:color w:val="000000"/>
                <w:sz w:val="20"/>
                <w:u w:color="auto"/>
                <w:lang w:val="en-US" w:eastAsia="zh-CN"/>
              </w:rPr>
              <w:t>少数民族文化和语言文字研究中心</w:t>
            </w:r>
          </w:p>
        </w:tc>
        <w:tc>
          <w:tcPr>
            <w:tcW w:w="128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7"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561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3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3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3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4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99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9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9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561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561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72.79</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69.13</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3.66</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49.57</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45.91</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3.66</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20123</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民族事务</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48.73</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45.07</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3.66</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2012350</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48.73</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45.07</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3.66</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0.84</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0.84</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0.84</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0.84</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6.69</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6.69</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6.69</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6.69</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6.69</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6.69</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11.53</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11.53</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11.53</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11.53</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39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11.53</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11.53</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eastAsia" w:ascii="宋体" w:hAnsi="宋体" w:eastAsia="宋体" w:cs="宋体"/>
                <w:color w:val="000000"/>
                <w:sz w:val="20"/>
                <w:u w:color="auto"/>
                <w:lang w:val="en-US" w:eastAsia="zh-CN"/>
              </w:rPr>
              <w:t>少数民族文化和语言文字研究中心</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72.79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49.57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49.57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6.69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6.69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1672.20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1672.20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11.53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11.53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72.79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72.79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eastAsia" w:ascii="宋体" w:hAnsi="宋体" w:eastAsia="宋体" w:cs="宋体"/>
                <w:color w:val="000000"/>
                <w:sz w:val="20"/>
                <w:u w:color="auto"/>
                <w:lang w:val="en-US" w:eastAsia="zh-CN"/>
              </w:rPr>
              <w:t>少数民族文化和语言文字研究中心</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72.79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69.13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3.66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49.57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45.91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民族事务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2012350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eastAsia" w:ascii="宋体" w:hAnsi="宋体" w:eastAsia="宋体" w:cs="宋体"/>
                <w:color w:val="000000"/>
                <w:sz w:val="20"/>
                <w:u w:color="auto"/>
                <w:lang w:val="en-US" w:eastAsia="zh-CN"/>
              </w:rPr>
              <w:t>少数民族文化和语言文字研究中心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63.04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0.84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63.64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eastAsia" w:ascii="宋体" w:hAnsi="宋体" w:eastAsia="宋体" w:cs="宋体"/>
                <w:color w:val="000000"/>
                <w:sz w:val="20"/>
                <w:u w:color="auto"/>
                <w:lang w:val="en-US" w:eastAsia="zh-CN"/>
              </w:rPr>
              <w:t>少数民族文化和语言文字研究中心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r>
              <w:rPr>
                <w:rFonts w:hint="eastAsia" w:ascii="宋体" w:hAnsi="宋体" w:eastAsia="宋体" w:cs="宋体"/>
                <w:color w:val="000000"/>
                <w:kern w:val="0"/>
                <w:sz w:val="22"/>
                <w:szCs w:val="22"/>
                <w:highlight w:val="none"/>
                <w:lang w:val="en-US" w:eastAsia="zh-CN" w:bidi="ar"/>
              </w:rPr>
              <w:t>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eastAsia" w:ascii="宋体" w:hAnsi="宋体" w:eastAsia="宋体" w:cs="宋体"/>
                <w:color w:val="000000"/>
                <w:sz w:val="20"/>
                <w:u w:color="auto"/>
                <w:lang w:val="en-US" w:eastAsia="zh-CN"/>
              </w:rPr>
              <w:t>少数民族文化和语言文字研究中心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r>
        <w:rPr>
          <w:rFonts w:hint="eastAsia" w:ascii="宋体" w:hAnsi="宋体" w:eastAsia="宋体" w:cs="宋体"/>
          <w:color w:val="000000"/>
          <w:kern w:val="0"/>
          <w:sz w:val="22"/>
          <w:szCs w:val="22"/>
          <w:highlight w:val="none"/>
          <w:lang w:val="en-US" w:eastAsia="zh-CN" w:bidi="ar"/>
        </w:rPr>
        <w:t>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eastAsia" w:ascii="宋体" w:hAnsi="宋体" w:eastAsia="宋体" w:cs="宋体"/>
                <w:color w:val="000000"/>
                <w:sz w:val="20"/>
                <w:u w:color="auto"/>
                <w:lang w:val="en-US" w:eastAsia="zh-CN"/>
              </w:rPr>
              <w:t>少数民族文化和语言文字研究中心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0.35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0.35</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eastAsiaTheme="minorEastAsia"/>
                <w:highlight w:val="none"/>
                <w:lang w:val="en-US" w:eastAsia="zh-CN"/>
              </w:rPr>
            </w:pPr>
            <w:r>
              <w:rPr>
                <w:rFonts w:hint="eastAsia" w:ascii="宋体" w:hAnsi="宋体" w:eastAsia="宋体" w:cs="宋体"/>
                <w:color w:val="000000"/>
                <w:sz w:val="22"/>
                <w:szCs w:val="22"/>
                <w:highlight w:val="none"/>
                <w:lang w:val="en-US" w:eastAsia="zh-CN"/>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0.35</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环江毛南族自治县</w:t>
      </w:r>
      <w:r>
        <w:rPr>
          <w:rFonts w:hint="eastAsia" w:ascii="黑体" w:hAnsi="黑体" w:eastAsia="黑体" w:cs="黑体"/>
          <w:sz w:val="32"/>
          <w:szCs w:val="32"/>
          <w:highlight w:val="none"/>
          <w:lang w:val="en-US" w:eastAsia="zh-CN"/>
        </w:rPr>
        <w:t>少数民族文化和语言文字研究中心</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72.79</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增加14.41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上升19.80</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72.79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72.79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val="en-US" w:eastAsia="zh-CN"/>
        </w:rPr>
        <w:t>增加14.41</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上升19.80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Times New Roman" w:hAnsi="Times New Roman" w:eastAsia="仿宋_GB2312" w:cs="Times New Roman"/>
          <w:kern w:val="0"/>
          <w:sz w:val="32"/>
          <w:szCs w:val="32"/>
          <w:lang w:val="en-US" w:eastAsia="zh-CN"/>
        </w:rPr>
        <w:t>人员收入增加，人员经费提高</w:t>
      </w:r>
      <w:r>
        <w:rPr>
          <w:rFonts w:hint="default"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5.事业收入0.00万元，为事业单位开展业务活动取得的收入。较2021年度决算数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w:t>
      </w:r>
      <w:r>
        <w:rPr>
          <w:rFonts w:hint="eastAsia" w:ascii="仿宋" w:hAnsi="仿宋" w:eastAsia="仿宋" w:cs="仿宋"/>
          <w:b w:val="0"/>
          <w:bCs w:val="0"/>
          <w:color w:val="000000" w:themeColor="text1"/>
          <w:kern w:val="2"/>
          <w:sz w:val="32"/>
          <w:szCs w:val="32"/>
          <w:highlight w:val="none"/>
          <w:lang w:val="en-US" w:eastAsia="zh-CN" w:bidi="ar"/>
          <w14:textFill>
            <w14:solidFill>
              <w14:schemeClr w14:val="tx1"/>
            </w14:solidFill>
          </w14:textFill>
        </w:rPr>
        <w:t>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w:t>
      </w:r>
      <w:r>
        <w:rPr>
          <w:rFonts w:hint="eastAsia" w:ascii="仿宋" w:hAnsi="仿宋" w:eastAsia="仿宋" w:cs="仿宋"/>
          <w:b w:val="0"/>
          <w:bCs w:val="0"/>
          <w:color w:val="000000" w:themeColor="text1"/>
          <w:kern w:val="2"/>
          <w:sz w:val="32"/>
          <w:szCs w:val="32"/>
          <w:highlight w:val="none"/>
          <w:lang w:val="en-US" w:eastAsia="zh-CN" w:bidi="ar"/>
          <w14:textFill>
            <w14:solidFill>
              <w14:schemeClr w14:val="tx1"/>
            </w14:solidFill>
          </w14:textFill>
        </w:rPr>
        <w:t>原</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减少7.02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下降71.49%</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b w:val="0"/>
          <w:bCs w:val="0"/>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1.56</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w:t>
      </w:r>
      <w:r>
        <w:rPr>
          <w:rFonts w:hint="eastAsia" w:ascii="仿宋" w:hAnsi="仿宋" w:eastAsia="仿宋" w:cs="仿宋"/>
          <w:b w:val="0"/>
          <w:bCs w:val="0"/>
          <w:color w:val="000000" w:themeColor="text1"/>
          <w:kern w:val="2"/>
          <w:sz w:val="32"/>
          <w:szCs w:val="32"/>
          <w:highlight w:val="none"/>
          <w:lang w:val="en-US" w:eastAsia="zh-CN" w:bidi="ar"/>
          <w14:textFill>
            <w14:solidFill>
              <w14:schemeClr w14:val="tx1"/>
            </w14:solidFill>
          </w14:textFill>
        </w:rPr>
        <w:t>原</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因：</w:t>
      </w:r>
      <w:r>
        <w:rPr>
          <w:rFonts w:hint="eastAsia" w:ascii="仿宋" w:hAnsi="仿宋" w:eastAsia="仿宋" w:cs="仿宋"/>
          <w:b w:val="0"/>
          <w:bCs w:val="0"/>
          <w:color w:val="000000" w:themeColor="text1"/>
          <w:kern w:val="2"/>
          <w:sz w:val="32"/>
          <w:szCs w:val="32"/>
          <w:highlight w:val="none"/>
          <w:lang w:val="en-US" w:eastAsia="zh-CN" w:bidi="ar"/>
          <w14:textFill>
            <w14:solidFill>
              <w14:schemeClr w14:val="tx1"/>
            </w14:solidFill>
          </w14:textFill>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89500" cy="3143885"/>
            <wp:effectExtent l="4445" t="4445" r="2095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72.79</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72.79</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增加了12.85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上升17.65</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ind w:firstLine="640" w:firstLineChars="200"/>
        <w:jc w:val="left"/>
        <w:rPr>
          <w:rFonts w:hint="default" w:ascii="仿宋" w:hAnsi="仿宋" w:eastAsia="仿宋" w:cs="仿宋"/>
          <w:sz w:val="32"/>
          <w:szCs w:val="32"/>
          <w:highlight w:val="none"/>
        </w:rPr>
      </w:pPr>
      <w:r>
        <w:rPr>
          <w:rFonts w:hint="default" w:ascii="Times New Roman" w:hAnsi="Times New Roman" w:eastAsia="仿宋_GB2312" w:cs="Times New Roman"/>
          <w:kern w:val="0"/>
          <w:sz w:val="32"/>
          <w:szCs w:val="32"/>
        </w:rPr>
        <w:t>1.</w:t>
      </w:r>
      <w:r>
        <w:rPr>
          <w:rFonts w:hint="default" w:ascii="仿宋" w:hAnsi="仿宋" w:eastAsia="仿宋" w:cs="仿宋"/>
          <w:sz w:val="32"/>
          <w:szCs w:val="32"/>
          <w:highlight w:val="none"/>
        </w:rPr>
        <w:t>一般公共服务支出（类）</w:t>
      </w:r>
      <w:r>
        <w:rPr>
          <w:rFonts w:hint="eastAsia" w:ascii="仿宋" w:hAnsi="仿宋" w:eastAsia="仿宋" w:cs="仿宋"/>
          <w:sz w:val="32"/>
          <w:szCs w:val="32"/>
          <w:highlight w:val="none"/>
          <w:lang w:val="en-US" w:eastAsia="zh-CN"/>
        </w:rPr>
        <w:t>49.57</w:t>
      </w:r>
      <w:r>
        <w:rPr>
          <w:rFonts w:hint="default" w:ascii="仿宋" w:hAnsi="仿宋" w:eastAsia="仿宋" w:cs="仿宋"/>
          <w:sz w:val="32"/>
          <w:szCs w:val="32"/>
          <w:highlight w:val="none"/>
        </w:rPr>
        <w:t>万元：主要用于</w:t>
      </w:r>
      <w:r>
        <w:rPr>
          <w:rFonts w:hint="eastAsia" w:ascii="仿宋" w:hAnsi="仿宋" w:eastAsia="仿宋" w:cs="仿宋"/>
          <w:sz w:val="32"/>
          <w:szCs w:val="32"/>
          <w:highlight w:val="none"/>
        </w:rPr>
        <w:t>本部门为保证日常运转发生的基本支出和为完成各项工作任务、保障单位事业发展而发生的项目支出</w:t>
      </w:r>
      <w:r>
        <w:rPr>
          <w:rFonts w:hint="eastAsia" w:ascii="仿宋" w:hAnsi="仿宋" w:eastAsia="仿宋" w:cs="仿宋"/>
          <w:sz w:val="32"/>
          <w:szCs w:val="32"/>
          <w:highlight w:val="none"/>
          <w:lang w:eastAsia="zh-CN"/>
        </w:rPr>
        <w:t>。</w:t>
      </w:r>
      <w:r>
        <w:rPr>
          <w:rFonts w:hint="default" w:ascii="仿宋" w:hAnsi="仿宋" w:eastAsia="仿宋" w:cs="仿宋"/>
          <w:sz w:val="32"/>
          <w:szCs w:val="32"/>
          <w:highlight w:val="none"/>
        </w:rPr>
        <w:t>较2020年度决算数</w:t>
      </w:r>
      <w:r>
        <w:rPr>
          <w:rFonts w:hint="eastAsia" w:ascii="仿宋" w:hAnsi="仿宋" w:eastAsia="仿宋" w:cs="仿宋"/>
          <w:sz w:val="32"/>
          <w:szCs w:val="32"/>
          <w:highlight w:val="none"/>
          <w:lang w:val="en-US" w:eastAsia="zh-CN"/>
        </w:rPr>
        <w:t>增加13.06</w:t>
      </w:r>
      <w:r>
        <w:rPr>
          <w:rFonts w:hint="default"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上升26.25</w:t>
      </w:r>
      <w:r>
        <w:rPr>
          <w:rFonts w:hint="default" w:ascii="仿宋" w:hAnsi="仿宋" w:eastAsia="仿宋" w:cs="仿宋"/>
          <w:sz w:val="32"/>
          <w:szCs w:val="32"/>
          <w:highlight w:val="none"/>
        </w:rPr>
        <w:t>%，主要原因是</w:t>
      </w:r>
      <w:r>
        <w:rPr>
          <w:rFonts w:hint="eastAsia" w:ascii="仿宋" w:hAnsi="仿宋" w:eastAsia="仿宋" w:cs="仿宋"/>
          <w:sz w:val="32"/>
          <w:szCs w:val="32"/>
          <w:highlight w:val="none"/>
        </w:rPr>
        <w:t>人员工资福利的</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rPr>
        <w:t>，主要用于部门所属事业单位人员工资、日常运转方面的支出</w:t>
      </w:r>
      <w:r>
        <w:rPr>
          <w:rFonts w:hint="default"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2.社会保障和就业（类）</w:t>
      </w:r>
      <w:r>
        <w:rPr>
          <w:rFonts w:hint="eastAsia" w:ascii="仿宋" w:hAnsi="仿宋" w:eastAsia="仿宋" w:cs="仿宋"/>
          <w:sz w:val="32"/>
          <w:szCs w:val="32"/>
          <w:highlight w:val="none"/>
          <w:lang w:val="en-US" w:eastAsia="zh-CN"/>
        </w:rPr>
        <w:t xml:space="preserve">6.69 </w:t>
      </w:r>
      <w:r>
        <w:rPr>
          <w:rFonts w:hint="eastAsia" w:ascii="仿宋" w:hAnsi="仿宋" w:eastAsia="仿宋" w:cs="仿宋"/>
          <w:sz w:val="32"/>
          <w:szCs w:val="32"/>
          <w:highlight w:val="none"/>
        </w:rPr>
        <w:t>万元，主要用于在职人员基本养老保险缴费支出。较20</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 1.02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上升 15.25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主要原因是</w:t>
      </w:r>
      <w:r>
        <w:rPr>
          <w:rFonts w:hint="eastAsia" w:ascii="仿宋" w:hAnsi="仿宋" w:eastAsia="仿宋" w:cs="仿宋"/>
          <w:sz w:val="32"/>
          <w:szCs w:val="32"/>
          <w:highlight w:val="none"/>
          <w:lang w:val="en-US" w:eastAsia="zh-CN"/>
        </w:rPr>
        <w:t>人员收入的增加，人员经费提高</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3．住房保障支出（类）</w:t>
      </w:r>
      <w:r>
        <w:rPr>
          <w:rFonts w:hint="eastAsia" w:ascii="仿宋" w:hAnsi="仿宋" w:eastAsia="仿宋" w:cs="仿宋"/>
          <w:sz w:val="32"/>
          <w:szCs w:val="32"/>
          <w:highlight w:val="none"/>
          <w:lang w:val="en-US" w:eastAsia="zh-CN"/>
        </w:rPr>
        <w:t xml:space="preserve"> 5.00 </w:t>
      </w:r>
      <w:r>
        <w:rPr>
          <w:rFonts w:hint="eastAsia" w:ascii="仿宋" w:hAnsi="仿宋" w:eastAsia="仿宋" w:cs="仿宋"/>
          <w:sz w:val="32"/>
          <w:szCs w:val="32"/>
          <w:highlight w:val="none"/>
        </w:rPr>
        <w:t>万元，主要用于按照国家政策规定向职工发放的住房公积金、提租补贴、购房补贴等住房改革方面的支出。较2</w:t>
      </w:r>
      <w:r>
        <w:rPr>
          <w:rFonts w:hint="eastAsia" w:ascii="仿宋" w:hAnsi="仿宋" w:eastAsia="仿宋" w:cs="仿宋"/>
          <w:sz w:val="32"/>
          <w:szCs w:val="32"/>
          <w:highlight w:val="none"/>
          <w:lang w:val="en-US" w:eastAsia="zh-CN"/>
        </w:rPr>
        <w:t>020</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 0.45</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val="en-US" w:eastAsia="zh-CN"/>
        </w:rPr>
        <w:t>上升 9</w:t>
      </w:r>
      <w:r>
        <w:rPr>
          <w:rFonts w:hint="eastAsia" w:ascii="仿宋" w:hAnsi="仿宋" w:eastAsia="仿宋" w:cs="仿宋"/>
          <w:sz w:val="32"/>
          <w:szCs w:val="32"/>
          <w:highlight w:val="none"/>
        </w:rPr>
        <w:t>%，主要原因是</w:t>
      </w:r>
      <w:r>
        <w:rPr>
          <w:rFonts w:hint="eastAsia" w:ascii="仿宋" w:hAnsi="仿宋" w:eastAsia="仿宋" w:cs="仿宋"/>
          <w:sz w:val="32"/>
          <w:szCs w:val="32"/>
          <w:highlight w:val="none"/>
          <w:lang w:val="en-US" w:eastAsia="zh-CN"/>
        </w:rPr>
        <w:t>人员工资福利的增加。</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其他支出（类）</w:t>
      </w:r>
      <w:r>
        <w:rPr>
          <w:rFonts w:hint="eastAsia" w:ascii="仿宋" w:hAnsi="仿宋" w:eastAsia="仿宋" w:cs="仿宋"/>
          <w:sz w:val="32"/>
          <w:szCs w:val="32"/>
          <w:highlight w:val="none"/>
          <w:lang w:val="en-US" w:eastAsia="zh-CN"/>
        </w:rPr>
        <w:t xml:space="preserve"> 11.53 </w:t>
      </w:r>
      <w:r>
        <w:rPr>
          <w:rFonts w:hint="eastAsia" w:ascii="仿宋" w:hAnsi="仿宋" w:eastAsia="仿宋" w:cs="仿宋"/>
          <w:sz w:val="32"/>
          <w:szCs w:val="32"/>
          <w:highlight w:val="none"/>
        </w:rPr>
        <w:t>万元，主要用于按照国家政策规定向职工发放的干部年度绩效奖支出。较20</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减少1.67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下降14.48</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主要原因是</w:t>
      </w:r>
      <w:r>
        <w:rPr>
          <w:rFonts w:hint="eastAsia" w:ascii="仿宋" w:hAnsi="仿宋" w:eastAsia="仿宋" w:cs="仿宋"/>
          <w:sz w:val="32"/>
          <w:szCs w:val="32"/>
          <w:highlight w:val="none"/>
          <w:lang w:val="en-US" w:eastAsia="zh-CN"/>
        </w:rPr>
        <w:t>节约经费。</w:t>
      </w:r>
    </w:p>
    <w:p>
      <w:pPr>
        <w:ind w:firstLine="640" w:firstLineChars="200"/>
        <w:jc w:val="left"/>
        <w:rPr>
          <w:rFonts w:hint="default"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rPr>
        <w:t>结余分配</w:t>
      </w:r>
      <w:r>
        <w:rPr>
          <w:rFonts w:hint="eastAsia" w:ascii="仿宋" w:hAnsi="仿宋" w:eastAsia="仿宋" w:cs="仿宋"/>
          <w:sz w:val="32"/>
          <w:szCs w:val="32"/>
          <w:highlight w:val="none"/>
          <w:lang w:val="en-US" w:eastAsia="zh-CN"/>
        </w:rPr>
        <w:t>0</w:t>
      </w:r>
      <w:r>
        <w:rPr>
          <w:rFonts w:hint="default" w:ascii="仿宋" w:hAnsi="仿宋" w:eastAsia="仿宋" w:cs="仿宋"/>
          <w:sz w:val="32"/>
          <w:szCs w:val="32"/>
          <w:highlight w:val="none"/>
        </w:rPr>
        <w:t>万元，为事业单位按规定提取的专用结余、缴纳所得税和转入非财政拨款结余等。较2020年度决算数增加</w:t>
      </w:r>
      <w:r>
        <w:rPr>
          <w:rFonts w:hint="eastAsia" w:ascii="仿宋" w:hAnsi="仿宋" w:eastAsia="仿宋" w:cs="仿宋"/>
          <w:sz w:val="32"/>
          <w:szCs w:val="32"/>
          <w:highlight w:val="none"/>
          <w:lang w:val="en-US" w:eastAsia="zh-CN"/>
        </w:rPr>
        <w:t>0</w:t>
      </w:r>
      <w:r>
        <w:rPr>
          <w:rFonts w:hint="default" w:ascii="仿宋" w:hAnsi="仿宋" w:eastAsia="仿宋" w:cs="仿宋"/>
          <w:sz w:val="32"/>
          <w:szCs w:val="32"/>
          <w:highlight w:val="none"/>
        </w:rPr>
        <w:t>万元，增长</w:t>
      </w:r>
      <w:r>
        <w:rPr>
          <w:rFonts w:hint="eastAsia" w:ascii="仿宋" w:hAnsi="仿宋" w:eastAsia="仿宋" w:cs="仿宋"/>
          <w:sz w:val="32"/>
          <w:szCs w:val="32"/>
          <w:highlight w:val="none"/>
          <w:lang w:val="en-US" w:eastAsia="zh-CN"/>
        </w:rPr>
        <w:t>0</w:t>
      </w:r>
      <w:r>
        <w:rPr>
          <w:rFonts w:hint="default" w:ascii="仿宋" w:hAnsi="仿宋" w:eastAsia="仿宋" w:cs="仿宋"/>
          <w:sz w:val="32"/>
          <w:szCs w:val="32"/>
          <w:highlight w:val="none"/>
        </w:rPr>
        <w:t xml:space="preserve"> %。</w:t>
      </w:r>
    </w:p>
    <w:p>
      <w:pPr>
        <w:ind w:firstLine="640" w:firstLineChars="200"/>
        <w:jc w:val="left"/>
        <w:rPr>
          <w:rFonts w:hint="eastAsia" w:ascii="仿宋" w:hAnsi="仿宋" w:eastAsia="仿宋_GB2312" w:cs="仿宋"/>
          <w:sz w:val="32"/>
          <w:szCs w:val="32"/>
          <w:highlight w:val="none"/>
          <w:lang w:eastAsia="zh-CN" w:bidi="ar"/>
        </w:rPr>
      </w:pPr>
      <w:r>
        <w:rPr>
          <w:rFonts w:hint="eastAsia" w:ascii="仿宋" w:hAnsi="仿宋" w:eastAsia="仿宋" w:cs="仿宋"/>
          <w:sz w:val="32"/>
          <w:szCs w:val="32"/>
          <w:highlight w:val="none"/>
          <w:lang w:val="en-US" w:eastAsia="zh-CN"/>
        </w:rPr>
        <w:t>6.</w:t>
      </w:r>
      <w:r>
        <w:rPr>
          <w:rFonts w:hint="default" w:ascii="仿宋" w:hAnsi="仿宋" w:eastAsia="仿宋" w:cs="仿宋"/>
          <w:sz w:val="32"/>
          <w:szCs w:val="32"/>
          <w:highlight w:val="none"/>
        </w:rPr>
        <w:t>年末结转和结余</w:t>
      </w:r>
      <w:r>
        <w:rPr>
          <w:rFonts w:hint="eastAsia" w:ascii="仿宋" w:hAnsi="仿宋" w:eastAsia="仿宋" w:cs="仿宋"/>
          <w:sz w:val="32"/>
          <w:szCs w:val="32"/>
          <w:highlight w:val="none"/>
          <w:lang w:val="en-US" w:eastAsia="zh-CN"/>
        </w:rPr>
        <w:t>0</w:t>
      </w:r>
      <w:r>
        <w:rPr>
          <w:rFonts w:hint="default" w:ascii="仿宋" w:hAnsi="仿宋" w:eastAsia="仿宋" w:cs="仿宋"/>
          <w:sz w:val="32"/>
          <w:szCs w:val="32"/>
          <w:highlight w:val="none"/>
        </w:rPr>
        <w:t>万元，为本年度或以前年度预算安排、因客观条件发生变化无法按原计划实施，需要延迟到以后年度按有关规定继续使用的资金。较2020年度决算数增加</w:t>
      </w:r>
      <w:r>
        <w:rPr>
          <w:rFonts w:hint="eastAsia" w:ascii="仿宋" w:hAnsi="仿宋" w:eastAsia="仿宋" w:cs="仿宋"/>
          <w:sz w:val="32"/>
          <w:szCs w:val="32"/>
          <w:highlight w:val="none"/>
          <w:lang w:val="en-US" w:eastAsia="zh-CN"/>
        </w:rPr>
        <w:t>0</w:t>
      </w:r>
      <w:r>
        <w:rPr>
          <w:rFonts w:hint="default" w:ascii="仿宋" w:hAnsi="仿宋" w:eastAsia="仿宋" w:cs="仿宋"/>
          <w:sz w:val="32"/>
          <w:szCs w:val="32"/>
          <w:highlight w:val="none"/>
        </w:rPr>
        <w:t>万元，增长</w:t>
      </w:r>
      <w:r>
        <w:rPr>
          <w:rFonts w:hint="eastAsia" w:ascii="仿宋" w:hAnsi="仿宋" w:eastAsia="仿宋" w:cs="仿宋"/>
          <w:sz w:val="32"/>
          <w:szCs w:val="32"/>
          <w:highlight w:val="none"/>
          <w:lang w:val="en-US" w:eastAsia="zh-CN"/>
        </w:rPr>
        <w:t>0</w:t>
      </w:r>
      <w:r>
        <w:rPr>
          <w:rFonts w:hint="default" w:ascii="仿宋" w:hAnsi="仿宋" w:eastAsia="仿宋" w:cs="仿宋"/>
          <w:sz w:val="32"/>
          <w:szCs w:val="32"/>
          <w:highlight w:val="none"/>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lang w:val="en-US" w:eastAsia="zh-CN"/>
        </w:rPr>
        <w:t>少数民族文化和语言文字研究中心</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49.57</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10.37</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17.29</w:t>
      </w:r>
      <w:r>
        <w:rPr>
          <w:rFonts w:ascii="仿宋" w:hAnsi="仿宋" w:eastAsia="仿宋" w:cs="仿宋"/>
          <w:sz w:val="32"/>
          <w:u w:color="auto"/>
        </w:rPr>
        <w:t>%</w:t>
      </w:r>
      <w:r>
        <w:rPr>
          <w:rFonts w:hint="eastAsia" w:ascii="仿宋" w:hAnsi="仿宋" w:eastAsia="仿宋" w:cs="仿宋"/>
          <w:sz w:val="32"/>
          <w:szCs w:val="32"/>
          <w:highlight w:val="none"/>
        </w:rPr>
        <w:t>。其中：</w:t>
      </w:r>
      <w:r>
        <w:rPr>
          <w:rFonts w:hint="default" w:ascii="Times New Roman" w:hAnsi="Times New Roman" w:eastAsia="仿宋_GB2312" w:cs="Times New Roman"/>
          <w:bCs/>
          <w:kern w:val="0"/>
          <w:sz w:val="32"/>
          <w:szCs w:val="32"/>
        </w:rPr>
        <w:t>基本支出</w:t>
      </w:r>
      <w:r>
        <w:rPr>
          <w:rFonts w:hint="eastAsia" w:ascii="Times New Roman" w:hAnsi="Times New Roman" w:eastAsia="仿宋_GB2312" w:cs="Times New Roman"/>
          <w:bCs/>
          <w:kern w:val="0"/>
          <w:sz w:val="32"/>
          <w:szCs w:val="32"/>
          <w:lang w:val="en-US" w:eastAsia="zh-CN"/>
        </w:rPr>
        <w:t>46.87</w:t>
      </w:r>
      <w:r>
        <w:rPr>
          <w:rFonts w:hint="default" w:ascii="Times New Roman" w:hAnsi="Times New Roman" w:eastAsia="仿宋_GB2312" w:cs="Times New Roman"/>
          <w:bCs/>
          <w:kern w:val="0"/>
          <w:sz w:val="32"/>
          <w:szCs w:val="32"/>
        </w:rPr>
        <w:t>万元</w:t>
      </w:r>
      <w:r>
        <w:rPr>
          <w:rFonts w:hint="eastAsia" w:ascii="仿宋" w:hAnsi="仿宋" w:eastAsia="仿宋" w:cs="仿宋"/>
          <w:sz w:val="32"/>
          <w:szCs w:val="32"/>
          <w:highlight w:val="none"/>
        </w:rPr>
        <w:t>，项目支出</w:t>
      </w:r>
      <w:r>
        <w:rPr>
          <w:rFonts w:hint="eastAsia" w:ascii="仿宋" w:hAnsi="仿宋" w:eastAsia="仿宋" w:cs="仿宋"/>
          <w:sz w:val="32"/>
          <w:u w:color="auto"/>
          <w:lang w:val="en-US" w:eastAsia="zh-CN"/>
        </w:rPr>
        <w:t>2.7</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lang w:val="en-US" w:eastAsia="zh-CN"/>
        </w:rPr>
        <w:t>少数民族文化和语言文字研究中心</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58.09</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72.79</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125.31</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一</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一般公共服务支出（类）年初预算为</w:t>
      </w:r>
      <w:r>
        <w:rPr>
          <w:rFonts w:hint="eastAsia" w:ascii="Times New Roman" w:hAnsi="Times New Roman" w:eastAsia="仿宋_GB2312" w:cs="Times New Roman"/>
          <w:bCs/>
          <w:kern w:val="0"/>
          <w:sz w:val="32"/>
          <w:szCs w:val="32"/>
          <w:lang w:val="en-US" w:eastAsia="zh-CN"/>
        </w:rPr>
        <w:t>58.09</w:t>
      </w:r>
      <w:r>
        <w:rPr>
          <w:rFonts w:hint="default" w:ascii="Times New Roman" w:hAnsi="Times New Roman" w:eastAsia="仿宋_GB2312" w:cs="Times New Roman"/>
          <w:bCs/>
          <w:kern w:val="0"/>
          <w:sz w:val="32"/>
          <w:szCs w:val="32"/>
        </w:rPr>
        <w:t>万元，支出决算为</w:t>
      </w:r>
      <w:r>
        <w:rPr>
          <w:rFonts w:hint="eastAsia" w:ascii="Times New Roman" w:hAnsi="Times New Roman" w:eastAsia="仿宋_GB2312" w:cs="Times New Roman"/>
          <w:bCs/>
          <w:kern w:val="0"/>
          <w:sz w:val="32"/>
          <w:szCs w:val="32"/>
          <w:lang w:val="en-US" w:eastAsia="zh-CN"/>
        </w:rPr>
        <w:t>49.57</w:t>
      </w:r>
      <w:r>
        <w:rPr>
          <w:rFonts w:hint="default" w:ascii="Times New Roman" w:hAnsi="Times New Roman" w:eastAsia="仿宋_GB2312" w:cs="Times New Roman"/>
          <w:bCs/>
          <w:kern w:val="0"/>
          <w:sz w:val="32"/>
          <w:szCs w:val="32"/>
        </w:rPr>
        <w:t>万元，完成年初预算的</w:t>
      </w:r>
      <w:r>
        <w:rPr>
          <w:rFonts w:hint="eastAsia" w:ascii="Times New Roman" w:hAnsi="Times New Roman" w:eastAsia="仿宋_GB2312" w:cs="Times New Roman"/>
          <w:bCs/>
          <w:kern w:val="0"/>
          <w:sz w:val="32"/>
          <w:szCs w:val="32"/>
          <w:lang w:val="en-US" w:eastAsia="zh-CN"/>
        </w:rPr>
        <w:t>85.33</w:t>
      </w:r>
      <w:r>
        <w:rPr>
          <w:rFonts w:hint="default" w:ascii="Times New Roman" w:hAnsi="Times New Roman" w:eastAsia="仿宋_GB2312" w:cs="Times New Roman"/>
          <w:bCs/>
          <w:kern w:val="0"/>
          <w:sz w:val="32"/>
          <w:szCs w:val="32"/>
        </w:rPr>
        <w:t>%。主要用于</w:t>
      </w:r>
      <w:r>
        <w:rPr>
          <w:rFonts w:hint="eastAsia" w:ascii="仿宋_GB2312" w:hAnsi="仿宋_GB2312" w:eastAsia="仿宋_GB2312" w:cs="仿宋_GB2312"/>
          <w:bCs/>
          <w:kern w:val="0"/>
          <w:sz w:val="32"/>
          <w:szCs w:val="32"/>
          <w:highlight w:val="none"/>
        </w:rPr>
        <w:t>部门所属事业单位日常</w:t>
      </w:r>
      <w:r>
        <w:rPr>
          <w:rFonts w:hint="eastAsia" w:ascii="仿宋_GB2312" w:hAnsi="仿宋_GB2312" w:eastAsia="仿宋_GB2312" w:cs="仿宋_GB2312"/>
          <w:bCs/>
          <w:kern w:val="0"/>
          <w:sz w:val="32"/>
          <w:szCs w:val="32"/>
          <w:highlight w:val="none"/>
          <w:lang w:val="en-US" w:eastAsia="zh-CN"/>
        </w:rPr>
        <w:t>公共服务</w:t>
      </w:r>
      <w:r>
        <w:rPr>
          <w:rFonts w:hint="eastAsia" w:ascii="仿宋_GB2312" w:hAnsi="仿宋_GB2312" w:eastAsia="仿宋_GB2312" w:cs="仿宋_GB2312"/>
          <w:bCs/>
          <w:kern w:val="0"/>
          <w:sz w:val="32"/>
          <w:szCs w:val="32"/>
          <w:highlight w:val="none"/>
        </w:rPr>
        <w:t>方面的支出</w:t>
      </w:r>
      <w:r>
        <w:rPr>
          <w:rFonts w:hint="eastAsia" w:ascii="仿宋_GB2312" w:hAnsi="仿宋_GB2312" w:eastAsia="仿宋_GB2312" w:cs="仿宋_GB2312"/>
          <w:bCs/>
          <w:kern w:val="0"/>
          <w:sz w:val="32"/>
          <w:szCs w:val="32"/>
          <w:highlight w:val="none"/>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3"/>
        <w:gridCol w:w="1212"/>
        <w:gridCol w:w="912"/>
        <w:gridCol w:w="704"/>
        <w:gridCol w:w="1312"/>
        <w:gridCol w:w="1568"/>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2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3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5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2012350</w:t>
            </w:r>
          </w:p>
        </w:tc>
        <w:tc>
          <w:tcPr>
            <w:tcW w:w="12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45.46</w:t>
            </w:r>
          </w:p>
        </w:tc>
        <w:tc>
          <w:tcPr>
            <w:tcW w:w="7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48.73</w:t>
            </w:r>
          </w:p>
        </w:tc>
        <w:tc>
          <w:tcPr>
            <w:tcW w:w="13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107.19%</w:t>
            </w:r>
          </w:p>
        </w:tc>
        <w:tc>
          <w:tcPr>
            <w:tcW w:w="15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 w:hAnsi="仿宋" w:eastAsia="仿宋" w:cs="仿宋"/>
                <w:color w:val="auto"/>
                <w:sz w:val="18"/>
                <w:szCs w:val="18"/>
                <w:highlight w:val="none"/>
                <w:lang w:val="en-US" w:eastAsia="zh-CN"/>
              </w:rPr>
              <w:t>主要用于</w:t>
            </w:r>
            <w:r>
              <w:rPr>
                <w:rFonts w:hint="eastAsia" w:ascii="仿宋" w:hAnsi="仿宋" w:eastAsia="仿宋" w:cs="仿宋"/>
                <w:color w:val="auto"/>
                <w:sz w:val="18"/>
                <w:szCs w:val="18"/>
                <w:highlight w:val="none"/>
                <w:lang w:val="en-US" w:eastAsia="zh-CN"/>
              </w:rPr>
              <w:t>部门所属事业单位日常公共服务方面的支出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人员收入增加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2012999</w:t>
            </w:r>
          </w:p>
        </w:tc>
        <w:tc>
          <w:tcPr>
            <w:tcW w:w="12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0.84</w:t>
            </w:r>
          </w:p>
        </w:tc>
        <w:tc>
          <w:tcPr>
            <w:tcW w:w="7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0.84</w:t>
            </w:r>
          </w:p>
        </w:tc>
        <w:tc>
          <w:tcPr>
            <w:tcW w:w="13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5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 w:hAnsi="仿宋" w:eastAsia="仿宋" w:cs="仿宋"/>
                <w:color w:val="auto"/>
                <w:sz w:val="18"/>
                <w:szCs w:val="18"/>
                <w:highlight w:val="none"/>
                <w:lang w:val="en-US" w:eastAsia="zh-CN"/>
              </w:rPr>
              <w:t>主要用于</w:t>
            </w:r>
            <w:r>
              <w:rPr>
                <w:rFonts w:hint="eastAsia" w:ascii="仿宋" w:hAnsi="仿宋" w:eastAsia="仿宋" w:cs="仿宋"/>
                <w:color w:val="auto"/>
                <w:sz w:val="18"/>
                <w:szCs w:val="18"/>
                <w:highlight w:val="none"/>
                <w:lang w:val="en-US" w:eastAsia="zh-CN"/>
              </w:rPr>
              <w:t>部门所属事业单位日常公共服务方面的支出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2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46.31</w:t>
            </w:r>
          </w:p>
        </w:tc>
        <w:tc>
          <w:tcPr>
            <w:tcW w:w="7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49.57</w:t>
            </w:r>
          </w:p>
        </w:tc>
        <w:tc>
          <w:tcPr>
            <w:tcW w:w="13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5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640" w:firstLineChars="20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6.73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6.69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99.41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原因是：年初预算与实际有一点误差，误差范围很小。</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99.41%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主要用于在职人员基本</w:t>
            </w:r>
            <w:r>
              <w:rPr>
                <w:rFonts w:hint="eastAsia" w:ascii="仿宋" w:hAnsi="仿宋" w:eastAsia="仿宋" w:cs="仿宋"/>
                <w:b w:val="0"/>
                <w:bCs w:val="0"/>
                <w:color w:val="auto"/>
                <w:sz w:val="21"/>
                <w:szCs w:val="21"/>
                <w:highlight w:val="none"/>
                <w:lang w:val="en-US" w:eastAsia="zh-CN"/>
              </w:rPr>
              <w:t>养老保险缴费支</w:t>
            </w:r>
            <w:r>
              <w:rPr>
                <w:rFonts w:hint="eastAsia" w:ascii="仿宋" w:hAnsi="仿宋" w:eastAsia="仿宋" w:cs="仿宋"/>
                <w:color w:val="auto"/>
                <w:sz w:val="21"/>
                <w:szCs w:val="21"/>
                <w:highlight w:val="none"/>
                <w:lang w:val="en-US" w:eastAsia="zh-CN"/>
              </w:rPr>
              <w:t>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99.41%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hint="eastAsia"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91765"/>
            <wp:effectExtent l="4445" t="4445" r="16510" b="889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5.05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5.00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原因是：年初预算与实际有一点误差，误差范围很小。</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 w:val="0"/>
                <w:bCs w:val="0"/>
                <w:color w:val="auto"/>
                <w:sz w:val="21"/>
                <w:szCs w:val="21"/>
                <w:highlight w:val="none"/>
                <w:lang w:val="en-US" w:eastAsia="zh-CN"/>
              </w:rPr>
              <w:t>主要用于本部门及所属事业单位按规定的比例计缴的住房公积金。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 w:val="0"/>
                <w:bCs w:val="0"/>
                <w:color w:val="auto"/>
                <w:sz w:val="21"/>
                <w:szCs w:val="21"/>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 w:val="0"/>
                <w:bCs w:val="0"/>
                <w:color w:val="auto"/>
                <w:sz w:val="21"/>
                <w:szCs w:val="21"/>
                <w:highlight w:val="none"/>
                <w:lang w:val="en-US" w:eastAsia="zh-CN"/>
              </w:rPr>
              <w:t>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 w:val="0"/>
                <w:bCs w:val="0"/>
                <w:color w:val="auto"/>
                <w:sz w:val="21"/>
                <w:szCs w:val="21"/>
                <w:highlight w:val="none"/>
                <w:lang w:val="en-US" w:eastAsia="zh-CN"/>
              </w:rPr>
              <w:t>无</w:t>
            </w:r>
          </w:p>
        </w:tc>
      </w:tr>
    </w:tbl>
    <w:p>
      <w:pPr>
        <w:jc w:val="center"/>
        <w:rPr>
          <w:rFonts w:hint="eastAsia" w:ascii="仿宋_GB2312" w:eastAsia="仿宋_GB2312" w:cs="仿宋_GB2312"/>
          <w:kern w:val="0"/>
          <w:sz w:val="32"/>
          <w:szCs w:val="32"/>
          <w:lang w:val="en-US" w:eastAsia="zh-CN"/>
        </w:rPr>
      </w:pPr>
      <w:r>
        <w:rPr>
          <w:rFonts w:hint="eastAsia" w:ascii="仿宋" w:hAnsi="仿宋" w:eastAsia="仿宋" w:cs="仿宋"/>
          <w:sz w:val="32"/>
          <w:szCs w:val="32"/>
          <w:highlight w:val="none"/>
        </w:rPr>
        <w:drawing>
          <wp:inline distT="0" distB="0" distL="114300" distR="114300">
            <wp:extent cx="4474845" cy="2463800"/>
            <wp:effectExtent l="4445" t="4445" r="16510" b="825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1"/>
        </w:numPr>
        <w:jc w:val="left"/>
        <w:rPr>
          <w:rFonts w:hint="eastAsia" w:ascii="仿宋" w:hAnsi="仿宋" w:eastAsia="仿宋" w:cs="仿宋"/>
          <w:kern w:val="0"/>
          <w:sz w:val="32"/>
          <w:szCs w:val="32"/>
        </w:rPr>
      </w:pPr>
      <w:r>
        <w:rPr>
          <w:rFonts w:hint="eastAsia" w:ascii="仿宋_GB2312" w:eastAsia="仿宋_GB2312" w:cs="仿宋_GB2312"/>
          <w:kern w:val="0"/>
          <w:sz w:val="32"/>
          <w:szCs w:val="32"/>
        </w:rPr>
        <w:t>其他支出（类）年初预算为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11.53</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 w:hAnsi="仿宋" w:eastAsia="仿宋" w:cs="仿宋"/>
          <w:kern w:val="0"/>
          <w:sz w:val="32"/>
          <w:szCs w:val="32"/>
        </w:rPr>
        <w:t>主要原因是</w:t>
      </w:r>
      <w:r>
        <w:rPr>
          <w:rFonts w:hint="eastAsia" w:ascii="仿宋" w:hAnsi="仿宋" w:eastAsia="仿宋" w:cs="仿宋"/>
          <w:kern w:val="0"/>
          <w:sz w:val="32"/>
          <w:szCs w:val="32"/>
          <w:lang w:val="en-US" w:eastAsia="zh-CN"/>
        </w:rPr>
        <w:t>人员工资福利增加</w:t>
      </w:r>
      <w:r>
        <w:rPr>
          <w:rFonts w:hint="eastAsia" w:ascii="仿宋" w:hAnsi="仿宋" w:eastAsia="仿宋" w:cs="仿宋"/>
          <w:kern w:val="0"/>
          <w:sz w:val="32"/>
          <w:szCs w:val="32"/>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 w:val="0"/>
                <w:bCs w:val="0"/>
                <w:color w:val="auto"/>
                <w:sz w:val="21"/>
                <w:szCs w:val="21"/>
                <w:highlight w:val="none"/>
                <w:lang w:val="en-US" w:eastAsia="zh-CN"/>
              </w:rPr>
              <w:t>主要用于按照国家政策规定向职工发放的干部年度绩效奖支出。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 w:val="0"/>
                <w:bCs w:val="0"/>
                <w:color w:val="auto"/>
                <w:sz w:val="21"/>
                <w:szCs w:val="21"/>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 w:val="0"/>
                <w:bCs w:val="0"/>
                <w:color w:val="auto"/>
                <w:sz w:val="21"/>
                <w:szCs w:val="21"/>
                <w:highlight w:val="none"/>
                <w:lang w:val="en-US" w:eastAsia="zh-CN"/>
              </w:rPr>
              <w:t>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 w:val="0"/>
                <w:bCs w:val="0"/>
                <w:color w:val="auto"/>
                <w:sz w:val="21"/>
                <w:szCs w:val="21"/>
                <w:highlight w:val="none"/>
                <w:lang w:val="en-US" w:eastAsia="zh-CN"/>
              </w:rPr>
              <w:t>无</w:t>
            </w:r>
          </w:p>
        </w:tc>
      </w:tr>
    </w:tbl>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lang w:val="en-US" w:eastAsia="zh-CN"/>
        </w:rPr>
        <w:t>少数民族文化和语言文字研究中心</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45.91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63.64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5.49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ind w:firstLine="640" w:firstLineChars="200"/>
        <w:jc w:val="left"/>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（一）工资福利支出</w:t>
      </w:r>
      <w:r>
        <w:rPr>
          <w:rFonts w:hint="eastAsia" w:ascii="仿宋" w:hAnsi="仿宋" w:eastAsia="仿宋"/>
          <w:sz w:val="32"/>
          <w:szCs w:val="32"/>
          <w:highlight w:val="none"/>
          <w:lang w:val="en-US" w:eastAsia="zh-CN"/>
        </w:rPr>
        <w:t>63.04</w:t>
      </w:r>
      <w:r>
        <w:rPr>
          <w:rFonts w:hint="default" w:ascii="仿宋" w:hAnsi="仿宋" w:eastAsia="仿宋"/>
          <w:sz w:val="32"/>
          <w:szCs w:val="32"/>
          <w:highlight w:val="none"/>
          <w:lang w:val="en-US" w:eastAsia="zh-CN"/>
        </w:rPr>
        <w:t>万元，完成年初预算的</w:t>
      </w:r>
      <w:r>
        <w:rPr>
          <w:rFonts w:hint="eastAsia" w:ascii="仿宋" w:hAnsi="仿宋" w:eastAsia="仿宋"/>
          <w:sz w:val="32"/>
          <w:szCs w:val="32"/>
          <w:highlight w:val="none"/>
          <w:lang w:val="en-US" w:eastAsia="zh-CN"/>
        </w:rPr>
        <w:t>129.21</w:t>
      </w:r>
      <w:r>
        <w:rPr>
          <w:rFonts w:hint="default" w:ascii="仿宋" w:hAnsi="仿宋" w:eastAsia="仿宋"/>
          <w:sz w:val="32"/>
          <w:szCs w:val="32"/>
          <w:highlight w:val="none"/>
          <w:lang w:val="en-US" w:eastAsia="zh-CN"/>
        </w:rPr>
        <w:t>%。</w:t>
      </w:r>
      <w:r>
        <w:rPr>
          <w:rFonts w:hint="eastAsia" w:ascii="仿宋" w:hAnsi="仿宋" w:eastAsia="仿宋"/>
          <w:sz w:val="32"/>
          <w:szCs w:val="32"/>
          <w:highlight w:val="none"/>
          <w:lang w:val="en-US" w:eastAsia="zh-CN"/>
        </w:rPr>
        <w:t>主要原因为人员工资福利的增加。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19.31万元，30102津贴补贴9.81万元，30103奖金17.92万元，30106伙食补助费0.00万元，30107绩效工资0.00万元，30108机关事业单位基本养老保险缴费6.69万元，30110职工基本医疗保险缴费2.99万元，30111公务员医疗补助缴费0.00万元，30112其他社会保障缴费0.22万元，30113住房公积金5.00万元，30199其他工资福利支出1.09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640" w:firstLineChars="200"/>
        <w:jc w:val="left"/>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（二）商品和服务支出</w:t>
      </w:r>
      <w:r>
        <w:rPr>
          <w:rFonts w:hint="eastAsia" w:ascii="仿宋" w:hAnsi="仿宋" w:eastAsia="仿宋"/>
          <w:sz w:val="32"/>
          <w:szCs w:val="32"/>
          <w:highlight w:val="none"/>
          <w:lang w:val="en-US" w:eastAsia="zh-CN"/>
        </w:rPr>
        <w:t>5.49</w:t>
      </w:r>
      <w:r>
        <w:rPr>
          <w:rFonts w:hint="default" w:ascii="仿宋" w:hAnsi="仿宋" w:eastAsia="仿宋"/>
          <w:sz w:val="32"/>
          <w:szCs w:val="32"/>
          <w:highlight w:val="none"/>
          <w:lang w:val="en-US" w:eastAsia="zh-CN"/>
        </w:rPr>
        <w:t>万元，完成年初预算的</w:t>
      </w:r>
      <w:r>
        <w:rPr>
          <w:rFonts w:hint="eastAsia" w:ascii="仿宋" w:hAnsi="仿宋" w:eastAsia="仿宋"/>
          <w:sz w:val="32"/>
          <w:szCs w:val="32"/>
          <w:highlight w:val="none"/>
          <w:lang w:val="en-US" w:eastAsia="zh-CN"/>
        </w:rPr>
        <w:t>91.34</w:t>
      </w:r>
      <w:r>
        <w:rPr>
          <w:rFonts w:hint="default" w:ascii="仿宋" w:hAnsi="仿宋" w:eastAsia="仿宋"/>
          <w:sz w:val="32"/>
          <w:szCs w:val="32"/>
          <w:highlight w:val="none"/>
          <w:lang w:val="en-US" w:eastAsia="zh-CN"/>
        </w:rPr>
        <w:t>%。</w:t>
      </w:r>
      <w:r>
        <w:rPr>
          <w:rFonts w:hint="eastAsia" w:ascii="仿宋" w:hAnsi="仿宋" w:eastAsia="仿宋"/>
          <w:sz w:val="32"/>
          <w:szCs w:val="32"/>
          <w:highlight w:val="none"/>
          <w:lang w:val="en-US" w:eastAsia="zh-CN"/>
        </w:rPr>
        <w:t>主要原因为日常公务经费减少。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30201办公费0.41万元，30207邮电费0.64万元，30211差旅费0.00万元，30215会议费0.00万元，30216培训费0.00万元，30226劳务费0.00万元，30228工会经费0.84万元，30299其他商品和服务支出0.00万元。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 xml:space="preserve"> </w:t>
      </w:r>
      <w:r>
        <w:rPr>
          <w:rFonts w:hint="eastAsia" w:ascii="仿宋" w:hAnsi="仿宋" w:eastAsia="仿宋"/>
          <w:sz w:val="32"/>
          <w:szCs w:val="32"/>
          <w:highlight w:val="none"/>
          <w:lang w:val="en-US" w:eastAsia="zh-CN"/>
        </w:rPr>
        <w:t xml:space="preserve">  （三）对个人和家庭的补助0.60万元，完成年初预算的100 %。主要原因有人员退休增加生活补助费。</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30305生活补助0.60万元。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lang w:val="en-US" w:eastAsia="zh-CN"/>
        </w:rPr>
        <w:t>少数民族文化和语言文字研究中心</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_GB2312" w:hAnsi="Times New Roman" w:eastAsia="仿宋_GB2312" w:cs="Times New Roman"/>
          <w:color w:val="auto"/>
          <w:sz w:val="32"/>
          <w:szCs w:val="32"/>
          <w:lang w:eastAsia="zh-CN"/>
        </w:rPr>
        <w:t>某某单位</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lang w:val="en-US" w:eastAsia="zh-CN"/>
        </w:rPr>
        <w:t>少数民族文化和语言文字研究中心</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lang w:val="en-US" w:eastAsia="zh-CN"/>
        </w:rPr>
        <w:t>少数民族文化和语言文字研究中心</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_GB2312" w:cs="仿宋"/>
          <w:sz w:val="32"/>
          <w:szCs w:val="32"/>
          <w:highlight w:val="none"/>
          <w:lang w:eastAsia="zh-CN"/>
        </w:rPr>
      </w:pPr>
      <w:bookmarkStart w:id="4" w:name="PO_part3A5B1C1DiffReason1"/>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lang w:val="en-US" w:eastAsia="zh-CN"/>
        </w:rPr>
        <w:t>少数民族文化和语言文字研究中心</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0.35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主要原因是：由于工作需要，下乡次数增加。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auto"/>
          <w:sz w:val="32"/>
          <w:szCs w:val="32"/>
          <w:lang w:val="en-US" w:eastAsia="zh-CN"/>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万元。本部门无公务用车购置</w:t>
      </w:r>
    </w:p>
    <w:p>
      <w:pPr>
        <w:ind w:firstLine="640" w:firstLineChars="200"/>
        <w:jc w:val="left"/>
        <w:rPr>
          <w:rFonts w:hint="eastAsia" w:ascii="仿宋" w:hAnsi="仿宋" w:eastAsia="仿宋" w:cs="仿宋"/>
          <w:color w:val="FF0000"/>
          <w:sz w:val="36"/>
          <w:szCs w:val="36"/>
          <w:highlight w:val="none"/>
          <w:lang w:val="en-US"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sz w:val="32"/>
          <w:szCs w:val="32"/>
          <w:highlight w:val="none"/>
        </w:rPr>
        <w:t>2022年，</w:t>
      </w: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lang w:val="en-US" w:eastAsia="zh-CN"/>
        </w:rPr>
        <w:t>少数民族文化和语言文字研究中心</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0.35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主要原因是：由于工作需要，下乡次数增加。</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rPr>
      </w:pPr>
      <w:r>
        <w:rPr>
          <w:rFonts w:hint="default"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 xml:space="preserve">4.65 </w:t>
      </w:r>
      <w:r>
        <w:rPr>
          <w:rFonts w:hint="default" w:ascii="仿宋" w:hAnsi="仿宋" w:eastAsia="仿宋" w:cs="仿宋"/>
          <w:sz w:val="32"/>
          <w:szCs w:val="32"/>
          <w:highlight w:val="none"/>
        </w:rPr>
        <w:t>万元（与部门决算中行政单位和参照公务员法管理事业单位一般公共预算财政拨款基本支出中公用经费之和一致），比年初预算数</w:t>
      </w:r>
      <w:r>
        <w:rPr>
          <w:rFonts w:hint="eastAsia" w:ascii="仿宋" w:hAnsi="仿宋" w:eastAsia="仿宋" w:cs="仿宋"/>
          <w:sz w:val="32"/>
          <w:szCs w:val="32"/>
          <w:highlight w:val="none"/>
          <w:lang w:val="en-US" w:eastAsia="zh-CN"/>
        </w:rPr>
        <w:t>减少0.51</w:t>
      </w:r>
      <w:r>
        <w:rPr>
          <w:rFonts w:hint="default" w:ascii="仿宋" w:hAnsi="仿宋" w:eastAsia="仿宋" w:cs="仿宋"/>
          <w:sz w:val="32"/>
          <w:szCs w:val="32"/>
          <w:highlight w:val="none"/>
        </w:rPr>
        <w:t>万元，</w:t>
      </w:r>
      <w:r>
        <w:rPr>
          <w:rFonts w:hint="eastAsia" w:ascii="仿宋" w:hAnsi="仿宋" w:eastAsia="仿宋" w:cs="仿宋"/>
          <w:sz w:val="32"/>
          <w:szCs w:val="32"/>
          <w:highlight w:val="none"/>
          <w:lang w:val="en-US" w:eastAsia="zh-CN"/>
        </w:rPr>
        <w:t>90.12</w:t>
      </w:r>
      <w:r>
        <w:rPr>
          <w:rFonts w:hint="default" w:ascii="仿宋" w:hAnsi="仿宋" w:eastAsia="仿宋" w:cs="仿宋"/>
          <w:sz w:val="32"/>
          <w:szCs w:val="32"/>
          <w:highlight w:val="none"/>
        </w:rPr>
        <w:t xml:space="preserve"> %，比上年决算数增加</w:t>
      </w:r>
      <w:r>
        <w:rPr>
          <w:rFonts w:hint="eastAsia" w:ascii="仿宋" w:hAnsi="仿宋" w:eastAsia="仿宋" w:cs="仿宋"/>
          <w:sz w:val="32"/>
          <w:szCs w:val="32"/>
          <w:highlight w:val="none"/>
          <w:lang w:val="en-US" w:eastAsia="zh-CN"/>
        </w:rPr>
        <w:t>0.87</w:t>
      </w:r>
      <w:r>
        <w:rPr>
          <w:rFonts w:hint="default" w:ascii="仿宋" w:hAnsi="仿宋" w:eastAsia="仿宋" w:cs="仿宋"/>
          <w:sz w:val="32"/>
          <w:szCs w:val="32"/>
          <w:highlight w:val="none"/>
        </w:rPr>
        <w:t>万元，增长</w:t>
      </w:r>
      <w:r>
        <w:rPr>
          <w:rFonts w:hint="eastAsia" w:ascii="仿宋" w:hAnsi="仿宋" w:eastAsia="仿宋" w:cs="仿宋"/>
          <w:sz w:val="32"/>
          <w:szCs w:val="32"/>
          <w:highlight w:val="none"/>
          <w:lang w:val="en-US" w:eastAsia="zh-CN"/>
        </w:rPr>
        <w:t>18.71</w:t>
      </w:r>
      <w:r>
        <w:rPr>
          <w:rFonts w:hint="default" w:ascii="仿宋" w:hAnsi="仿宋" w:eastAsia="仿宋" w:cs="仿宋"/>
          <w:sz w:val="32"/>
          <w:szCs w:val="32"/>
          <w:highlight w:val="none"/>
        </w:rPr>
        <w:t xml:space="preserve"> %。主要原因是：</w:t>
      </w:r>
      <w:r>
        <w:rPr>
          <w:rFonts w:hint="eastAsia" w:ascii="仿宋" w:hAnsi="仿宋" w:eastAsia="仿宋" w:cs="仿宋"/>
          <w:sz w:val="32"/>
          <w:szCs w:val="32"/>
          <w:highlight w:val="none"/>
          <w:lang w:val="en-US" w:eastAsia="zh-CN"/>
        </w:rPr>
        <w:t>人员增加，人员经费提高</w:t>
      </w:r>
      <w:r>
        <w:rPr>
          <w:rFonts w:hint="default" w:ascii="仿宋" w:hAnsi="仿宋" w:eastAsia="仿宋" w:cs="仿宋"/>
          <w:sz w:val="32"/>
          <w:szCs w:val="32"/>
          <w:highlight w:val="none"/>
        </w:rPr>
        <w:t>，比2020年增加</w:t>
      </w:r>
      <w:r>
        <w:rPr>
          <w:rFonts w:hint="eastAsia" w:ascii="仿宋" w:hAnsi="仿宋" w:eastAsia="仿宋" w:cs="仿宋"/>
          <w:sz w:val="32"/>
          <w:szCs w:val="32"/>
          <w:highlight w:val="none"/>
          <w:lang w:val="en-US" w:eastAsia="zh-CN"/>
        </w:rPr>
        <w:t>0.87</w:t>
      </w:r>
      <w:r>
        <w:rPr>
          <w:rFonts w:hint="default" w:ascii="仿宋" w:hAnsi="仿宋" w:eastAsia="仿宋" w:cs="仿宋"/>
          <w:sz w:val="32"/>
          <w:szCs w:val="32"/>
          <w:highlight w:val="none"/>
        </w:rPr>
        <w:t>万元，增长</w:t>
      </w:r>
      <w:r>
        <w:rPr>
          <w:rFonts w:hint="eastAsia" w:ascii="仿宋" w:hAnsi="仿宋" w:eastAsia="仿宋" w:cs="仿宋"/>
          <w:sz w:val="32"/>
          <w:szCs w:val="32"/>
          <w:highlight w:val="none"/>
          <w:lang w:val="en-US" w:eastAsia="zh-CN"/>
        </w:rPr>
        <w:t>18.71</w:t>
      </w:r>
      <w:r>
        <w:rPr>
          <w:rFonts w:hint="default" w:ascii="仿宋" w:hAnsi="仿宋" w:eastAsia="仿宋" w:cs="仿宋"/>
          <w:sz w:val="32"/>
          <w:szCs w:val="32"/>
          <w:highlight w:val="none"/>
        </w:rPr>
        <w:t xml:space="preserve"> %。主要原因是：办公设施设备购置经费增加、资产运行维护支出增加、信息系统运行维护支出增加、人员编制数量增加等。</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1.绩效管理工作开展情况。</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1.绩效管理工作开展情况。</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kern w:val="0"/>
          <w:sz w:val="32"/>
          <w:szCs w:val="32"/>
          <w:highlight w:val="none"/>
        </w:rPr>
        <w:t>（1）根据财政预算管理要求，我部门组织对</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年度一般公共预算</w:t>
      </w:r>
      <w:r>
        <w:rPr>
          <w:rFonts w:hint="eastAsia" w:ascii="仿宋_GB2312" w:hAnsi="仿宋_GB2312" w:eastAsia="仿宋_GB2312" w:cs="仿宋_GB2312"/>
          <w:kern w:val="0"/>
          <w:sz w:val="32"/>
          <w:szCs w:val="32"/>
          <w:highlight w:val="none"/>
          <w:lang w:val="en-US" w:eastAsia="zh-CN"/>
        </w:rPr>
        <w:t>一</w:t>
      </w:r>
      <w:r>
        <w:rPr>
          <w:rFonts w:hint="eastAsia" w:ascii="仿宋_GB2312" w:hAnsi="仿宋_GB2312" w:eastAsia="仿宋_GB2312" w:cs="仿宋_GB2312"/>
          <w:kern w:val="0"/>
          <w:sz w:val="32"/>
          <w:szCs w:val="32"/>
          <w:highlight w:val="none"/>
        </w:rPr>
        <w:t xml:space="preserve">个项目支出开展绩效自评，共涉及资金 </w:t>
      </w:r>
      <w:r>
        <w:rPr>
          <w:rFonts w:hint="eastAsia" w:ascii="仿宋_GB2312" w:hAnsi="仿宋_GB2312" w:eastAsia="仿宋_GB2312" w:cs="仿宋_GB2312"/>
          <w:kern w:val="0"/>
          <w:sz w:val="32"/>
          <w:szCs w:val="32"/>
          <w:highlight w:val="none"/>
          <w:lang w:val="en-US" w:eastAsia="zh-CN"/>
        </w:rPr>
        <w:t>2.7</w:t>
      </w:r>
      <w:r>
        <w:rPr>
          <w:rFonts w:hint="eastAsia" w:ascii="仿宋_GB2312" w:hAnsi="仿宋_GB2312" w:eastAsia="仿宋_GB2312" w:cs="仿宋_GB2312"/>
          <w:kern w:val="0"/>
          <w:sz w:val="32"/>
          <w:szCs w:val="32"/>
          <w:highlight w:val="none"/>
        </w:rPr>
        <w:t>万元，占一般公共预算项目支出总额的</w:t>
      </w:r>
      <w:r>
        <w:rPr>
          <w:rFonts w:hint="eastAsia" w:ascii="仿宋_GB2312" w:hAnsi="仿宋_GB2312" w:eastAsia="仿宋_GB2312" w:cs="仿宋_GB2312"/>
          <w:kern w:val="0"/>
          <w:sz w:val="32"/>
          <w:szCs w:val="32"/>
          <w:highlight w:val="none"/>
          <w:lang w:val="en-US" w:eastAsia="zh-CN"/>
        </w:rPr>
        <w:t>73.77</w:t>
      </w:r>
      <w:r>
        <w:rPr>
          <w:rFonts w:hint="eastAsia" w:ascii="仿宋_GB2312" w:hAnsi="仿宋_GB2312" w:eastAsia="仿宋_GB2312" w:cs="仿宋_GB2312"/>
          <w:kern w:val="0"/>
          <w:sz w:val="32"/>
          <w:szCs w:val="32"/>
          <w:highlight w:val="none"/>
        </w:rPr>
        <w:t>%。组织对</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年度政府性基金预算</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个项目支出开展绩效自评，共涉及资金</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 xml:space="preserve"> 万元，占政府性基金预算项目支出总额的</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必填</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民族事务</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95</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拨款进度未达到100%，原因是财政资金困难，导致资金到位较慢</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绩效目标设置未能充分体现整年工作情况</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及时申请财政资金拨付</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项目绩效目标要设置得更加精细一些</w:t>
      </w:r>
      <w:r>
        <w:rPr>
          <w:rFonts w:hint="eastAsia" w:ascii="仿宋" w:hAnsi="仿宋" w:eastAsia="仿宋" w:cs="仿宋"/>
          <w:color w:val="000000" w:themeColor="text1"/>
          <w:sz w:val="32"/>
          <w:szCs w:val="32"/>
          <w14:textFill>
            <w14:solidFill>
              <w14:schemeClr w14:val="tx1"/>
            </w14:solidFill>
          </w14:textFill>
        </w:rPr>
        <w:t>。</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5" w:name="_GoBack"/>
      <w:bookmarkEnd w:id="5"/>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ight="210" w:rightChars="100"/>
    </w:pPr>
  </w:p>
  <w:p>
    <w:pPr>
      <w:pStyle w:val="4"/>
      <w:ind w:right="85"/>
    </w:pP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FDB57C9C"/>
    <w:multiLevelType w:val="singleLevel"/>
    <w:tmpl w:val="FDB57C9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hZDdjY2VmOWIxODFkNDUxZTIwZGM0Y2U4ZWQwN2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03652"/>
    <w:rsid w:val="04E54546"/>
    <w:rsid w:val="05992762"/>
    <w:rsid w:val="07766C14"/>
    <w:rsid w:val="07B0770E"/>
    <w:rsid w:val="08913A96"/>
    <w:rsid w:val="091F6727"/>
    <w:rsid w:val="0942143F"/>
    <w:rsid w:val="0D100297"/>
    <w:rsid w:val="0D202B45"/>
    <w:rsid w:val="0EE5539D"/>
    <w:rsid w:val="0F8D4C87"/>
    <w:rsid w:val="10505FAA"/>
    <w:rsid w:val="105F7E7E"/>
    <w:rsid w:val="11E56B5B"/>
    <w:rsid w:val="125C77AB"/>
    <w:rsid w:val="14CB726E"/>
    <w:rsid w:val="157518C4"/>
    <w:rsid w:val="15ED4A05"/>
    <w:rsid w:val="17E92249"/>
    <w:rsid w:val="18D304F1"/>
    <w:rsid w:val="19F32577"/>
    <w:rsid w:val="19F45B80"/>
    <w:rsid w:val="1B0C078D"/>
    <w:rsid w:val="1B2B31E2"/>
    <w:rsid w:val="1B4C295A"/>
    <w:rsid w:val="1B9343F8"/>
    <w:rsid w:val="1B973C63"/>
    <w:rsid w:val="1BA1001E"/>
    <w:rsid w:val="1D317259"/>
    <w:rsid w:val="1D81655B"/>
    <w:rsid w:val="1E664F5B"/>
    <w:rsid w:val="1EB34BE1"/>
    <w:rsid w:val="215E639F"/>
    <w:rsid w:val="21EC3183"/>
    <w:rsid w:val="225E72CD"/>
    <w:rsid w:val="246E2F77"/>
    <w:rsid w:val="254B4E2B"/>
    <w:rsid w:val="283A099A"/>
    <w:rsid w:val="283D7C94"/>
    <w:rsid w:val="28E66115"/>
    <w:rsid w:val="29480E03"/>
    <w:rsid w:val="2983634D"/>
    <w:rsid w:val="2BB02055"/>
    <w:rsid w:val="2C4A292E"/>
    <w:rsid w:val="2C575A56"/>
    <w:rsid w:val="2DE4163D"/>
    <w:rsid w:val="2F257714"/>
    <w:rsid w:val="2F3275E5"/>
    <w:rsid w:val="30AA08EF"/>
    <w:rsid w:val="30D23D1C"/>
    <w:rsid w:val="31221CF5"/>
    <w:rsid w:val="31400178"/>
    <w:rsid w:val="321E3342"/>
    <w:rsid w:val="327759C8"/>
    <w:rsid w:val="330C7BB7"/>
    <w:rsid w:val="33185FE3"/>
    <w:rsid w:val="348227BF"/>
    <w:rsid w:val="34EA58CA"/>
    <w:rsid w:val="34EE2E36"/>
    <w:rsid w:val="36777241"/>
    <w:rsid w:val="38A951DB"/>
    <w:rsid w:val="38B31605"/>
    <w:rsid w:val="39003F4F"/>
    <w:rsid w:val="39136B98"/>
    <w:rsid w:val="3A755C99"/>
    <w:rsid w:val="3AD56544"/>
    <w:rsid w:val="3C07002B"/>
    <w:rsid w:val="3C8446EA"/>
    <w:rsid w:val="3D0D152A"/>
    <w:rsid w:val="3DF62756"/>
    <w:rsid w:val="3E4D1566"/>
    <w:rsid w:val="3F1B7587"/>
    <w:rsid w:val="41A24595"/>
    <w:rsid w:val="41E57B4F"/>
    <w:rsid w:val="425457EB"/>
    <w:rsid w:val="42EB3AEA"/>
    <w:rsid w:val="432F26F6"/>
    <w:rsid w:val="43880F63"/>
    <w:rsid w:val="441C5A6F"/>
    <w:rsid w:val="44C44FCC"/>
    <w:rsid w:val="44CC7369"/>
    <w:rsid w:val="457F5108"/>
    <w:rsid w:val="46951B6B"/>
    <w:rsid w:val="490E3348"/>
    <w:rsid w:val="49777B4F"/>
    <w:rsid w:val="49A34401"/>
    <w:rsid w:val="49EC3609"/>
    <w:rsid w:val="4A3E30AB"/>
    <w:rsid w:val="4AC14DAC"/>
    <w:rsid w:val="4D154C85"/>
    <w:rsid w:val="4EC8553A"/>
    <w:rsid w:val="501F72AA"/>
    <w:rsid w:val="508F4E24"/>
    <w:rsid w:val="50F22714"/>
    <w:rsid w:val="51461E90"/>
    <w:rsid w:val="51463753"/>
    <w:rsid w:val="52553A93"/>
    <w:rsid w:val="53521F8B"/>
    <w:rsid w:val="53E22F47"/>
    <w:rsid w:val="54522FF8"/>
    <w:rsid w:val="55450629"/>
    <w:rsid w:val="56692963"/>
    <w:rsid w:val="568B0F48"/>
    <w:rsid w:val="5786217B"/>
    <w:rsid w:val="59337A15"/>
    <w:rsid w:val="59810274"/>
    <w:rsid w:val="5A0A4E65"/>
    <w:rsid w:val="5BF64968"/>
    <w:rsid w:val="5CA96A00"/>
    <w:rsid w:val="5CF730BC"/>
    <w:rsid w:val="5DCF5727"/>
    <w:rsid w:val="5E5F0DCE"/>
    <w:rsid w:val="5FA40A7B"/>
    <w:rsid w:val="5FD56D29"/>
    <w:rsid w:val="5FEC7F3F"/>
    <w:rsid w:val="6076261D"/>
    <w:rsid w:val="609E661C"/>
    <w:rsid w:val="60F74BC3"/>
    <w:rsid w:val="617D3BF8"/>
    <w:rsid w:val="61841F6A"/>
    <w:rsid w:val="623007A9"/>
    <w:rsid w:val="637D7558"/>
    <w:rsid w:val="63957035"/>
    <w:rsid w:val="644F19AC"/>
    <w:rsid w:val="65AA4920"/>
    <w:rsid w:val="65B61AFC"/>
    <w:rsid w:val="669C317E"/>
    <w:rsid w:val="67694F1E"/>
    <w:rsid w:val="69597934"/>
    <w:rsid w:val="6B6437BB"/>
    <w:rsid w:val="6B964DDC"/>
    <w:rsid w:val="6C0E4753"/>
    <w:rsid w:val="6C783074"/>
    <w:rsid w:val="6D9E65C6"/>
    <w:rsid w:val="6DA81947"/>
    <w:rsid w:val="6EB66DE2"/>
    <w:rsid w:val="6ED3075F"/>
    <w:rsid w:val="6F2A2D4B"/>
    <w:rsid w:val="6F436FD6"/>
    <w:rsid w:val="6F8A0C1E"/>
    <w:rsid w:val="703F45D4"/>
    <w:rsid w:val="715D6546"/>
    <w:rsid w:val="71BE069E"/>
    <w:rsid w:val="729068E5"/>
    <w:rsid w:val="73940F35"/>
    <w:rsid w:val="73953409"/>
    <w:rsid w:val="73E069A3"/>
    <w:rsid w:val="74A9047F"/>
    <w:rsid w:val="78104AA8"/>
    <w:rsid w:val="78E257C5"/>
    <w:rsid w:val="794B35BE"/>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napToGrid w:val="0"/>
      <w:kern w:val="0"/>
      <w:szCs w:val="21"/>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manualLayout>
          <c:layoutTarget val="inner"/>
          <c:xMode val="edge"/>
          <c:yMode val="edge"/>
          <c:x val="0.2146875"/>
          <c:y val="0.123"/>
          <c:w val="0.570625"/>
          <c:h val="0.760833333333333"/>
        </c:manualLayout>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72.79</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45.46</c:v>
                </c:pt>
                <c:pt idx="1">
                  <c:v>6.73</c:v>
                </c:pt>
                <c:pt idx="2">
                  <c:v>5.05</c:v>
                </c:pt>
                <c:pt idx="3">
                  <c:v>0</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49.57</c:v>
                </c:pt>
                <c:pt idx="1">
                  <c:v>6.69</c:v>
                </c:pt>
                <c:pt idx="2">
                  <c:v>5</c:v>
                </c:pt>
                <c:pt idx="3">
                  <c:v>11.53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2012350</c:v>
                </c:pt>
                <c:pt idx="1">
                  <c:v>2012999</c:v>
                </c:pt>
              </c:numCache>
            </c:numRef>
          </c:cat>
          <c:val>
            <c:numRef>
              <c:f>Sheet1!$B$2:$B$3</c:f>
              <c:numCache>
                <c:formatCode>General</c:formatCode>
                <c:ptCount val="2"/>
                <c:pt idx="0">
                  <c:v>48.73</c:v>
                </c:pt>
                <c:pt idx="1">
                  <c:v>0.84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2080505</c:v>
                </c:pt>
              </c:numCache>
            </c:numRef>
          </c:cat>
          <c:val>
            <c:numRef>
              <c:f>Sheet1!$B$2</c:f>
              <c:numCache>
                <c:formatCode>General</c:formatCode>
                <c:ptCount val="1"/>
                <c:pt idx="0">
                  <c:v>6.69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2210201</c:v>
                </c:pt>
              </c:numCache>
            </c:numRef>
          </c:cat>
          <c:val>
            <c:numRef>
              <c:f>Sheet1!$B$2</c:f>
              <c:numCache>
                <c:formatCode>General</c:formatCode>
                <c:ptCount val="1"/>
                <c:pt idx="0">
                  <c:v>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2299999</c:v>
                </c:pt>
              </c:numCache>
            </c:numRef>
          </c:cat>
          <c:val>
            <c:numRef>
              <c:f>Sheet1!$B$2</c:f>
              <c:numCache>
                <c:formatCode>General</c:formatCode>
                <c:ptCount val="1"/>
                <c:pt idx="0">
                  <c:v>11.53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19.31</c:v>
                </c:pt>
                <c:pt idx="1">
                  <c:v>9.81</c:v>
                </c:pt>
                <c:pt idx="2">
                  <c:v>17.92</c:v>
                </c:pt>
                <c:pt idx="3">
                  <c:v>0</c:v>
                </c:pt>
                <c:pt idx="4">
                  <c:v>0</c:v>
                </c:pt>
                <c:pt idx="5">
                  <c:v>6.69</c:v>
                </c:pt>
                <c:pt idx="6">
                  <c:v>0</c:v>
                </c:pt>
                <c:pt idx="7">
                  <c:v>2.99</c:v>
                </c:pt>
                <c:pt idx="8">
                  <c:v>0</c:v>
                </c:pt>
                <c:pt idx="9">
                  <c:v>0.22</c:v>
                </c:pt>
                <c:pt idx="10">
                  <c:v>5</c:v>
                </c:pt>
                <c:pt idx="11">
                  <c:v>0</c:v>
                </c:pt>
                <c:pt idx="12">
                  <c:v>1.09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0.41</c:v>
                </c:pt>
                <c:pt idx="1">
                  <c:v>0</c:v>
                </c:pt>
                <c:pt idx="2">
                  <c:v>0</c:v>
                </c:pt>
                <c:pt idx="3">
                  <c:v>0</c:v>
                </c:pt>
                <c:pt idx="4">
                  <c:v>0</c:v>
                </c:pt>
                <c:pt idx="5">
                  <c:v>0</c:v>
                </c:pt>
                <c:pt idx="6">
                  <c:v>0.64</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0.84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0.6</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2023-11-22T01:17:00Z</cp:lastPrinted>
  <dcterms:modified xsi:type="dcterms:W3CDTF">2023-11-27T07:54:53Z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70560564829E444794898DAC43CA2913_13</vt:lpwstr>
  </property>
</Properties>
</file>