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hint="eastAsia" w:ascii="黑体" w:hAnsi="黑体" w:eastAsia="黑体" w:cs="黑体"/>
          <w:b/>
          <w:bCs/>
          <w:sz w:val="52"/>
          <w:szCs w:val="52"/>
          <w:highlight w:val="none"/>
        </w:rPr>
      </w:pPr>
      <w:r>
        <w:rPr>
          <w:rFonts w:hint="eastAsia" w:ascii="黑体" w:hAnsi="黑体" w:eastAsia="黑体" w:cs="黑体"/>
          <w:b/>
          <w:bCs/>
          <w:sz w:val="52"/>
          <w:szCs w:val="52"/>
          <w:highlight w:val="none"/>
        </w:rPr>
        <w:t>环江毛南族自治县图书馆</w:t>
      </w:r>
    </w:p>
    <w:p>
      <w:pPr>
        <w:jc w:val="center"/>
        <w:rPr>
          <w:rFonts w:ascii="黑体" w:hAnsi="黑体" w:eastAsia="黑体" w:cs="黑体"/>
          <w:b/>
          <w:bCs/>
          <w:sz w:val="52"/>
          <w:szCs w:val="52"/>
          <w:highlight w:val="none"/>
        </w:rPr>
      </w:pPr>
      <w:r>
        <w:rPr>
          <w:rFonts w:hint="eastAsia" w:ascii="黑体" w:hAnsi="黑体" w:eastAsia="黑体" w:cs="黑体"/>
          <w:b/>
          <w:bCs/>
          <w:sz w:val="52"/>
          <w:szCs w:val="52"/>
          <w:highlight w:val="none"/>
        </w:rPr>
        <w:t>2022年度部门决算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2023年</w:t>
      </w:r>
      <w:r>
        <w:rPr>
          <w:rFonts w:hint="eastAsia" w:ascii="黑体" w:hAnsi="黑体" w:eastAsia="黑体" w:cs="黑体"/>
          <w:b/>
          <w:bCs/>
          <w:sz w:val="36"/>
          <w:szCs w:val="36"/>
          <w:highlight w:val="none"/>
          <w:lang w:val="en-US" w:eastAsia="zh-CN"/>
        </w:rPr>
        <w:t>10</w:t>
      </w:r>
      <w:r>
        <w:rPr>
          <w:rFonts w:hint="eastAsia" w:ascii="黑体" w:hAnsi="黑体" w:eastAsia="黑体" w:cs="黑体"/>
          <w:b/>
          <w:bCs/>
          <w:sz w:val="36"/>
          <w:szCs w:val="36"/>
          <w:highlight w:val="none"/>
        </w:rPr>
        <w:t>月</w:t>
      </w: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keepNext w:val="0"/>
        <w:keepLines w:val="0"/>
        <w:pageBreakBefore w:val="0"/>
        <w:widowControl w:val="0"/>
        <w:kinsoku/>
        <w:wordWrap/>
        <w:overflowPunct/>
        <w:topLinePunct w:val="0"/>
        <w:bidi w:val="0"/>
        <w:snapToGrid/>
        <w:spacing w:line="520" w:lineRule="exact"/>
        <w:jc w:val="left"/>
        <w:textAlignment w:val="auto"/>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ascii="黑体" w:hAnsi="黑体" w:eastAsia="黑体" w:cs="黑体"/>
          <w:sz w:val="32"/>
          <w:u w:color="auto"/>
        </w:rPr>
        <w:t>环江毛南族自治县图书馆</w:t>
      </w:r>
      <w:r>
        <w:rPr>
          <w:rFonts w:hint="eastAsia" w:ascii="黑体" w:hAnsi="黑体" w:eastAsia="黑体" w:cs="黑体"/>
          <w:sz w:val="32"/>
          <w:szCs w:val="32"/>
          <w:highlight w:val="none"/>
        </w:rPr>
        <w:t>概况</w:t>
      </w:r>
    </w:p>
    <w:p>
      <w:pPr>
        <w:keepNext w:val="0"/>
        <w:keepLines w:val="0"/>
        <w:pageBreakBefore w:val="0"/>
        <w:widowControl w:val="0"/>
        <w:kinsoku/>
        <w:wordWrap/>
        <w:overflowPunct/>
        <w:topLinePunct w:val="0"/>
        <w:bidi w:val="0"/>
        <w:snapToGrid/>
        <w:spacing w:line="520" w:lineRule="exact"/>
        <w:jc w:val="left"/>
        <w:textAlignment w:val="auto"/>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keepNext w:val="0"/>
        <w:keepLines w:val="0"/>
        <w:pageBreakBefore w:val="0"/>
        <w:widowControl w:val="0"/>
        <w:kinsoku/>
        <w:wordWrap/>
        <w:overflowPunct/>
        <w:topLinePunct w:val="0"/>
        <w:bidi w:val="0"/>
        <w:snapToGrid/>
        <w:spacing w:line="520" w:lineRule="exact"/>
        <w:jc w:val="left"/>
        <w:textAlignment w:val="auto"/>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keepNext w:val="0"/>
        <w:keepLines w:val="0"/>
        <w:pageBreakBefore w:val="0"/>
        <w:widowControl w:val="0"/>
        <w:kinsoku/>
        <w:wordWrap/>
        <w:overflowPunct/>
        <w:topLinePunct w:val="0"/>
        <w:bidi w:val="0"/>
        <w:snapToGrid/>
        <w:spacing w:line="520" w:lineRule="exact"/>
        <w:jc w:val="left"/>
        <w:textAlignment w:val="auto"/>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环江毛南族自治县图书馆</w:t>
      </w:r>
      <w:r>
        <w:rPr>
          <w:rFonts w:hint="eastAsia" w:ascii="黑体" w:hAnsi="黑体" w:eastAsia="黑体" w:cs="黑体"/>
          <w:sz w:val="32"/>
          <w:szCs w:val="32"/>
          <w:highlight w:val="none"/>
        </w:rPr>
        <w:t>2022年度部门决算报表</w:t>
      </w:r>
    </w:p>
    <w:p>
      <w:pPr>
        <w:keepNext w:val="0"/>
        <w:keepLines w:val="0"/>
        <w:pageBreakBefore w:val="0"/>
        <w:widowControl w:val="0"/>
        <w:kinsoku/>
        <w:wordWrap/>
        <w:overflowPunct/>
        <w:topLinePunct w:val="0"/>
        <w:bidi w:val="0"/>
        <w:snapToGrid/>
        <w:spacing w:line="520" w:lineRule="exact"/>
        <w:textAlignment w:val="auto"/>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keepNext w:val="0"/>
        <w:keepLines w:val="0"/>
        <w:pageBreakBefore w:val="0"/>
        <w:widowControl w:val="0"/>
        <w:kinsoku/>
        <w:wordWrap/>
        <w:overflowPunct/>
        <w:topLinePunct w:val="0"/>
        <w:bidi w:val="0"/>
        <w:snapToGrid/>
        <w:spacing w:line="520" w:lineRule="exact"/>
        <w:textAlignment w:val="auto"/>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keepNext w:val="0"/>
        <w:keepLines w:val="0"/>
        <w:pageBreakBefore w:val="0"/>
        <w:widowControl w:val="0"/>
        <w:kinsoku/>
        <w:wordWrap/>
        <w:overflowPunct/>
        <w:topLinePunct w:val="0"/>
        <w:bidi w:val="0"/>
        <w:snapToGrid/>
        <w:spacing w:line="520" w:lineRule="exact"/>
        <w:textAlignment w:val="auto"/>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keepNext w:val="0"/>
        <w:keepLines w:val="0"/>
        <w:pageBreakBefore w:val="0"/>
        <w:widowControl w:val="0"/>
        <w:kinsoku/>
        <w:wordWrap/>
        <w:overflowPunct/>
        <w:topLinePunct w:val="0"/>
        <w:bidi w:val="0"/>
        <w:snapToGrid/>
        <w:spacing w:line="520" w:lineRule="exact"/>
        <w:textAlignment w:val="auto"/>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keepNext w:val="0"/>
        <w:keepLines w:val="0"/>
        <w:pageBreakBefore w:val="0"/>
        <w:widowControl w:val="0"/>
        <w:kinsoku/>
        <w:wordWrap/>
        <w:overflowPunct/>
        <w:topLinePunct w:val="0"/>
        <w:bidi w:val="0"/>
        <w:snapToGrid/>
        <w:spacing w:line="520" w:lineRule="exact"/>
        <w:textAlignment w:val="auto"/>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keepNext w:val="0"/>
        <w:keepLines w:val="0"/>
        <w:pageBreakBefore w:val="0"/>
        <w:widowControl w:val="0"/>
        <w:kinsoku/>
        <w:wordWrap/>
        <w:overflowPunct/>
        <w:topLinePunct w:val="0"/>
        <w:bidi w:val="0"/>
        <w:snapToGrid/>
        <w:spacing w:line="520" w:lineRule="exact"/>
        <w:textAlignment w:val="auto"/>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keepNext w:val="0"/>
        <w:keepLines w:val="0"/>
        <w:pageBreakBefore w:val="0"/>
        <w:widowControl w:val="0"/>
        <w:kinsoku/>
        <w:wordWrap/>
        <w:overflowPunct/>
        <w:topLinePunct w:val="0"/>
        <w:bidi w:val="0"/>
        <w:snapToGrid/>
        <w:spacing w:line="520" w:lineRule="exact"/>
        <w:textAlignment w:val="auto"/>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keepNext w:val="0"/>
        <w:keepLines w:val="0"/>
        <w:pageBreakBefore w:val="0"/>
        <w:widowControl w:val="0"/>
        <w:kinsoku/>
        <w:wordWrap/>
        <w:overflowPunct/>
        <w:topLinePunct w:val="0"/>
        <w:bidi w:val="0"/>
        <w:snapToGrid/>
        <w:spacing w:line="520" w:lineRule="exact"/>
        <w:textAlignment w:val="auto"/>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keepNext w:val="0"/>
        <w:keepLines w:val="0"/>
        <w:pageBreakBefore w:val="0"/>
        <w:widowControl w:val="0"/>
        <w:kinsoku/>
        <w:wordWrap/>
        <w:overflowPunct/>
        <w:topLinePunct w:val="0"/>
        <w:bidi w:val="0"/>
        <w:snapToGrid/>
        <w:spacing w:line="520" w:lineRule="exact"/>
        <w:textAlignment w:val="auto"/>
        <w:rPr>
          <w:rFonts w:hint="eastAsia" w:ascii="仿宋_GB2312" w:eastAsia="仿宋_GB2312"/>
          <w:sz w:val="32"/>
          <w:szCs w:val="32"/>
          <w:highlight w:val="none"/>
        </w:rPr>
      </w:pPr>
      <w:r>
        <w:rPr>
          <w:rFonts w:hint="eastAsia" w:ascii="仿宋_GB2312" w:eastAsia="仿宋_GB2312"/>
          <w:sz w:val="32"/>
          <w:szCs w:val="32"/>
          <w:highlight w:val="none"/>
        </w:rPr>
        <w:t>表九：财政拨款“三公”经费支出决算表</w:t>
      </w:r>
    </w:p>
    <w:p>
      <w:pPr>
        <w:keepNext w:val="0"/>
        <w:keepLines w:val="0"/>
        <w:pageBreakBefore w:val="0"/>
        <w:widowControl w:val="0"/>
        <w:kinsoku/>
        <w:wordWrap/>
        <w:overflowPunct/>
        <w:topLinePunct w:val="0"/>
        <w:bidi w:val="0"/>
        <w:snapToGrid/>
        <w:spacing w:line="520" w:lineRule="exact"/>
        <w:jc w:val="left"/>
        <w:textAlignment w:val="auto"/>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环江毛南族自治县图书馆</w:t>
      </w:r>
      <w:r>
        <w:rPr>
          <w:rFonts w:hint="eastAsia" w:ascii="黑体" w:hAnsi="黑体" w:eastAsia="黑体" w:cs="黑体"/>
          <w:sz w:val="32"/>
          <w:szCs w:val="32"/>
          <w:highlight w:val="none"/>
        </w:rPr>
        <w:t>2022年度部门决算情况说明</w:t>
      </w:r>
    </w:p>
    <w:p>
      <w:pPr>
        <w:keepNext w:val="0"/>
        <w:keepLines w:val="0"/>
        <w:pageBreakBefore w:val="0"/>
        <w:widowControl w:val="0"/>
        <w:kinsoku/>
        <w:wordWrap/>
        <w:overflowPunct/>
        <w:topLinePunct w:val="0"/>
        <w:autoSpaceDE w:val="0"/>
        <w:autoSpaceDN w:val="0"/>
        <w:bidi w:val="0"/>
        <w:adjustRightInd w:val="0"/>
        <w:snapToGrid/>
        <w:spacing w:line="520" w:lineRule="exact"/>
        <w:jc w:val="left"/>
        <w:textAlignment w:val="auto"/>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2</w:t>
      </w:r>
      <w:r>
        <w:rPr>
          <w:rFonts w:hint="eastAsia" w:ascii="仿宋_GB2312" w:eastAsia="仿宋_GB2312" w:cs="仿宋_GB2312"/>
          <w:kern w:val="0"/>
          <w:sz w:val="32"/>
          <w:szCs w:val="32"/>
          <w:highlight w:val="none"/>
        </w:rPr>
        <w:t>年度收入支出决算总体情况。</w:t>
      </w:r>
    </w:p>
    <w:p>
      <w:pPr>
        <w:keepNext w:val="0"/>
        <w:keepLines w:val="0"/>
        <w:pageBreakBefore w:val="0"/>
        <w:widowControl w:val="0"/>
        <w:kinsoku/>
        <w:wordWrap/>
        <w:overflowPunct/>
        <w:topLinePunct w:val="0"/>
        <w:autoSpaceDE w:val="0"/>
        <w:autoSpaceDN w:val="0"/>
        <w:bidi w:val="0"/>
        <w:adjustRightInd w:val="0"/>
        <w:snapToGrid/>
        <w:spacing w:line="520" w:lineRule="exact"/>
        <w:jc w:val="left"/>
        <w:textAlignment w:val="auto"/>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keepNext w:val="0"/>
        <w:keepLines w:val="0"/>
        <w:pageBreakBefore w:val="0"/>
        <w:widowControl w:val="0"/>
        <w:kinsoku/>
        <w:wordWrap/>
        <w:overflowPunct/>
        <w:topLinePunct w:val="0"/>
        <w:autoSpaceDE w:val="0"/>
        <w:autoSpaceDN w:val="0"/>
        <w:bidi w:val="0"/>
        <w:adjustRightInd w:val="0"/>
        <w:snapToGrid/>
        <w:spacing w:line="520" w:lineRule="exact"/>
        <w:jc w:val="left"/>
        <w:textAlignment w:val="auto"/>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年度一般公共预算财政拨款基本支出决算情况说明。</w:t>
      </w:r>
    </w:p>
    <w:p>
      <w:pPr>
        <w:keepNext w:val="0"/>
        <w:keepLines w:val="0"/>
        <w:pageBreakBefore w:val="0"/>
        <w:widowControl w:val="0"/>
        <w:kinsoku/>
        <w:wordWrap/>
        <w:overflowPunct/>
        <w:topLinePunct w:val="0"/>
        <w:autoSpaceDE w:val="0"/>
        <w:autoSpaceDN w:val="0"/>
        <w:bidi w:val="0"/>
        <w:adjustRightInd w:val="0"/>
        <w:snapToGrid/>
        <w:spacing w:line="520" w:lineRule="exact"/>
        <w:jc w:val="left"/>
        <w:textAlignment w:val="auto"/>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年度政府性基金支出决算情况。</w:t>
      </w:r>
    </w:p>
    <w:p>
      <w:pPr>
        <w:keepNext w:val="0"/>
        <w:keepLines w:val="0"/>
        <w:pageBreakBefore w:val="0"/>
        <w:widowControl w:val="0"/>
        <w:kinsoku/>
        <w:wordWrap/>
        <w:overflowPunct/>
        <w:topLinePunct w:val="0"/>
        <w:autoSpaceDE w:val="0"/>
        <w:autoSpaceDN w:val="0"/>
        <w:bidi w:val="0"/>
        <w:adjustRightInd w:val="0"/>
        <w:snapToGrid/>
        <w:spacing w:line="520" w:lineRule="exact"/>
        <w:jc w:val="left"/>
        <w:textAlignment w:val="auto"/>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spacing w:line="520" w:lineRule="exact"/>
        <w:jc w:val="left"/>
        <w:textAlignment w:val="auto"/>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六、财政拨款“三公”经费支出决算情况说明。</w:t>
      </w:r>
    </w:p>
    <w:p>
      <w:pPr>
        <w:keepNext w:val="0"/>
        <w:keepLines w:val="0"/>
        <w:pageBreakBefore w:val="0"/>
        <w:widowControl w:val="0"/>
        <w:kinsoku/>
        <w:wordWrap/>
        <w:overflowPunct/>
        <w:topLinePunct w:val="0"/>
        <w:autoSpaceDE w:val="0"/>
        <w:autoSpaceDN w:val="0"/>
        <w:bidi w:val="0"/>
        <w:adjustRightInd w:val="0"/>
        <w:snapToGrid/>
        <w:spacing w:line="520" w:lineRule="exact"/>
        <w:jc w:val="left"/>
        <w:textAlignment w:val="auto"/>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keepNext w:val="0"/>
        <w:keepLines w:val="0"/>
        <w:pageBreakBefore w:val="0"/>
        <w:widowControl w:val="0"/>
        <w:kinsoku/>
        <w:wordWrap/>
        <w:overflowPunct/>
        <w:topLinePunct w:val="0"/>
        <w:bidi w:val="0"/>
        <w:snapToGrid/>
        <w:spacing w:line="520" w:lineRule="exact"/>
        <w:jc w:val="left"/>
        <w:textAlignment w:val="auto"/>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ascii="黑体" w:hAnsi="黑体" w:eastAsia="黑体" w:cs="黑体"/>
          <w:b/>
          <w:sz w:val="32"/>
          <w:u w:color="auto"/>
        </w:rPr>
        <w:t>环江毛南族自治县图书馆</w:t>
      </w:r>
      <w:r>
        <w:rPr>
          <w:rFonts w:hint="eastAsia" w:ascii="黑体" w:hAnsi="黑体" w:eastAsia="黑体" w:cs="黑体"/>
          <w:b/>
          <w:bCs/>
          <w:sz w:val="32"/>
          <w:szCs w:val="32"/>
          <w:highlight w:val="none"/>
        </w:rPr>
        <w:t>概况</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pPr>
        <w:ind w:firstLine="640"/>
        <w:jc w:val="left"/>
        <w:rPr>
          <w:rFonts w:hint="eastAsia" w:ascii="仿宋" w:hAnsi="仿宋" w:eastAsia="仿宋" w:cs="仿宋"/>
          <w:color w:val="FF0000"/>
          <w:sz w:val="32"/>
          <w:szCs w:val="32"/>
          <w:lang w:val="en-US"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环江毛南族自治县图书馆</w:t>
      </w:r>
      <w:r>
        <w:rPr>
          <w:rFonts w:hint="eastAsia" w:ascii="仿宋_GB2312" w:hAnsi="仿宋_GB2312" w:eastAsia="仿宋_GB2312" w:cs="仿宋_GB2312"/>
          <w:color w:val="000000" w:themeColor="text1"/>
          <w:sz w:val="32"/>
          <w:szCs w:val="32"/>
          <w14:textFill>
            <w14:solidFill>
              <w14:schemeClr w14:val="tx1"/>
            </w14:solidFill>
          </w14:textFill>
        </w:rPr>
        <w:t>的主要职能是：</w:t>
      </w:r>
      <w:r>
        <w:rPr>
          <w:rFonts w:hint="eastAsia" w:ascii="仿宋_GB2312" w:hAnsi="仿宋_GB2312" w:eastAsia="仿宋_GB2312" w:cs="仿宋_GB2312"/>
          <w:sz w:val="32"/>
          <w:szCs w:val="32"/>
          <w:highlight w:val="none"/>
          <w:lang w:eastAsia="zh-CN"/>
        </w:rPr>
        <w:t>专门从事文献资料的收集、整理、保存以及传播，并对其管理的文献资料加以利用，服务于广大社会群众的科学、文化、教育和科研机构。保存人类文化遗产、传递科学知识信息、实施社会教育、开发智力资源。</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二、部门决算单位构成</w:t>
      </w:r>
    </w:p>
    <w:p>
      <w:pPr>
        <w:ind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我</w:t>
      </w:r>
      <w:r>
        <w:rPr>
          <w:rFonts w:hint="eastAsia" w:ascii="仿宋_GB2312" w:hAnsi="仿宋_GB2312" w:eastAsia="仿宋_GB2312" w:cs="仿宋_GB2312"/>
          <w:color w:val="000000" w:themeColor="text1"/>
          <w:sz w:val="32"/>
          <w:szCs w:val="32"/>
          <w:lang w:eastAsia="zh-CN"/>
          <w14:textFill>
            <w14:solidFill>
              <w14:schemeClr w14:val="tx1"/>
            </w14:solidFill>
          </w14:textFill>
        </w:rPr>
        <w:t>单位</w:t>
      </w:r>
      <w:r>
        <w:rPr>
          <w:rFonts w:hint="eastAsia" w:ascii="仿宋_GB2312" w:hAnsi="仿宋_GB2312" w:eastAsia="仿宋_GB2312" w:cs="仿宋_GB2312"/>
          <w:color w:val="000000" w:themeColor="text1"/>
          <w:sz w:val="32"/>
          <w:szCs w:val="32"/>
          <w14:textFill>
            <w14:solidFill>
              <w14:schemeClr w14:val="tx1"/>
            </w14:solidFill>
          </w14:textFill>
        </w:rPr>
        <w:t>没有下属单位，按照部门决算编报要求，单独编制本</w:t>
      </w:r>
      <w:r>
        <w:rPr>
          <w:rFonts w:hint="eastAsia" w:ascii="仿宋_GB2312" w:hAnsi="仿宋_GB2312" w:eastAsia="仿宋_GB2312" w:cs="仿宋_GB2312"/>
          <w:color w:val="000000" w:themeColor="text1"/>
          <w:sz w:val="32"/>
          <w:szCs w:val="32"/>
          <w:lang w:eastAsia="zh-CN"/>
          <w14:textFill>
            <w14:solidFill>
              <w14:schemeClr w14:val="tx1"/>
            </w14:solidFill>
          </w14:textFill>
        </w:rPr>
        <w:t>单位</w:t>
      </w:r>
      <w:r>
        <w:rPr>
          <w:rFonts w:hint="eastAsia" w:ascii="仿宋_GB2312" w:hAnsi="仿宋_GB2312" w:eastAsia="仿宋_GB2312" w:cs="仿宋_GB2312"/>
          <w:color w:val="000000" w:themeColor="text1"/>
          <w:sz w:val="32"/>
          <w:szCs w:val="32"/>
          <w14:textFill>
            <w14:solidFill>
              <w14:schemeClr w14:val="tx1"/>
            </w14:solidFill>
          </w14:textFill>
        </w:rPr>
        <w:t>决算。</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环江毛南族自治县图书馆是财政全额拨款副科级公益性一类事业单位，内设置有办公室、财务室、采编室。</w:t>
      </w:r>
    </w:p>
    <w:p>
      <w:pPr>
        <w:jc w:val="center"/>
        <w:rPr>
          <w:rFonts w:hint="eastAsia" w:ascii="仿宋" w:hAnsi="仿宋" w:eastAsia="仿宋" w:cs="仿宋"/>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sectPr>
          <w:pgSz w:w="11906" w:h="16838"/>
          <w:pgMar w:top="1440" w:right="1587" w:bottom="1440" w:left="1587" w:header="851" w:footer="992" w:gutter="0"/>
          <w:cols w:space="425" w:num="1"/>
          <w:docGrid w:type="lines" w:linePitch="312" w:charSpace="0"/>
        </w:sectPr>
      </w:pPr>
    </w:p>
    <w:p>
      <w:pPr>
        <w:ind w:firstLine="1600" w:firstLineChars="500"/>
        <w:jc w:val="both"/>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环江毛南族自治县图书馆</w:t>
      </w:r>
      <w:r>
        <w:rPr>
          <w:rFonts w:hint="eastAsia" w:ascii="黑体" w:hAnsi="黑体" w:eastAsia="黑体" w:cs="黑体"/>
          <w:sz w:val="32"/>
          <w:szCs w:val="32"/>
          <w:highlight w:val="none"/>
        </w:rPr>
        <w:t>2022年度部门决算报表</w:t>
      </w:r>
    </w:p>
    <w:tbl>
      <w:tblPr>
        <w:tblStyle w:val="6"/>
        <w:tblW w:w="13940" w:type="dxa"/>
        <w:tblInd w:w="96" w:type="dxa"/>
        <w:tblLayout w:type="fixed"/>
        <w:tblCellMar>
          <w:top w:w="0" w:type="dxa"/>
          <w:left w:w="108" w:type="dxa"/>
          <w:bottom w:w="0" w:type="dxa"/>
          <w:right w:w="108" w:type="dxa"/>
        </w:tblCellMar>
      </w:tblPr>
      <w:tblGrid>
        <w:gridCol w:w="2543"/>
        <w:gridCol w:w="2393"/>
        <w:gridCol w:w="2231"/>
        <w:gridCol w:w="2669"/>
        <w:gridCol w:w="2202"/>
        <w:gridCol w:w="1902"/>
      </w:tblGrid>
      <w:tr>
        <w:tblPrEx>
          <w:tblCellMar>
            <w:top w:w="0" w:type="dxa"/>
            <w:left w:w="108" w:type="dxa"/>
            <w:bottom w:w="0" w:type="dxa"/>
            <w:right w:w="108" w:type="dxa"/>
          </w:tblCellMar>
        </w:tblPrEx>
        <w:trPr>
          <w:trHeight w:val="902" w:hRule="atLeast"/>
        </w:trPr>
        <w:tc>
          <w:tcPr>
            <w:tcW w:w="139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表一：收入支出决算总表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收入支出决算总表</w:t>
            </w:r>
          </w:p>
        </w:tc>
      </w:tr>
      <w:tr>
        <w:tblPrEx>
          <w:tblCellMar>
            <w:top w:w="0" w:type="dxa"/>
            <w:left w:w="108" w:type="dxa"/>
            <w:bottom w:w="0" w:type="dxa"/>
            <w:right w:w="108" w:type="dxa"/>
          </w:tblCellMar>
        </w:tblPrEx>
        <w:trPr>
          <w:trHeight w:val="301" w:hRule="atLeast"/>
        </w:trPr>
        <w:tc>
          <w:tcPr>
            <w:tcW w:w="254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3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66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公开01表</w:t>
            </w:r>
          </w:p>
        </w:tc>
      </w:tr>
      <w:tr>
        <w:tblPrEx>
          <w:tblCellMar>
            <w:top w:w="0" w:type="dxa"/>
            <w:left w:w="108" w:type="dxa"/>
            <w:bottom w:w="0" w:type="dxa"/>
            <w:right w:w="108" w:type="dxa"/>
          </w:tblCellMar>
        </w:tblPrEx>
        <w:trPr>
          <w:trHeight w:val="301" w:hRule="atLeast"/>
        </w:trPr>
        <w:tc>
          <w:tcPr>
            <w:tcW w:w="7167" w:type="dxa"/>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环江毛南族自治县图书馆</w:t>
            </w:r>
          </w:p>
        </w:tc>
        <w:tc>
          <w:tcPr>
            <w:tcW w:w="2669"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5" w:hRule="atLeast"/>
        </w:trPr>
        <w:tc>
          <w:tcPr>
            <w:tcW w:w="716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收入</w:t>
            </w:r>
          </w:p>
        </w:tc>
        <w:tc>
          <w:tcPr>
            <w:tcW w:w="677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支出</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一、一般公共预算财政拨款收入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135.63</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一、一般公共服务支出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1.35</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二、政府性基金预算财政拨款收入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二、外交支出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三、国有资本经营预算财政拨款收入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四、上级补助收入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四、公共安全支出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五、事业收入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五、教育支出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六、经营收入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六、科学技术支出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七、附属单位上缴收入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七、文化旅游体育与传媒支出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100.31</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八、其他收入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八、社会保障和就业支出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10.47</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九、卫生健康支出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十、节能环保支出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十一、城乡社区支出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十二、农林水支出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十三、交通运输支出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十四、资源勘探工业信息等支出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十五、商业服务业等支出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十六、金融支出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十七、援助其他地区支出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十八、自然资源海洋气象等支出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十九、住房保障支出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8.04</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二十、粮油物资储备支出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二十一、国有资本经营预算支出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二十二、灾害防治及应急管理支出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二十三、其他支出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15.46</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二十四、债务还本支出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二十五、债务付息支出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二十六、抗疫特别国债安排的支出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本年收入合计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135.63</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本年支出合计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135.63</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使用非财政拨款结余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结余分配</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年初结转和结余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年末结转和结余</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总计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135.63</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135.63</w:t>
            </w:r>
          </w:p>
        </w:tc>
      </w:tr>
    </w:tbl>
    <w:p>
      <w:pPr>
        <w:rPr>
          <w:rFonts w:ascii="宋体" w:hAnsi="宋体" w:eastAsia="宋体" w:cs="宋体"/>
          <w:color w:val="000000"/>
          <w:kern w:val="0"/>
          <w:sz w:val="30"/>
          <w:szCs w:val="30"/>
          <w:highlight w:val="none"/>
          <w:lang w:bidi="ar"/>
        </w:rPr>
      </w:pPr>
      <w:r>
        <w:rPr>
          <w:rFonts w:hint="eastAsia" w:ascii="宋体" w:hAnsi="宋体" w:eastAsia="宋体" w:cs="宋体"/>
          <w:color w:val="000000"/>
          <w:kern w:val="0"/>
          <w:sz w:val="30"/>
          <w:szCs w:val="30"/>
          <w:highlight w:val="none"/>
          <w:lang w:bidi="ar"/>
        </w:rPr>
        <w:br w:type="page"/>
      </w:r>
    </w:p>
    <w:tbl>
      <w:tblPr>
        <w:tblStyle w:val="6"/>
        <w:tblW w:w="13960" w:type="dxa"/>
        <w:tblInd w:w="96" w:type="dxa"/>
        <w:tblLayout w:type="fixed"/>
        <w:tblCellMar>
          <w:top w:w="0" w:type="dxa"/>
          <w:left w:w="108" w:type="dxa"/>
          <w:bottom w:w="0" w:type="dxa"/>
          <w:right w:w="108" w:type="dxa"/>
        </w:tblCellMar>
      </w:tblPr>
      <w:tblGrid>
        <w:gridCol w:w="1584"/>
        <w:gridCol w:w="1378"/>
        <w:gridCol w:w="236"/>
        <w:gridCol w:w="236"/>
        <w:gridCol w:w="524"/>
        <w:gridCol w:w="1520"/>
        <w:gridCol w:w="1453"/>
        <w:gridCol w:w="1373"/>
        <w:gridCol w:w="1467"/>
        <w:gridCol w:w="1480"/>
        <w:gridCol w:w="1440"/>
        <w:gridCol w:w="1269"/>
      </w:tblGrid>
      <w:tr>
        <w:tblPrEx>
          <w:tblCellMar>
            <w:top w:w="0" w:type="dxa"/>
            <w:left w:w="108" w:type="dxa"/>
            <w:bottom w:w="0" w:type="dxa"/>
            <w:right w:w="108" w:type="dxa"/>
          </w:tblCellMar>
        </w:tblPrEx>
        <w:trPr>
          <w:trHeight w:val="951" w:hRule="atLeast"/>
        </w:trPr>
        <w:tc>
          <w:tcPr>
            <w:tcW w:w="13960" w:type="dxa"/>
            <w:gridSpan w:val="1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表二：收入决算表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收入决算表</w:t>
            </w:r>
          </w:p>
        </w:tc>
      </w:tr>
      <w:tr>
        <w:tblPrEx>
          <w:tblCellMar>
            <w:top w:w="0" w:type="dxa"/>
            <w:left w:w="108" w:type="dxa"/>
            <w:bottom w:w="0" w:type="dxa"/>
            <w:right w:w="108" w:type="dxa"/>
          </w:tblCellMar>
        </w:tblPrEx>
        <w:trPr>
          <w:trHeight w:val="317" w:hRule="atLeast"/>
        </w:trPr>
        <w:tc>
          <w:tcPr>
            <w:tcW w:w="2962"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2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2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公开02表</w:t>
            </w:r>
          </w:p>
        </w:tc>
      </w:tr>
      <w:tr>
        <w:tblPrEx>
          <w:tblCellMar>
            <w:top w:w="0" w:type="dxa"/>
            <w:left w:w="108" w:type="dxa"/>
            <w:bottom w:w="0" w:type="dxa"/>
            <w:right w:w="108" w:type="dxa"/>
          </w:tblCellMar>
        </w:tblPrEx>
        <w:trPr>
          <w:trHeight w:val="317" w:hRule="atLeast"/>
        </w:trPr>
        <w:tc>
          <w:tcPr>
            <w:tcW w:w="6931"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环江毛南族自治县图书馆</w:t>
            </w:r>
          </w:p>
        </w:tc>
        <w:tc>
          <w:tcPr>
            <w:tcW w:w="13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本年收入合计</w:t>
            </w:r>
          </w:p>
        </w:tc>
        <w:tc>
          <w:tcPr>
            <w:tcW w:w="14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财政拨款收入</w:t>
            </w: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上级补助收入</w:t>
            </w:r>
          </w:p>
        </w:tc>
        <w:tc>
          <w:tcPr>
            <w:tcW w:w="14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事业收入</w:t>
            </w:r>
          </w:p>
        </w:tc>
        <w:tc>
          <w:tcPr>
            <w:tcW w:w="14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经营收入</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附属单位上缴收入</w:t>
            </w:r>
          </w:p>
        </w:tc>
        <w:tc>
          <w:tcPr>
            <w:tcW w:w="12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其他收入</w:t>
            </w:r>
          </w:p>
        </w:tc>
      </w:tr>
      <w:tr>
        <w:tblPrEx>
          <w:tblCellMar>
            <w:top w:w="0" w:type="dxa"/>
            <w:left w:w="108" w:type="dxa"/>
            <w:bottom w:w="0" w:type="dxa"/>
            <w:right w:w="108" w:type="dxa"/>
          </w:tblCellMar>
        </w:tblPrEx>
        <w:trPr>
          <w:trHeight w:val="327" w:hRule="atLeast"/>
        </w:trPr>
        <w:tc>
          <w:tcPr>
            <w:tcW w:w="15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374"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r>
      <w:tr>
        <w:tblPrEx>
          <w:tblCellMar>
            <w:top w:w="0" w:type="dxa"/>
            <w:left w:w="108" w:type="dxa"/>
            <w:bottom w:w="0" w:type="dxa"/>
            <w:right w:w="108" w:type="dxa"/>
          </w:tblCellMar>
        </w:tblPrEx>
        <w:trPr>
          <w:trHeight w:val="961"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135.63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135.63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一般公共服务支出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1.35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1.35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群众团体事务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1.35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1.35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其他群众团体事务支出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1.35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1.35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207</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文化旅游体育与传媒支出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100.31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100.31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20701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文化和旅游</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100.31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100.31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2070104</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图书馆</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74.52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74.52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2070199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其他文化和旅游支出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25.79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25.79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社会保障和就业支出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10.47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10.47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行政事业单位养老支出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10.47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10.47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机关事业单位基本养老保险缴费支出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10.47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10.47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住房保障支出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8.04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8.04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住房改革支出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8.04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8.04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住房公积金</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8.04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8.04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15.46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15.46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15.46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15.46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15.46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15.46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3960" w:type="dxa"/>
            <w:gridSpan w:val="12"/>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注：本表反映部门本年度取得的各项收入情况。</w:t>
            </w:r>
          </w:p>
        </w:tc>
      </w:tr>
    </w:tbl>
    <w:p>
      <w:pPr>
        <w:jc w:val="center"/>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1142"/>
        <w:gridCol w:w="237"/>
        <w:gridCol w:w="239"/>
        <w:gridCol w:w="64"/>
        <w:gridCol w:w="2222"/>
        <w:gridCol w:w="1627"/>
        <w:gridCol w:w="1680"/>
        <w:gridCol w:w="1760"/>
        <w:gridCol w:w="1653"/>
        <w:gridCol w:w="1654"/>
        <w:gridCol w:w="1702"/>
      </w:tblGrid>
      <w:tr>
        <w:tblPrEx>
          <w:tblCellMar>
            <w:top w:w="0" w:type="dxa"/>
            <w:left w:w="108" w:type="dxa"/>
            <w:bottom w:w="0" w:type="dxa"/>
            <w:right w:w="108" w:type="dxa"/>
          </w:tblCellMar>
        </w:tblPrEx>
        <w:trPr>
          <w:trHeight w:val="623"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支出决算表</w:t>
            </w:r>
          </w:p>
        </w:tc>
      </w:tr>
      <w:tr>
        <w:tblPrEx>
          <w:tblCellMar>
            <w:top w:w="0" w:type="dxa"/>
            <w:left w:w="108" w:type="dxa"/>
            <w:bottom w:w="0" w:type="dxa"/>
            <w:right w:w="108" w:type="dxa"/>
          </w:tblCellMar>
        </w:tblPrEx>
        <w:trPr>
          <w:trHeight w:val="312" w:hRule="atLeast"/>
        </w:trPr>
        <w:tc>
          <w:tcPr>
            <w:tcW w:w="114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3"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2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6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公开03表</w:t>
            </w:r>
          </w:p>
        </w:tc>
      </w:tr>
      <w:tr>
        <w:tblPrEx>
          <w:tblCellMar>
            <w:top w:w="0" w:type="dxa"/>
            <w:left w:w="108" w:type="dxa"/>
            <w:bottom w:w="0" w:type="dxa"/>
            <w:right w:w="108" w:type="dxa"/>
          </w:tblCellMar>
        </w:tblPrEx>
        <w:trPr>
          <w:trHeight w:val="312" w:hRule="atLeast"/>
        </w:trPr>
        <w:tc>
          <w:tcPr>
            <w:tcW w:w="8971" w:type="dxa"/>
            <w:gridSpan w:val="8"/>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环江毛南族自治县图书馆</w:t>
            </w:r>
          </w:p>
        </w:tc>
        <w:tc>
          <w:tcPr>
            <w:tcW w:w="1653"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6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本年支出合计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上缴上级支出</w:t>
            </w:r>
          </w:p>
        </w:tc>
        <w:tc>
          <w:tcPr>
            <w:tcW w:w="16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经营支出</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对附属单位补助支出</w:t>
            </w:r>
          </w:p>
        </w:tc>
      </w:tr>
      <w:tr>
        <w:tblPrEx>
          <w:tblCellMar>
            <w:top w:w="0" w:type="dxa"/>
            <w:left w:w="108" w:type="dxa"/>
            <w:bottom w:w="0" w:type="dxa"/>
            <w:right w:w="108" w:type="dxa"/>
          </w:tblCellMar>
        </w:tblPrEx>
        <w:trPr>
          <w:trHeight w:val="322" w:hRule="atLeast"/>
        </w:trPr>
        <w:tc>
          <w:tcPr>
            <w:tcW w:w="161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28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65"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837"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trHeight w:val="633"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135.63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85.40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50.23</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一般公共服务支出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1.35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群众团体事务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1.35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其他群众团体事务支出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1.35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207</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文化旅游体育与传媒支出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100.31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64.13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36.18</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20701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文化和旅游</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100.31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64.13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36.18</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2070104</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图书馆</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74.52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64.13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10.39</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2070199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其他文化和旅游支出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25.79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25.79</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社会保障和就业支出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10.47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10.47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行政事业单位养老支出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10.47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10.47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机关事业单位基本养老保险缴费支出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10.47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10.47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住房保障支出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8.04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8.04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住房改革支出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8.04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8.04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住房公积金</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8.04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8.04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15.46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14.06</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15.46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14.06</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15.46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14.06</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3980" w:type="dxa"/>
            <w:gridSpan w:val="11"/>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注：本表反映部门本年度各项支出情况。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p>
      <w:pPr>
        <w:jc w:val="left"/>
        <w:rPr>
          <w:rFonts w:hint="eastAsia" w:ascii="仿宋" w:hAnsi="仿宋" w:eastAsia="仿宋" w:cs="仿宋"/>
          <w:sz w:val="24"/>
          <w:highlight w:val="none"/>
        </w:rPr>
      </w:pPr>
    </w:p>
    <w:tbl>
      <w:tblPr>
        <w:tblStyle w:val="6"/>
        <w:tblW w:w="4966" w:type="pct"/>
        <w:tblInd w:w="0" w:type="dxa"/>
        <w:tblLayout w:type="fixed"/>
        <w:tblCellMar>
          <w:top w:w="0" w:type="dxa"/>
          <w:left w:w="108" w:type="dxa"/>
          <w:bottom w:w="0" w:type="dxa"/>
          <w:right w:w="108" w:type="dxa"/>
        </w:tblCellMar>
      </w:tblPr>
      <w:tblGrid>
        <w:gridCol w:w="2214"/>
        <w:gridCol w:w="785"/>
        <w:gridCol w:w="1307"/>
        <w:gridCol w:w="2360"/>
        <w:gridCol w:w="853"/>
        <w:gridCol w:w="1088"/>
        <w:gridCol w:w="1773"/>
        <w:gridCol w:w="1803"/>
        <w:gridCol w:w="1894"/>
      </w:tblGrid>
      <w:tr>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财政拨款收入支出决算总表</w:t>
            </w:r>
          </w:p>
        </w:tc>
      </w:tr>
      <w:tr>
        <w:tblPrEx>
          <w:tblCellMar>
            <w:top w:w="0" w:type="dxa"/>
            <w:left w:w="108" w:type="dxa"/>
            <w:bottom w:w="0" w:type="dxa"/>
            <w:right w:w="108" w:type="dxa"/>
          </w:tblCellMar>
        </w:tblPrEx>
        <w:trPr>
          <w:trHeight w:val="260" w:hRule="atLeast"/>
        </w:trPr>
        <w:tc>
          <w:tcPr>
            <w:tcW w:w="7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6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3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2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公开04表</w:t>
            </w:r>
          </w:p>
        </w:tc>
      </w:tr>
      <w:tr>
        <w:tblPrEx>
          <w:tblCellMar>
            <w:top w:w="0" w:type="dxa"/>
            <w:left w:w="108" w:type="dxa"/>
            <w:bottom w:w="0" w:type="dxa"/>
            <w:right w:w="108" w:type="dxa"/>
          </w:tblCellMar>
        </w:tblPrEx>
        <w:trPr>
          <w:trHeight w:val="260" w:hRule="atLeast"/>
        </w:trPr>
        <w:tc>
          <w:tcPr>
            <w:tcW w:w="3056" w:type="pct"/>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环江毛南族自治县图书馆</w:t>
            </w:r>
          </w:p>
        </w:tc>
        <w:tc>
          <w:tcPr>
            <w:tcW w:w="629"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268" w:hRule="atLeast"/>
        </w:trPr>
        <w:tc>
          <w:tcPr>
            <w:tcW w:w="152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     入</w:t>
            </w:r>
          </w:p>
        </w:tc>
        <w:tc>
          <w:tcPr>
            <w:tcW w:w="347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     出</w:t>
            </w:r>
          </w:p>
        </w:tc>
      </w:tr>
      <w:tr>
        <w:tblPrEx>
          <w:tblCellMar>
            <w:top w:w="0" w:type="dxa"/>
            <w:left w:w="108" w:type="dxa"/>
            <w:bottom w:w="0" w:type="dxa"/>
            <w:right w:w="108" w:type="dxa"/>
          </w:tblCellMar>
        </w:tblPrEx>
        <w:trPr>
          <w:trHeight w:val="312" w:hRule="atLeast"/>
        </w:trPr>
        <w:tc>
          <w:tcPr>
            <w:tcW w:w="7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7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46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8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38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6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一般公共预算财政拨款</w:t>
            </w:r>
          </w:p>
        </w:tc>
        <w:tc>
          <w:tcPr>
            <w:tcW w:w="64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政府性基金预算财政拨款</w:t>
            </w:r>
          </w:p>
        </w:tc>
        <w:tc>
          <w:tcPr>
            <w:tcW w:w="6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国有资本经营预算财政拨款</w:t>
            </w:r>
          </w:p>
        </w:tc>
      </w:tr>
      <w:tr>
        <w:tblPrEx>
          <w:tblCellMar>
            <w:top w:w="0" w:type="dxa"/>
            <w:left w:w="108" w:type="dxa"/>
            <w:bottom w:w="0" w:type="dxa"/>
            <w:right w:w="108" w:type="dxa"/>
          </w:tblCellMar>
        </w:tblPrEx>
        <w:trPr>
          <w:trHeight w:val="536" w:hRule="atLeast"/>
        </w:trPr>
        <w:tc>
          <w:tcPr>
            <w:tcW w:w="7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7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8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135.63</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一、一般公共服务支出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1.35</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1.35</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二、外交支出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三、国防支出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四、公共安全支出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五、教育支出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六、科学技术支出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七、文化旅游体育与传媒支出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100.31</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100.31</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八、社会保障和就业支出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10.47</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10.47</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九、卫生健康支出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十、节能环保支出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十一、城乡社区支出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十二、农林水支出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十三、交通运输支出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十四、资源勘探工业信息等支出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十五、商业服务业等支出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十六、金融支出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十七、援助其他地区支出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十八、自然资源海洋气象等支出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十九、住房保障支出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8.04</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8.04</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二十、粮油物资储备支出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二十一、国有资本经营预算支出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二十二、灾害防治及应急管理支出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二十三、其他支出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15.46</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15.46</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二十四、债务还本支出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二十五、债务付息支出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二十六、抗疫特别国债安排的支出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本年收入合计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135.63</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本年支出合计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135.63</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135.63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年初财政拨款结转和结余</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年末财政拨款结转和结余</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135.63</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总计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135.63</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135.63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4327" w:type="pct"/>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注：本表反映部门本年度一般公共预算财政拨款、政府性基金预算财政拨款和国有资本经营预算财政拨款的总收支和年末结转结余情况。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tc>
        <w:tc>
          <w:tcPr>
            <w:tcW w:w="672" w:type="pct"/>
            <w:tcBorders>
              <w:top w:val="single" w:color="auto" w:sz="4" w:space="0"/>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0"/>
                <w:szCs w:val="20"/>
                <w:highlight w:val="none"/>
              </w:rPr>
            </w:pP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2011"/>
        <w:gridCol w:w="272"/>
        <w:gridCol w:w="238"/>
        <w:gridCol w:w="238"/>
        <w:gridCol w:w="2052"/>
        <w:gridCol w:w="3173"/>
        <w:gridCol w:w="3107"/>
        <w:gridCol w:w="2889"/>
      </w:tblGrid>
      <w:tr>
        <w:tblPrEx>
          <w:tblCellMar>
            <w:top w:w="0" w:type="dxa"/>
            <w:left w:w="108" w:type="dxa"/>
            <w:bottom w:w="0" w:type="dxa"/>
            <w:right w:w="108" w:type="dxa"/>
          </w:tblCellMar>
        </w:tblPrEx>
        <w:trPr>
          <w:trHeight w:val="693" w:hRule="atLeast"/>
        </w:trPr>
        <w:tc>
          <w:tcPr>
            <w:tcW w:w="1398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一般公共预算财政拨款支出决算表</w:t>
            </w:r>
          </w:p>
        </w:tc>
      </w:tr>
      <w:tr>
        <w:tblPrEx>
          <w:tblCellMar>
            <w:top w:w="0" w:type="dxa"/>
            <w:left w:w="108" w:type="dxa"/>
            <w:bottom w:w="0" w:type="dxa"/>
            <w:right w:w="108" w:type="dxa"/>
          </w:tblCellMar>
        </w:tblPrEx>
        <w:trPr>
          <w:trHeight w:val="346" w:hRule="atLeast"/>
        </w:trPr>
        <w:tc>
          <w:tcPr>
            <w:tcW w:w="228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05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公开05表</w:t>
            </w:r>
          </w:p>
        </w:tc>
      </w:tr>
      <w:tr>
        <w:tblPrEx>
          <w:tblCellMar>
            <w:top w:w="0" w:type="dxa"/>
            <w:left w:w="108" w:type="dxa"/>
            <w:bottom w:w="0" w:type="dxa"/>
            <w:right w:w="108" w:type="dxa"/>
          </w:tblCellMar>
        </w:tblPrEx>
        <w:trPr>
          <w:trHeight w:val="346" w:hRule="atLeast"/>
        </w:trPr>
        <w:tc>
          <w:tcPr>
            <w:tcW w:w="7984" w:type="dxa"/>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环江毛南族自治县图书馆</w:t>
            </w:r>
          </w:p>
        </w:tc>
        <w:tc>
          <w:tcPr>
            <w:tcW w:w="310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53" w:hRule="atLeast"/>
        </w:trPr>
        <w:tc>
          <w:tcPr>
            <w:tcW w:w="20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800"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3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31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2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9"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3"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135.63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85.40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50.23</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一般公共服务支出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1.35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1.35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群众团体事务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1.35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1.35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其他群众团体事务支出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1.35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1.35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207</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文化旅游体育与传媒支出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100.31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64.13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36.18</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20701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文化和旅游</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100.31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64.13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36.18</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2070104</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图书馆</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74.52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64.13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10.39</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2070199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其他文化和旅游支出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25.79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25.79</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社会保障和就业支出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10.47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10.47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行政事业单位养老支出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10.47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10.47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2080505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机关事业单位基本养老保险缴费支出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10.47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10.47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住房保障支出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8.04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8.04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住房改革支出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8.04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8.04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住房公积金</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8.04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8.04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15.46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1.40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14.06</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15.46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1.40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14.06</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2299999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15.46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1.40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14.06</w:t>
            </w:r>
          </w:p>
        </w:tc>
      </w:tr>
      <w:tr>
        <w:tblPrEx>
          <w:tblCellMar>
            <w:top w:w="0" w:type="dxa"/>
            <w:left w:w="108" w:type="dxa"/>
            <w:bottom w:w="0" w:type="dxa"/>
            <w:right w:w="108" w:type="dxa"/>
          </w:tblCellMar>
        </w:tblPrEx>
        <w:trPr>
          <w:trHeight w:val="358" w:hRule="atLeast"/>
        </w:trPr>
        <w:tc>
          <w:tcPr>
            <w:tcW w:w="13980" w:type="dxa"/>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p>
      <w:pPr>
        <w:jc w:val="left"/>
        <w:rPr>
          <w:rFonts w:hint="eastAsia" w:ascii="仿宋" w:hAnsi="仿宋" w:eastAsia="仿宋" w:cs="仿宋"/>
          <w:sz w:val="24"/>
          <w:highlight w:val="none"/>
        </w:rPr>
      </w:pPr>
    </w:p>
    <w:tbl>
      <w:tblPr>
        <w:tblStyle w:val="6"/>
        <w:tblW w:w="14000" w:type="dxa"/>
        <w:tblInd w:w="96" w:type="dxa"/>
        <w:tblLayout w:type="fixed"/>
        <w:tblCellMar>
          <w:top w:w="0" w:type="dxa"/>
          <w:left w:w="108" w:type="dxa"/>
          <w:bottom w:w="0" w:type="dxa"/>
          <w:right w:w="108" w:type="dxa"/>
        </w:tblCellMar>
      </w:tblPr>
      <w:tblGrid>
        <w:gridCol w:w="1107"/>
        <w:gridCol w:w="2371"/>
        <w:gridCol w:w="1106"/>
        <w:gridCol w:w="1280"/>
        <w:gridCol w:w="2347"/>
        <w:gridCol w:w="1160"/>
        <w:gridCol w:w="1173"/>
        <w:gridCol w:w="2147"/>
        <w:gridCol w:w="1309"/>
      </w:tblGrid>
      <w:tr>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0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1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0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公开06表</w:t>
            </w:r>
          </w:p>
        </w:tc>
      </w:tr>
      <w:tr>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环江毛南族自治县图书馆</w:t>
            </w:r>
          </w:p>
        </w:tc>
        <w:tc>
          <w:tcPr>
            <w:tcW w:w="116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456"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9" w:hRule="atLeast"/>
        </w:trPr>
        <w:tc>
          <w:tcPr>
            <w:tcW w:w="45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人员经费</w:t>
            </w:r>
          </w:p>
        </w:tc>
        <w:tc>
          <w:tcPr>
            <w:tcW w:w="941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公用经费</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科目编码</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23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3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trHeight w:val="1237"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工资福利支出</w:t>
            </w:r>
            <w:bookmarkStart w:id="0" w:name="OLE_LINK3"/>
            <w:bookmarkStart w:id="1" w:name="OLE_LINK4"/>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78.95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3.65</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债务利息及费用支出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基本工资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国内债务付息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津贴补贴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1.77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印刷费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国外债务付息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7.56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咨询费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伙食补助费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1.40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手续费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房屋建筑物购建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绩效工资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13.93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水费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0.10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机关事业单位基本养老保险缴费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10.47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0.39</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职业年金缴费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邮电费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31005</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基础设施建设</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职工基本医疗保险缴费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4.43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取暖费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31006</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大型修缮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公务员医疗补助缴费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物业管理费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信息网络及软件购置更新</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其他社会保障缴费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0.32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差旅费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1.16</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物资储备</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住房公积金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8.04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因公出国（境）费用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土地补偿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维修（护）费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安置补助</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租赁费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地上附着物和青苗补偿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2.79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会议费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拆迁补偿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离休费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培训费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公务接待费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其他交通工具购置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退职（役）费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专用材料费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文物和陈列品购置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抚恤金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被装购置费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无形资产购置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30305</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生活补助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2.79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专用燃料费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救济费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劳务费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委托业务费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国家赔偿费用支出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助学金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工会经费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1.35</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奖励金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福利费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经常性赠与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个人农业生产补贴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公务用车运行维护费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0.62</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资本性赠与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代缴社会保险费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30240</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税金及附加费用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30299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0.03</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人员经费合计</w:t>
            </w:r>
          </w:p>
          <w:bookmarkEnd w:id="0"/>
          <w:bookmarkEnd w:id="1"/>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81.75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公用经费合计</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3.65</w:t>
            </w:r>
          </w:p>
        </w:tc>
      </w:tr>
      <w:tr>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注：本表反映部门本年度一般公共预算财政拨款基本支出明细情况。</w:t>
            </w: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pPr>
        <w:jc w:val="left"/>
        <w:rPr>
          <w:rFonts w:hint="eastAsia" w:ascii="仿宋" w:hAnsi="仿宋" w:eastAsia="仿宋" w:cs="仿宋"/>
          <w:sz w:val="24"/>
          <w:highlight w:val="none"/>
        </w:rPr>
      </w:pPr>
    </w:p>
    <w:tbl>
      <w:tblPr>
        <w:tblStyle w:val="6"/>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环江毛南族自治县图书馆</w:t>
            </w:r>
          </w:p>
        </w:tc>
        <w:tc>
          <w:tcPr>
            <w:tcW w:w="16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年末结转和结余</w:t>
            </w: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注：本表反映部门本年度政府性基金预算财政拨款收入、支出及结转和结余情况。</w:t>
            </w:r>
          </w:p>
          <w:p>
            <w:pPr>
              <w:keepNext w:val="0"/>
              <w:keepLines w:val="0"/>
              <w:widowControl w:val="0"/>
              <w:suppressLineNumbers w:val="0"/>
              <w:spacing w:before="0" w:beforeAutospacing="0" w:after="0" w:afterAutospacing="0"/>
              <w:ind w:left="0" w:right="0"/>
              <w:jc w:val="both"/>
              <w:rPr>
                <w:rFonts w:hint="default"/>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本部门</w:t>
            </w: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2022</w:t>
            </w:r>
            <w:r>
              <w:rPr>
                <w:rFonts w:hint="eastAsia" w:ascii="宋体" w:hAnsi="宋体" w:eastAsia="宋体" w:cs="宋体"/>
                <w:color w:val="000000" w:themeColor="text1"/>
                <w:kern w:val="2"/>
                <w:sz w:val="21"/>
                <w:szCs w:val="21"/>
                <w:lang w:val="en-US" w:eastAsia="zh-CN" w:bidi="ar"/>
                <w14:textFill>
                  <w14:solidFill>
                    <w14:schemeClr w14:val="tx1"/>
                  </w14:solidFill>
                </w14:textFill>
              </w:rPr>
              <w:t>年度没有政府性基金预算财政拨款收入，也没有政府性基金预算财政拨款安排的支出，故本表无数据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pPr>
        <w:jc w:val="left"/>
        <w:rPr>
          <w:rFonts w:hint="eastAsia" w:ascii="仿宋" w:hAnsi="仿宋" w:eastAsia="仿宋" w:cs="仿宋"/>
          <w:sz w:val="24"/>
          <w:highlight w:val="none"/>
        </w:rPr>
      </w:pPr>
    </w:p>
    <w:tbl>
      <w:tblPr>
        <w:tblStyle w:val="6"/>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环江毛南族自治县图书馆</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注：本表反映部门本年度国有资本经营预算财政拨款支出情况。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本部门</w:t>
      </w: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2022</w:t>
      </w:r>
      <w:r>
        <w:rPr>
          <w:rFonts w:hint="eastAsia" w:ascii="宋体" w:hAnsi="宋体" w:eastAsia="宋体" w:cs="宋体"/>
          <w:color w:val="000000" w:themeColor="text1"/>
          <w:kern w:val="2"/>
          <w:sz w:val="21"/>
          <w:szCs w:val="21"/>
          <w:lang w:val="en-US" w:eastAsia="zh-CN" w:bidi="ar"/>
          <w14:textFill>
            <w14:solidFill>
              <w14:schemeClr w14:val="tx1"/>
            </w14:solidFill>
          </w14:textFill>
        </w:rPr>
        <w:t>年度没有国有资本经营预算财政拨款收入，也没有国有资本经营预算财政拨款安排的支出，故本表无数据</w:t>
      </w:r>
      <w:r>
        <w:rPr>
          <w:rFonts w:hint="eastAsia" w:ascii="宋体" w:hAnsi="宋体" w:eastAsia="宋体" w:cs="宋体"/>
          <w:color w:val="000000"/>
          <w:kern w:val="0"/>
          <w:sz w:val="22"/>
          <w:szCs w:val="22"/>
          <w:highlight w:val="none"/>
          <w:lang w:bidi="ar"/>
        </w:rPr>
        <w:br w:type="page"/>
      </w:r>
    </w:p>
    <w:tbl>
      <w:tblPr>
        <w:tblStyle w:val="6"/>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财政拨款“三公”经费支出决算表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kern w:val="0"/>
                <w:sz w:val="30"/>
                <w:szCs w:val="30"/>
                <w:highlight w:val="none"/>
                <w:lang w:bidi="ar"/>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5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7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9</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环江毛南族自治县图书馆</w:t>
            </w: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6"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0.62</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9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0.62</w:t>
            </w:r>
          </w:p>
        </w:tc>
        <w:tc>
          <w:tcPr>
            <w:tcW w:w="115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0.62</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0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0.62</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0.62</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default"/>
                <w:highlight w:val="none"/>
              </w:rPr>
              <w:t>0.62</w:t>
            </w:r>
          </w:p>
        </w:tc>
        <w:tc>
          <w:tcPr>
            <w:tcW w:w="107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eastAsia"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三公”经费支出预决算情况。其中，预算数为“三公”经费全年预算数，反映按规定程序调整后的预算数；决算数是包括当年一般公共预算财政拨款和以前年度结转资金安排的实际支出。</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sz w:val="24"/>
          <w:highlight w:val="none"/>
        </w:rPr>
      </w:pP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环江毛南族自治县图书馆</w:t>
      </w:r>
      <w:r>
        <w:rPr>
          <w:rFonts w:hint="eastAsia" w:ascii="黑体" w:hAnsi="黑体" w:eastAsia="黑体" w:cs="黑体"/>
          <w:sz w:val="32"/>
          <w:szCs w:val="32"/>
          <w:highlight w:val="none"/>
        </w:rPr>
        <w:t>2022年度部门决算情况说明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一、2022年度收入支出决算总体情况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（一）本部门2022年度总收入</w:t>
      </w:r>
      <w:r>
        <w:rPr>
          <w:rFonts w:ascii="仿宋" w:hAnsi="仿宋" w:eastAsia="仿宋" w:cs="仿宋"/>
          <w:sz w:val="32"/>
          <w:u w:color="auto"/>
        </w:rPr>
        <w:t>135.63</w:t>
      </w:r>
      <w:r>
        <w:rPr>
          <w:rFonts w:hint="eastAsia" w:ascii="仿宋" w:hAnsi="仿宋" w:eastAsia="仿宋" w:cs="仿宋"/>
          <w:sz w:val="32"/>
          <w:szCs w:val="32"/>
          <w:highlight w:val="none"/>
        </w:rPr>
        <w:t>万元，较2021年度决算数</w:t>
      </w:r>
      <w:r>
        <w:rPr>
          <w:rFonts w:ascii="仿宋" w:hAnsi="仿宋" w:eastAsia="仿宋" w:cs="仿宋"/>
          <w:sz w:val="32"/>
          <w:u w:color="auto"/>
        </w:rPr>
        <w:t>增加0.69</w:t>
      </w:r>
      <w:r>
        <w:rPr>
          <w:rFonts w:hint="eastAsia" w:ascii="仿宋" w:hAnsi="仿宋" w:eastAsia="仿宋" w:cs="仿宋"/>
          <w:sz w:val="32"/>
          <w:szCs w:val="32"/>
          <w:highlight w:val="none"/>
        </w:rPr>
        <w:t>万元，</w:t>
      </w:r>
      <w:r>
        <w:rPr>
          <w:rFonts w:ascii="仿宋" w:hAnsi="仿宋" w:eastAsia="仿宋" w:cs="仿宋"/>
          <w:sz w:val="32"/>
          <w:u w:color="auto"/>
        </w:rPr>
        <w:t>增长0.51%</w:t>
      </w:r>
      <w:r>
        <w:rPr>
          <w:rFonts w:hint="eastAsia" w:ascii="仿宋" w:hAnsi="仿宋" w:eastAsia="仿宋" w:cs="仿宋"/>
          <w:sz w:val="32"/>
          <w:szCs w:val="32"/>
          <w:highlight w:val="none"/>
        </w:rPr>
        <w:t>，其中本年收入</w:t>
      </w:r>
      <w:r>
        <w:rPr>
          <w:rFonts w:ascii="仿宋" w:hAnsi="仿宋" w:eastAsia="仿宋" w:cs="仿宋"/>
          <w:sz w:val="32"/>
          <w:u w:color="auto"/>
        </w:rPr>
        <w:t>135.63</w:t>
      </w:r>
      <w:r>
        <w:rPr>
          <w:rFonts w:hint="eastAsia" w:ascii="仿宋" w:hAnsi="仿宋" w:eastAsia="仿宋" w:cs="仿宋"/>
          <w:sz w:val="32"/>
          <w:szCs w:val="32"/>
          <w:highlight w:val="none"/>
        </w:rPr>
        <w:t>万元。收入具体情况如下。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Times New Roman"/>
          <w:sz w:val="32"/>
          <w:szCs w:val="32"/>
          <w:highlight w:val="none"/>
          <w:lang w:val="en-US"/>
        </w:rPr>
      </w:pPr>
      <w:r>
        <w:rPr>
          <w:rFonts w:hint="eastAsia" w:ascii="仿宋" w:hAnsi="仿宋" w:eastAsia="仿宋" w:cs="仿宋"/>
          <w:kern w:val="2"/>
          <w:sz w:val="32"/>
          <w:szCs w:val="32"/>
          <w:highlight w:val="none"/>
          <w:lang w:val="en-US" w:eastAsia="zh-CN" w:bidi="ar"/>
        </w:rPr>
        <w:t>1.一般公共预算财政拨款收入</w:t>
      </w:r>
      <w:r>
        <w:rPr>
          <w:rFonts w:ascii="仿宋" w:hAnsi="仿宋" w:eastAsia="仿宋" w:cs="仿宋"/>
          <w:sz w:val="32"/>
          <w:u w:color="auto"/>
        </w:rPr>
        <w:t>135.63</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增加13.52</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增长11.07%</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主要原因：工资福利增加，奖励性补贴增加。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Times New Roman"/>
          <w:sz w:val="32"/>
          <w:szCs w:val="32"/>
          <w:highlight w:val="none"/>
          <w:lang w:val="en-US"/>
        </w:rPr>
      </w:pPr>
      <w:r>
        <w:rPr>
          <w:rFonts w:hint="eastAsia" w:ascii="仿宋" w:hAnsi="仿宋" w:eastAsia="仿宋" w:cs="仿宋"/>
          <w:kern w:val="2"/>
          <w:sz w:val="32"/>
          <w:szCs w:val="32"/>
          <w:highlight w:val="none"/>
          <w:lang w:val="en-US" w:eastAsia="zh-CN" w:bidi="ar"/>
        </w:rPr>
        <w:t>2.政府性基金预算财政拨款收入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主要原因：本单位没有</w:t>
      </w:r>
      <w:r>
        <w:rPr>
          <w:rFonts w:hint="eastAsia" w:ascii="仿宋" w:hAnsi="仿宋" w:eastAsia="仿宋" w:cs="仿宋"/>
          <w:kern w:val="2"/>
          <w:sz w:val="32"/>
          <w:szCs w:val="32"/>
          <w:highlight w:val="none"/>
          <w:lang w:val="en-US" w:eastAsia="zh-CN" w:bidi="ar"/>
        </w:rPr>
        <w:t>政府性基金预算财政拨款收入</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3.国有资本经营预算财政拨款收入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w:t>
      </w:r>
      <w:r>
        <w:rPr>
          <w:rFonts w:hint="eastAsia" w:ascii="仿宋" w:hAnsi="仿宋" w:eastAsia="仿宋" w:cs="仿宋"/>
          <w:kern w:val="2"/>
          <w:sz w:val="32"/>
          <w:szCs w:val="32"/>
          <w:highlight w:val="none"/>
          <w:lang w:val="en-US" w:eastAsia="zh-CN" w:bidi="ar"/>
        </w:rPr>
        <w:t>国有资本经营预算财政拨款收入。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kern w:val="2"/>
          <w:sz w:val="32"/>
          <w:szCs w:val="32"/>
          <w:highlight w:val="none"/>
          <w:lang w:val="en-US" w:eastAsia="zh-CN" w:bidi="ar"/>
        </w:rPr>
        <w:t>4.上级补助收入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万元，为上级部门当年拨付的资金。较2021年度决算数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主要原因是：本单位没有上级补助收入。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5.事业收入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万元，为事业单位开展业务活动取得的收入。较2021年度决算数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主要原因是：本单位没有事业收入。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kern w:val="2"/>
          <w:sz w:val="32"/>
          <w:szCs w:val="32"/>
          <w:highlight w:val="none"/>
          <w:lang w:val="en-US" w:eastAsia="zh-CN" w:bidi="ar"/>
        </w:rPr>
        <w:t>6.经营收入0.00万,为事业单位在业务活动之外开展非独立核算经营活动取得的收入。较2021年度决算数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主要原因是：本单位没有经营性收入。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kern w:val="2"/>
          <w:sz w:val="32"/>
          <w:szCs w:val="32"/>
          <w:highlight w:val="none"/>
          <w:lang w:val="en-US" w:eastAsia="zh-CN" w:bidi="ar"/>
        </w:rPr>
        <w:t>7.附属单位上缴收入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主要原因是：本单位无附属单位上缴收入。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8.其他收入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万元,为预算单位在“财政拨款收入”“事业收入”“经营收入”之外取得的收入。较2021年度决算数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主要原因是：本单位没有其他收入。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主要原因是：本单位没有非财政拨款结余。</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10.上年结转和结余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万元，为以前年度支出预算因客观条件变化未执行完毕、结转到本年度按有关规定继续使用的资金。较2021年度决算数</w:t>
      </w:r>
      <w:r>
        <w:rPr>
          <w:rFonts w:ascii="仿宋" w:hAnsi="仿宋" w:eastAsia="仿宋" w:cs="仿宋"/>
          <w:sz w:val="32"/>
          <w:u w:color="auto"/>
        </w:rPr>
        <w:t>减少12.83</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下降100.00%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主要原因：部分项目已在本年执行完毕，不需要结转至下年继续执行。</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248660"/>
            <wp:effectExtent l="4445" t="4445" r="20955" b="23495"/>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（二）本部门2022年度总支出</w:t>
      </w:r>
      <w:r>
        <w:rPr>
          <w:rFonts w:ascii="仿宋" w:hAnsi="仿宋" w:eastAsia="仿宋" w:cs="仿宋"/>
          <w:sz w:val="32"/>
          <w:u w:color="auto"/>
        </w:rPr>
        <w:t>135.63</w:t>
      </w:r>
      <w:r>
        <w:rPr>
          <w:rFonts w:hint="eastAsia" w:ascii="仿宋" w:hAnsi="仿宋" w:eastAsia="仿宋" w:cs="仿宋"/>
          <w:sz w:val="32"/>
          <w:szCs w:val="32"/>
          <w:highlight w:val="none"/>
        </w:rPr>
        <w:t>万元，其中本年支出</w:t>
      </w:r>
      <w:r>
        <w:rPr>
          <w:rFonts w:ascii="仿宋" w:hAnsi="仿宋" w:eastAsia="仿宋" w:cs="仿宋"/>
          <w:sz w:val="32"/>
          <w:u w:color="auto"/>
        </w:rPr>
        <w:t>135.63</w:t>
      </w:r>
      <w:r>
        <w:rPr>
          <w:rFonts w:hint="eastAsia" w:ascii="仿宋" w:hAnsi="仿宋" w:eastAsia="仿宋" w:cs="仿宋"/>
          <w:sz w:val="32"/>
          <w:szCs w:val="32"/>
          <w:highlight w:val="none"/>
        </w:rPr>
        <w:t>万元，较2021年度决算数</w:t>
      </w:r>
      <w:r>
        <w:rPr>
          <w:rFonts w:ascii="仿宋" w:hAnsi="仿宋" w:eastAsia="仿宋" w:cs="仿宋"/>
          <w:sz w:val="32"/>
          <w:u w:color="auto"/>
        </w:rPr>
        <w:t>增加0.69</w:t>
      </w:r>
      <w:r>
        <w:rPr>
          <w:rFonts w:hint="eastAsia" w:ascii="仿宋" w:hAnsi="仿宋" w:eastAsia="仿宋" w:cs="仿宋"/>
          <w:sz w:val="32"/>
          <w:szCs w:val="32"/>
          <w:highlight w:val="none"/>
        </w:rPr>
        <w:t>万元，</w:t>
      </w:r>
      <w:r>
        <w:rPr>
          <w:rFonts w:ascii="仿宋" w:hAnsi="仿宋" w:eastAsia="仿宋" w:cs="仿宋"/>
          <w:sz w:val="32"/>
          <w:u w:color="auto"/>
        </w:rPr>
        <w:t>增长0.51%</w:t>
      </w:r>
      <w:r>
        <w:rPr>
          <w:rFonts w:hint="eastAsia" w:ascii="仿宋" w:hAnsi="仿宋" w:eastAsia="仿宋" w:cs="仿宋"/>
          <w:sz w:val="32"/>
          <w:szCs w:val="32"/>
          <w:highlight w:val="none"/>
        </w:rPr>
        <w:t>。支出具体情况如下：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sz w:val="32"/>
          <w:szCs w:val="32"/>
          <w:highlight w:val="none"/>
        </w:rPr>
        <w:t>1</w:t>
      </w:r>
      <w:r>
        <w:rPr>
          <w:rFonts w:ascii="仿宋" w:hAnsi="仿宋" w:eastAsia="仿宋" w:cs="仿宋"/>
          <w:sz w:val="32"/>
          <w:u w:color="auto"/>
        </w:rPr>
        <w:t>.</w:t>
      </w:r>
      <w:r>
        <w:rPr>
          <w:rFonts w:hint="eastAsia" w:ascii="仿宋" w:hAnsi="仿宋" w:eastAsia="仿宋" w:cs="仿宋"/>
          <w:sz w:val="32"/>
          <w:szCs w:val="32"/>
          <w:highlight w:val="none"/>
          <w:lang w:bidi="ar"/>
        </w:rPr>
        <w:t>一般公共服务支出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1.35</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auto"/>
          <w:sz w:val="32"/>
          <w:szCs w:val="32"/>
          <w:highlight w:val="none"/>
          <w:lang w:val="en-US" w:eastAsia="zh-CN"/>
        </w:rPr>
        <w:t>工会活动经费支出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增加1.35</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增长100%</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2022年工会活动经费由单位支出。</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2</w:t>
      </w:r>
      <w:r>
        <w:rPr>
          <w:rFonts w:ascii="仿宋" w:hAnsi="仿宋" w:eastAsia="仿宋" w:cs="仿宋"/>
          <w:sz w:val="32"/>
          <w:u w:color="auto"/>
        </w:rPr>
        <w:t>.</w:t>
      </w:r>
      <w:r>
        <w:rPr>
          <w:rFonts w:hint="eastAsia" w:ascii="仿宋" w:hAnsi="仿宋" w:eastAsia="仿宋" w:cs="仿宋"/>
          <w:sz w:val="32"/>
          <w:szCs w:val="32"/>
          <w:highlight w:val="none"/>
          <w:lang w:bidi="ar"/>
        </w:rPr>
        <w:t>文化旅游体育与传媒支出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207</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100.31</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auto"/>
          <w:sz w:val="32"/>
          <w:szCs w:val="32"/>
          <w:highlight w:val="none"/>
          <w:lang w:val="en-US" w:eastAsia="zh-CN"/>
        </w:rPr>
        <w:t>单位运行、文化惠民活动支出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增加5.58</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增长5.89%</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主要原因是：保障单位运行、文化惠民活动增加，经费支出增长</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3</w:t>
      </w:r>
      <w:r>
        <w:rPr>
          <w:rFonts w:ascii="仿宋" w:hAnsi="仿宋" w:eastAsia="仿宋" w:cs="仿宋"/>
          <w:sz w:val="32"/>
          <w:u w:color="auto"/>
        </w:rPr>
        <w:t>.</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10.47</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用于支付养老保险缴费</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减少0.05</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下降0.48%</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主要原因是：有在职职工转退休，养老保险支出减少。</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sz w:val="32"/>
          <w:szCs w:val="32"/>
          <w:highlight w:val="none"/>
        </w:rPr>
        <w:t>4</w:t>
      </w:r>
      <w:r>
        <w:rPr>
          <w:rFonts w:ascii="仿宋" w:hAnsi="仿宋" w:eastAsia="仿宋" w:cs="仿宋"/>
          <w:sz w:val="32"/>
          <w:u w:color="auto"/>
        </w:rPr>
        <w:t>.</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8.04</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用于支付职工住房公积金</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增加0.10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增长1.26%</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主要原因是：工资福利待遇增加，故住房公积金支出增加。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5</w:t>
      </w:r>
      <w:r>
        <w:rPr>
          <w:rFonts w:ascii="仿宋" w:hAnsi="仿宋" w:eastAsia="仿宋" w:cs="仿宋"/>
          <w:sz w:val="32"/>
          <w:u w:color="auto"/>
        </w:rPr>
        <w:t>.</w:t>
      </w:r>
      <w:r>
        <w:rPr>
          <w:rFonts w:hint="eastAsia" w:ascii="仿宋" w:hAnsi="仿宋" w:eastAsia="仿宋" w:cs="仿宋"/>
          <w:sz w:val="32"/>
          <w:szCs w:val="32"/>
          <w:highlight w:val="none"/>
          <w:lang w:bidi="ar"/>
        </w:rPr>
        <w:t>其他支出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229</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15.46</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：职工</w:t>
      </w:r>
      <w:r>
        <w:rPr>
          <w:rFonts w:hint="eastAsia" w:ascii="仿宋" w:hAnsi="仿宋" w:eastAsia="仿宋" w:cs="仿宋"/>
          <w:color w:val="auto"/>
          <w:sz w:val="32"/>
          <w:szCs w:val="32"/>
          <w:highlight w:val="none"/>
          <w:lang w:val="en-US" w:eastAsia="zh-CN"/>
        </w:rPr>
        <w:t>奖励性补贴支出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减少6.30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下降28.95%</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有在职人员转退休，奖励性补贴支出减少。</w:t>
      </w:r>
    </w:p>
    <w:p>
      <w:pPr>
        <w:keepNext w:val="0"/>
        <w:keepLines w:val="0"/>
        <w:widowControl w:val="0"/>
        <w:suppressLineNumbers w:val="0"/>
        <w:spacing w:before="0" w:beforeAutospacing="0" w:after="0" w:afterAutospacing="0"/>
        <w:ind w:left="0" w:right="0" w:firstLine="620" w:firstLineChars="200"/>
        <w:jc w:val="left"/>
        <w:rPr>
          <w:rFonts w:hint="default" w:ascii="仿宋" w:hAnsi="仿宋" w:eastAsia="仿宋_GB2312" w:cs="仿宋"/>
          <w:color w:val="000000" w:themeColor="text1"/>
          <w:sz w:val="32"/>
          <w:szCs w:val="32"/>
          <w:highlight w:val="none"/>
          <w:lang w:val="en-US" w:eastAsia="zh-CN" w:bidi="ar"/>
          <w14:textFill>
            <w14:solidFill>
              <w14:schemeClr w14:val="tx1"/>
            </w14:solidFill>
          </w14:textFill>
        </w:rPr>
      </w:pP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万元，为事业单位按规定提取的专用结余、缴纳所得税和转入非财政拨款结余等。较202</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1</w:t>
      </w:r>
      <w:r>
        <w:rPr>
          <w:rFonts w:hint="default" w:ascii="仿宋_GB2312" w:hAnsi="微软雅黑" w:eastAsia="仿宋_GB2312" w:cs="仿宋_GB2312"/>
          <w:i w:val="0"/>
          <w:iCs w:val="0"/>
          <w:caps w:val="0"/>
          <w:color w:val="000000"/>
          <w:spacing w:val="0"/>
          <w:sz w:val="31"/>
          <w:szCs w:val="31"/>
          <w:highlight w:val="none"/>
          <w:shd w:val="clear" w:color="auto" w:fill="FFFFFF"/>
        </w:rPr>
        <w:t>年决算</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r>
        <w:rPr>
          <w:rFonts w:hint="eastAsia" w:ascii="仿宋_GB2312" w:hAnsi="微软雅黑" w:eastAsia="仿宋_GB2312" w:cs="仿宋_GB2312"/>
          <w:color w:val="000000"/>
          <w:sz w:val="31"/>
          <w:szCs w:val="31"/>
          <w:highlight w:val="none"/>
          <w:shd w:val="clear" w:color="auto" w:fill="FFFFFF"/>
        </w:rPr>
        <w:t>增加0.00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color w:val="000000"/>
          <w:sz w:val="31"/>
          <w:szCs w:val="31"/>
          <w:highlight w:val="none"/>
          <w:shd w:val="clear" w:color="auto" w:fill="FFFFFF"/>
        </w:rPr>
        <w:t>增长0%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主要原因是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：本单位无结余分配资金。</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sz w:val="32"/>
          <w:szCs w:val="32"/>
          <w:highlight w:val="none"/>
        </w:rPr>
        <w:t>年末结转和结余</w:t>
      </w:r>
      <w:r>
        <w:rPr>
          <w:rFonts w:ascii="仿宋" w:hAnsi="仿宋" w:eastAsia="仿宋" w:cs="仿宋"/>
          <w:sz w:val="32"/>
          <w:u w:color="auto"/>
        </w:rPr>
        <w:t>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为本年度或以前年度预算安排、因客观条件发生变化无法按原计划实施，需要延迟到以后年度按有关规定继续使用的资金</w:t>
      </w:r>
      <w:r>
        <w:rPr>
          <w:rFonts w:hint="eastAsia" w:ascii="仿宋" w:hAnsi="仿宋" w:eastAsia="仿宋" w:cs="仿宋"/>
          <w:sz w:val="32"/>
          <w:szCs w:val="32"/>
          <w:highlight w:val="none"/>
        </w:rPr>
        <w:t>。较2021年度决算数</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ascii="仿宋" w:hAnsi="仿宋" w:eastAsia="仿宋" w:cs="仿宋"/>
          <w:sz w:val="32"/>
          <w:u w:color="auto"/>
        </w:rPr>
        <w:t>增长0%</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主要原因是：本单位无年末结转和结余资金。</w:t>
      </w:r>
    </w:p>
    <w:p>
      <w:pPr>
        <w:ind w:firstLine="640" w:firstLineChars="200"/>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51350" cy="2689225"/>
            <wp:effectExtent l="4445" t="4445" r="20955" b="11430"/>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二、2022 年度</w:t>
      </w:r>
      <w:bookmarkStart w:id="2" w:name="OLE_LINK1"/>
      <w:r>
        <w:rPr>
          <w:rFonts w:hint="eastAsia" w:ascii="黑体" w:hAnsi="黑体" w:eastAsia="黑体" w:cs="黑体"/>
          <w:sz w:val="32"/>
          <w:szCs w:val="32"/>
          <w:highlight w:val="none"/>
        </w:rPr>
        <w:t>一般公共预算财政拨款支出决算情况</w:t>
      </w:r>
      <w:bookmarkEnd w:id="2"/>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环江毛南族自治县图书馆2022年度一般公共预算财政拨款支出</w:t>
      </w:r>
      <w:r>
        <w:rPr>
          <w:rFonts w:ascii="仿宋" w:hAnsi="仿宋" w:eastAsia="仿宋" w:cs="仿宋"/>
          <w:sz w:val="32"/>
          <w:u w:color="auto"/>
        </w:rPr>
        <w:t>135.63</w:t>
      </w:r>
      <w:r>
        <w:rPr>
          <w:rFonts w:hint="eastAsia" w:ascii="仿宋" w:hAnsi="仿宋" w:eastAsia="仿宋" w:cs="仿宋"/>
          <w:sz w:val="32"/>
          <w:szCs w:val="32"/>
          <w:highlight w:val="none"/>
        </w:rPr>
        <w:t>万元，较2021年度决算数</w:t>
      </w:r>
      <w:r>
        <w:rPr>
          <w:rFonts w:ascii="仿宋" w:hAnsi="仿宋" w:eastAsia="仿宋" w:cs="仿宋"/>
          <w:sz w:val="32"/>
          <w:u w:color="auto"/>
        </w:rPr>
        <w:t>增加0.69</w:t>
      </w:r>
      <w:r>
        <w:rPr>
          <w:rFonts w:hint="eastAsia" w:ascii="仿宋" w:hAnsi="仿宋" w:eastAsia="仿宋" w:cs="仿宋"/>
          <w:sz w:val="32"/>
          <w:szCs w:val="32"/>
          <w:highlight w:val="none"/>
        </w:rPr>
        <w:t>万元，</w:t>
      </w:r>
      <w:r>
        <w:rPr>
          <w:rFonts w:ascii="仿宋" w:hAnsi="仿宋" w:eastAsia="仿宋" w:cs="仿宋"/>
          <w:sz w:val="32"/>
          <w:u w:color="auto"/>
        </w:rPr>
        <w:t>增长0.51%</w:t>
      </w:r>
      <w:r>
        <w:rPr>
          <w:rFonts w:hint="eastAsia" w:ascii="仿宋" w:hAnsi="仿宋" w:eastAsia="仿宋" w:cs="仿宋"/>
          <w:sz w:val="32"/>
          <w:szCs w:val="32"/>
          <w:highlight w:val="none"/>
        </w:rPr>
        <w:t>。其中：基本支出</w:t>
      </w:r>
      <w:r>
        <w:rPr>
          <w:rFonts w:ascii="仿宋" w:hAnsi="仿宋" w:eastAsia="仿宋" w:cs="仿宋"/>
          <w:sz w:val="32"/>
          <w:u w:color="auto"/>
        </w:rPr>
        <w:t>85.40</w:t>
      </w:r>
      <w:r>
        <w:rPr>
          <w:rFonts w:hint="eastAsia" w:ascii="仿宋" w:hAnsi="仿宋" w:eastAsia="仿宋" w:cs="仿宋"/>
          <w:sz w:val="32"/>
          <w:szCs w:val="32"/>
          <w:highlight w:val="none"/>
        </w:rPr>
        <w:t>万元，项目支出</w:t>
      </w:r>
      <w:r>
        <w:rPr>
          <w:rFonts w:ascii="仿宋" w:hAnsi="仿宋" w:eastAsia="仿宋" w:cs="仿宋"/>
          <w:sz w:val="32"/>
          <w:u w:color="auto"/>
        </w:rPr>
        <w:t>50.23</w:t>
      </w:r>
      <w:r>
        <w:rPr>
          <w:rFonts w:hint="eastAsia" w:ascii="仿宋" w:hAnsi="仿宋" w:eastAsia="仿宋" w:cs="仿宋"/>
          <w:sz w:val="32"/>
          <w:szCs w:val="32"/>
          <w:highlight w:val="none"/>
        </w:rPr>
        <w:t>万元。</w:t>
      </w:r>
    </w:p>
    <w:p>
      <w:pPr>
        <w:ind w:firstLine="640" w:firstLineChars="200"/>
        <w:jc w:val="left"/>
        <w:rPr>
          <w:rFonts w:ascii="仿宋" w:hAnsi="仿宋" w:eastAsia="仿宋"/>
          <w:sz w:val="32"/>
          <w:szCs w:val="32"/>
          <w:highlight w:val="none"/>
        </w:rPr>
      </w:pPr>
      <w:r>
        <w:rPr>
          <w:rFonts w:hint="eastAsia" w:ascii="仿宋" w:hAnsi="仿宋" w:eastAsia="仿宋" w:cs="仿宋"/>
          <w:sz w:val="32"/>
          <w:szCs w:val="32"/>
          <w:highlight w:val="none"/>
        </w:rPr>
        <w:t>环江毛南族自治县图书馆2022 年度一般公共预算财政拨款支出年初预算为</w:t>
      </w:r>
      <w:r>
        <w:rPr>
          <w:rFonts w:ascii="仿宋" w:hAnsi="仿宋" w:eastAsia="仿宋" w:cs="仿宋"/>
          <w:sz w:val="32"/>
          <w:u w:color="auto"/>
        </w:rPr>
        <w:t>96.76</w:t>
      </w:r>
      <w:r>
        <w:rPr>
          <w:rFonts w:hint="eastAsia" w:ascii="仿宋" w:hAnsi="仿宋" w:eastAsia="仿宋" w:cs="仿宋"/>
          <w:sz w:val="32"/>
          <w:szCs w:val="32"/>
          <w:highlight w:val="none"/>
        </w:rPr>
        <w:t>万元，支出决算为</w:t>
      </w:r>
      <w:r>
        <w:rPr>
          <w:rFonts w:ascii="仿宋" w:hAnsi="仿宋" w:eastAsia="仿宋" w:cs="仿宋"/>
          <w:sz w:val="32"/>
          <w:u w:color="auto"/>
        </w:rPr>
        <w:t>135.63</w:t>
      </w:r>
      <w:r>
        <w:rPr>
          <w:rFonts w:hint="eastAsia" w:ascii="仿宋" w:hAnsi="仿宋" w:eastAsia="仿宋" w:cs="仿宋"/>
          <w:sz w:val="32"/>
          <w:szCs w:val="32"/>
          <w:highlight w:val="none"/>
        </w:rPr>
        <w:t>万元，完成年初预算的</w:t>
      </w:r>
      <w:r>
        <w:rPr>
          <w:rFonts w:ascii="仿宋" w:hAnsi="仿宋" w:eastAsia="仿宋" w:cs="仿宋"/>
          <w:sz w:val="32"/>
          <w:u w:color="auto"/>
        </w:rPr>
        <w:t>140.17%</w:t>
      </w:r>
      <w:r>
        <w:rPr>
          <w:rFonts w:hint="eastAsia" w:ascii="仿宋" w:hAnsi="仿宋" w:eastAsia="仿宋" w:cs="仿宋"/>
          <w:sz w:val="32"/>
          <w:szCs w:val="32"/>
          <w:highlight w:val="none"/>
        </w:rPr>
        <w:t>。</w:t>
      </w:r>
      <w:bookmarkStart w:id="3" w:name="OLE_LINK2"/>
      <w:bookmarkEnd w:id="3"/>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auto"/>
          <w:highlight w:val="none"/>
          <w:lang w:val="en-US" w:eastAsia="zh-CN"/>
        </w:rPr>
      </w:pPr>
      <w:r>
        <w:rPr>
          <w:rFonts w:hint="eastAsia" w:ascii="仿宋" w:hAnsi="仿宋" w:eastAsia="仿宋"/>
          <w:sz w:val="32"/>
          <w:szCs w:val="32"/>
          <w:highlight w:val="none"/>
        </w:rPr>
        <w:t>一般公共服务支出</w:t>
      </w:r>
      <w:r>
        <w:rPr>
          <w:rFonts w:ascii="仿宋" w:hAnsi="仿宋" w:eastAsia="仿宋"/>
          <w:sz w:val="32"/>
          <w:u w:color="auto"/>
        </w:rPr>
        <w:t>（201</w:t>
      </w:r>
      <w:r>
        <w:rPr>
          <w:rFonts w:hint="eastAsia" w:ascii="仿宋" w:hAnsi="仿宋" w:eastAsia="仿宋"/>
          <w:sz w:val="32"/>
          <w:szCs w:val="32"/>
          <w:highlight w:val="none"/>
        </w:rPr>
        <w:t>类）年初预算为</w:t>
      </w:r>
      <w:r>
        <w:rPr>
          <w:rFonts w:ascii="仿宋" w:hAnsi="仿宋" w:eastAsia="仿宋"/>
          <w:sz w:val="32"/>
          <w:szCs w:val="32"/>
          <w:highlight w:val="none"/>
        </w:rPr>
        <w:t>1.35</w:t>
      </w:r>
      <w:r>
        <w:rPr>
          <w:rFonts w:hint="eastAsia" w:ascii="仿宋" w:hAnsi="仿宋" w:eastAsia="仿宋"/>
          <w:sz w:val="32"/>
          <w:szCs w:val="32"/>
          <w:highlight w:val="none"/>
        </w:rPr>
        <w:t>万元，支出决算为</w:t>
      </w:r>
      <w:r>
        <w:rPr>
          <w:rFonts w:ascii="仿宋" w:hAnsi="仿宋" w:eastAsia="仿宋"/>
          <w:sz w:val="32"/>
          <w:szCs w:val="32"/>
          <w:highlight w:val="none"/>
        </w:rPr>
        <w:t>1.35</w:t>
      </w:r>
      <w:r>
        <w:rPr>
          <w:rFonts w:hint="eastAsia" w:ascii="仿宋" w:hAnsi="仿宋" w:eastAsia="仿宋"/>
          <w:sz w:val="32"/>
          <w:szCs w:val="32"/>
          <w:highlight w:val="none"/>
        </w:rPr>
        <w:t>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2022年预算无工会经费，决算时单位有工会经费的支出。</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1.35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1.35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单位工会费支出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2022年预算无工会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1.35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1.35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文化旅游体育与传媒支出</w:t>
      </w:r>
      <w:r>
        <w:rPr>
          <w:rFonts w:ascii="仿宋" w:hAnsi="仿宋" w:eastAsia="仿宋"/>
          <w:sz w:val="32"/>
          <w:u w:color="auto"/>
        </w:rPr>
        <w:t>（207</w:t>
      </w:r>
      <w:r>
        <w:rPr>
          <w:rFonts w:hint="eastAsia" w:ascii="仿宋" w:hAnsi="仿宋" w:eastAsia="仿宋"/>
          <w:sz w:val="32"/>
          <w:szCs w:val="32"/>
          <w:highlight w:val="none"/>
        </w:rPr>
        <w:t>类）年初预算为</w:t>
      </w:r>
      <w:r>
        <w:rPr>
          <w:rFonts w:ascii="仿宋" w:hAnsi="仿宋" w:eastAsia="仿宋"/>
          <w:sz w:val="32"/>
          <w:szCs w:val="32"/>
          <w:highlight w:val="none"/>
        </w:rPr>
        <w:t>76.46</w:t>
      </w:r>
      <w:r>
        <w:rPr>
          <w:rFonts w:hint="eastAsia" w:ascii="仿宋" w:hAnsi="仿宋" w:eastAsia="仿宋"/>
          <w:sz w:val="32"/>
          <w:szCs w:val="32"/>
          <w:highlight w:val="none"/>
        </w:rPr>
        <w:t>万元，支出决算为</w:t>
      </w:r>
      <w:r>
        <w:rPr>
          <w:rFonts w:ascii="仿宋" w:hAnsi="仿宋" w:eastAsia="仿宋"/>
          <w:sz w:val="32"/>
          <w:szCs w:val="32"/>
          <w:highlight w:val="none"/>
        </w:rPr>
        <w:t>100.31</w:t>
      </w:r>
      <w:r>
        <w:rPr>
          <w:rFonts w:hint="eastAsia" w:ascii="仿宋" w:hAnsi="仿宋" w:eastAsia="仿宋"/>
          <w:sz w:val="32"/>
          <w:szCs w:val="32"/>
          <w:highlight w:val="none"/>
        </w:rPr>
        <w:t>万元，完成年初预算的</w:t>
      </w:r>
      <w:r>
        <w:rPr>
          <w:rFonts w:ascii="仿宋" w:hAnsi="仿宋" w:eastAsia="仿宋"/>
          <w:sz w:val="32"/>
          <w:szCs w:val="32"/>
          <w:highlight w:val="none"/>
        </w:rPr>
        <w:t>131.19%</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免费开放经费为上级经费，不在年初预算内，故预决算出现差异。</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2070104</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图书馆</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76.46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74.52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97.46%</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单位运行、文化惠民活动费支出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部分项目未支付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2070199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其他文化和旅游支出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25.79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场馆免费开放支出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年初预算无免费开放资金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76.46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100.31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2082165"/>
            <wp:effectExtent l="5080" t="4445" r="15875" b="8890"/>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000000" w:themeColor="text1"/>
          <w:highlight w:val="none"/>
          <w:lang w:val="en-US" w:eastAsia="zh-CN"/>
          <w14:textFill>
            <w14:solidFill>
              <w14:schemeClr w14:val="tx1"/>
            </w14:solidFill>
          </w14:textFill>
        </w:rPr>
      </w:pP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ascii="仿宋" w:hAnsi="仿宋" w:eastAsia="仿宋"/>
          <w:sz w:val="32"/>
          <w:szCs w:val="32"/>
          <w:highlight w:val="none"/>
        </w:rPr>
        <w:t>10.83</w:t>
      </w:r>
      <w:r>
        <w:rPr>
          <w:rFonts w:hint="eastAsia" w:ascii="仿宋" w:hAnsi="仿宋" w:eastAsia="仿宋"/>
          <w:sz w:val="32"/>
          <w:szCs w:val="32"/>
          <w:highlight w:val="none"/>
        </w:rPr>
        <w:t>万元，支出决算为</w:t>
      </w:r>
      <w:r>
        <w:rPr>
          <w:rFonts w:ascii="仿宋" w:hAnsi="仿宋" w:eastAsia="仿宋"/>
          <w:sz w:val="32"/>
          <w:szCs w:val="32"/>
          <w:highlight w:val="none"/>
        </w:rPr>
        <w:t>10.47</w:t>
      </w:r>
      <w:r>
        <w:rPr>
          <w:rFonts w:hint="eastAsia" w:ascii="仿宋" w:hAnsi="仿宋" w:eastAsia="仿宋"/>
          <w:sz w:val="32"/>
          <w:szCs w:val="32"/>
          <w:highlight w:val="none"/>
        </w:rPr>
        <w:t>万元，完成年初预算的</w:t>
      </w:r>
      <w:r>
        <w:rPr>
          <w:rFonts w:ascii="仿宋" w:hAnsi="仿宋" w:eastAsia="仿宋"/>
          <w:sz w:val="32"/>
          <w:szCs w:val="32"/>
          <w:highlight w:val="none"/>
        </w:rPr>
        <w:t>96.68%</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有在职人员退休，养老保险支出减少。</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10.83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10.47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96.68%</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职工养老保险缴费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 w:val="18"/>
                <w:szCs w:val="18"/>
                <w:highlight w:val="none"/>
                <w:lang w:val="en-US" w:eastAsia="zh-CN"/>
                <w14:textFill>
                  <w14:solidFill>
                    <w14:schemeClr w14:val="tx1"/>
                  </w14:solidFill>
                </w14:textFill>
              </w:rPr>
              <w:t>在职人员退休，养老保险支出减少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10.83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10.47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2844800"/>
            <wp:effectExtent l="4445" t="4445" r="16510" b="8255"/>
            <wp:docPr id="10"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w:t>
      </w:r>
      <w:r>
        <w:rPr>
          <w:rFonts w:ascii="仿宋" w:hAnsi="仿宋" w:eastAsia="仿宋"/>
          <w:sz w:val="32"/>
          <w:szCs w:val="32"/>
          <w:highlight w:val="none"/>
        </w:rPr>
        <w:t>8.12</w:t>
      </w:r>
      <w:r>
        <w:rPr>
          <w:rFonts w:hint="eastAsia" w:ascii="仿宋" w:hAnsi="仿宋" w:eastAsia="仿宋"/>
          <w:sz w:val="32"/>
          <w:szCs w:val="32"/>
          <w:highlight w:val="none"/>
        </w:rPr>
        <w:t>万元，支出决算为</w:t>
      </w:r>
      <w:r>
        <w:rPr>
          <w:rFonts w:ascii="仿宋" w:hAnsi="仿宋" w:eastAsia="仿宋"/>
          <w:sz w:val="32"/>
          <w:szCs w:val="32"/>
          <w:highlight w:val="none"/>
        </w:rPr>
        <w:t>8.04</w:t>
      </w:r>
      <w:r>
        <w:rPr>
          <w:rFonts w:hint="eastAsia" w:ascii="仿宋" w:hAnsi="仿宋" w:eastAsia="仿宋"/>
          <w:sz w:val="32"/>
          <w:szCs w:val="32"/>
          <w:highlight w:val="none"/>
        </w:rPr>
        <w:t>万元，完成年初预算的</w:t>
      </w:r>
      <w:r>
        <w:rPr>
          <w:rFonts w:ascii="仿宋" w:hAnsi="仿宋" w:eastAsia="仿宋"/>
          <w:sz w:val="32"/>
          <w:szCs w:val="32"/>
          <w:highlight w:val="none"/>
        </w:rPr>
        <w:t>99.01%</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有在职人员退休，住房公积金支出减少。</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8.12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8.04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99.01%</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职工住房公积金缴费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有在职人员退休，住房公积金支出减少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8.12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8.04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其他支出</w:t>
      </w:r>
      <w:r>
        <w:rPr>
          <w:rFonts w:ascii="仿宋" w:hAnsi="仿宋" w:eastAsia="仿宋"/>
          <w:sz w:val="32"/>
          <w:u w:color="auto"/>
        </w:rPr>
        <w:t>（229</w:t>
      </w:r>
      <w:r>
        <w:rPr>
          <w:rFonts w:hint="eastAsia" w:ascii="仿宋" w:hAnsi="仿宋" w:eastAsia="仿宋"/>
          <w:sz w:val="32"/>
          <w:szCs w:val="32"/>
          <w:highlight w:val="none"/>
        </w:rPr>
        <w:t>类）年初预算为</w:t>
      </w:r>
      <w:r>
        <w:rPr>
          <w:rFonts w:ascii="仿宋" w:hAnsi="仿宋" w:eastAsia="仿宋"/>
          <w:sz w:val="32"/>
          <w:szCs w:val="32"/>
          <w:highlight w:val="none"/>
        </w:rPr>
        <w:t>0.00</w:t>
      </w:r>
      <w:r>
        <w:rPr>
          <w:rFonts w:hint="eastAsia" w:ascii="仿宋" w:hAnsi="仿宋" w:eastAsia="仿宋"/>
          <w:sz w:val="32"/>
          <w:szCs w:val="32"/>
          <w:highlight w:val="none"/>
        </w:rPr>
        <w:t>万元，支出决算为</w:t>
      </w:r>
      <w:r>
        <w:rPr>
          <w:rFonts w:ascii="仿宋" w:hAnsi="仿宋" w:eastAsia="仿宋"/>
          <w:sz w:val="32"/>
          <w:szCs w:val="32"/>
          <w:highlight w:val="none"/>
        </w:rPr>
        <w:t>15.46</w:t>
      </w:r>
      <w:r>
        <w:rPr>
          <w:rFonts w:hint="eastAsia" w:ascii="仿宋" w:hAnsi="仿宋" w:eastAsia="仿宋"/>
          <w:sz w:val="32"/>
          <w:szCs w:val="32"/>
          <w:highlight w:val="none"/>
        </w:rPr>
        <w:t>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原因是：其他支出为奖励性补贴，年初预算时无预算</w:t>
      </w:r>
      <w:r>
        <w:rPr>
          <w:rFonts w:hint="eastAsia" w:ascii="仿宋" w:hAnsi="仿宋" w:eastAsia="仿宋" w:cs="仿宋"/>
          <w:color w:val="auto"/>
          <w:kern w:val="2"/>
          <w:sz w:val="32"/>
          <w:szCs w:val="32"/>
          <w:highlight w:val="none"/>
          <w:lang w:val="en-US" w:eastAsia="zh-CN" w:bidi="ar"/>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15.46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奖励性补贴支出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年初预算无此项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15.46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三、2022年度一般公共预算财政拨款基本支出决算情况说明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环江毛南族自治县图书馆2022年度一般公共预算财政拨款基本支出</w:t>
      </w:r>
      <w:r>
        <w:rPr>
          <w:rFonts w:ascii="仿宋" w:hAnsi="仿宋" w:eastAsia="仿宋" w:cs="仿宋"/>
          <w:sz w:val="32"/>
          <w:u w:color="auto"/>
        </w:rPr>
        <w:t>85.40</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rPr>
        <w:t>81.75</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rPr>
        <w:t>3.65</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sz w:val="32"/>
          <w:szCs w:val="32"/>
          <w:highlight w:val="none"/>
        </w:rPr>
        <w:t>工资福利支出</w:t>
      </w:r>
      <w:r>
        <w:rPr>
          <w:rFonts w:ascii="仿宋" w:hAnsi="仿宋" w:eastAsia="仿宋" w:cs="仿宋"/>
          <w:sz w:val="32"/>
          <w:u w:color="auto"/>
        </w:rPr>
        <w:t>78.95万元，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101.86%</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主要原因是：职工工资福利增加。</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31.03万元，30102津贴补贴1.77万元，30103奖金7.56万元，30106伙食补助费1.40万元，30107绩效工资13.93万元，30108机关事业单位基本养老保险缴费10.47万元，30110职工基本医疗保险缴费4.43万元，30112其他社会保障缴费0.32万元，30113住房公积金8.04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921000"/>
            <wp:effectExtent l="4445" t="4445" r="16510" b="825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商品和服务支出</w:t>
      </w:r>
      <w:r>
        <w:rPr>
          <w:rFonts w:ascii="仿宋" w:hAnsi="仿宋" w:eastAsia="仿宋" w:cs="仿宋"/>
          <w:sz w:val="32"/>
          <w:u w:color="auto"/>
        </w:rPr>
        <w:t>3.65万元，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91.71%</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部分项目未能支付。</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30205水费0.10万元，30206电费0.39万元，30211差旅费1.16万元，30228工会经费1.35万元，30231公务用车运行维护费0.62万元，30299其他商品和服务支出0.03万元。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968625"/>
            <wp:effectExtent l="4445" t="4445" r="16510" b="17780"/>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sz w:val="32"/>
          <w:szCs w:val="32"/>
          <w:highlight w:val="none"/>
        </w:rPr>
        <w:t>对个人和家庭的补助</w:t>
      </w:r>
      <w:r>
        <w:rPr>
          <w:rFonts w:ascii="仿宋" w:hAnsi="仿宋" w:eastAsia="仿宋" w:cs="仿宋"/>
          <w:sz w:val="32"/>
          <w:u w:color="auto"/>
        </w:rPr>
        <w:t>2.79万元，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101.45%</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主要原因是：遗嘱补助发放标准提高。</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30305生活补助2.79万元。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958465"/>
            <wp:effectExtent l="4445" t="4445" r="16510" b="8890"/>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主要原因是：本单位无</w:t>
      </w:r>
      <w:r>
        <w:rPr>
          <w:rFonts w:hint="eastAsia" w:ascii="仿宋" w:hAnsi="仿宋" w:eastAsia="仿宋" w:cs="仿宋"/>
          <w:sz w:val="32"/>
          <w:szCs w:val="32"/>
          <w:highlight w:val="none"/>
        </w:rPr>
        <w:t>债务利息及费用支出</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资本性支出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主要原因是：本单位无</w:t>
      </w:r>
      <w:r>
        <w:rPr>
          <w:rFonts w:hint="eastAsia" w:ascii="仿宋" w:hAnsi="仿宋" w:eastAsia="仿宋" w:cs="仿宋"/>
          <w:sz w:val="32"/>
          <w:szCs w:val="32"/>
          <w:highlight w:val="none"/>
        </w:rPr>
        <w:t>资本性支出</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740025"/>
            <wp:effectExtent l="4445" t="4445" r="16510" b="17780"/>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主要原因是：本单位无</w:t>
      </w:r>
      <w:r>
        <w:rPr>
          <w:rFonts w:hint="eastAsia" w:ascii="仿宋" w:hAnsi="仿宋" w:eastAsia="仿宋" w:cs="仿宋"/>
          <w:sz w:val="32"/>
          <w:szCs w:val="32"/>
          <w:highlight w:val="none"/>
        </w:rPr>
        <w:t>其他支出</w:t>
      </w:r>
      <w:r>
        <w:rPr>
          <w:rFonts w:hint="eastAsia" w:ascii="仿宋" w:hAnsi="仿宋" w:eastAsia="仿宋" w:cs="仿宋"/>
          <w:sz w:val="32"/>
          <w:szCs w:val="32"/>
          <w:highlight w:val="none"/>
          <w:lang w:eastAsia="zh-CN"/>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jc w:val="left"/>
        <w:rPr>
          <w:rFonts w:ascii="仿宋" w:hAnsi="仿宋" w:eastAsia="仿宋" w:cs="仿宋"/>
          <w:sz w:val="32"/>
          <w:szCs w:val="32"/>
          <w:highlight w:val="none"/>
        </w:rPr>
      </w:pPr>
    </w:p>
    <w:p>
      <w:pPr>
        <w:jc w:val="left"/>
        <w:rPr>
          <w:rFonts w:ascii="黑体" w:hAnsi="黑体" w:eastAsia="黑体" w:cs="黑体"/>
          <w:sz w:val="32"/>
          <w:szCs w:val="32"/>
          <w:highlight w:val="none"/>
        </w:rPr>
      </w:pPr>
      <w:r>
        <w:rPr>
          <w:rFonts w:hint="eastAsia" w:ascii="黑体" w:hAnsi="黑体" w:eastAsia="黑体" w:cs="黑体"/>
          <w:sz w:val="32"/>
          <w:szCs w:val="32"/>
          <w:highlight w:val="none"/>
        </w:rPr>
        <w:t>四、2022年度政府性基金支出决算情况</w:t>
      </w:r>
    </w:p>
    <w:p>
      <w:pPr>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环江毛南族自治县图书馆</w:t>
      </w:r>
      <w:r>
        <w:rPr>
          <w:rFonts w:ascii="仿宋_GB2312" w:hAnsi="仿宋_GB2312" w:eastAsia="仿宋_GB2312" w:cs="仿宋_GB2312"/>
          <w:color w:val="000000" w:themeColor="text1"/>
          <w:sz w:val="32"/>
          <w:u w:color="auto"/>
          <w14:textFill>
            <w14:solidFill>
              <w14:schemeClr w14:val="tx1"/>
            </w14:solidFill>
          </w14:textFill>
        </w:rPr>
        <w:t>没有政府性基金收入，也没有政府性基金收入安排的支出</w:t>
      </w:r>
      <w:r>
        <w:rPr>
          <w:rFonts w:hint="eastAsia" w:ascii="仿宋_GB2312" w:hAnsi="Times New Roman" w:eastAsia="仿宋_GB2312" w:cs="Times New Roman"/>
          <w:color w:val="000000" w:themeColor="text1"/>
          <w:sz w:val="32"/>
          <w:szCs w:val="32"/>
          <w:lang w:eastAsia="zh-CN"/>
          <w14:textFill>
            <w14:solidFill>
              <w14:schemeClr w14:val="tx1"/>
            </w14:solidFill>
          </w14:textFill>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五、2022年度国有资本经营预算支出决算情况</w:t>
      </w:r>
    </w:p>
    <w:p>
      <w:pPr>
        <w:ind w:firstLine="640" w:firstLineChars="200"/>
        <w:jc w:val="left"/>
        <w:rPr>
          <w:rFonts w:hint="eastAsia" w:ascii="仿宋" w:hAnsi="仿宋" w:eastAsia="仿宋" w:cs="仿宋"/>
          <w:sz w:val="32"/>
          <w:szCs w:val="32"/>
          <w:highlight w:val="none"/>
        </w:rPr>
      </w:pPr>
      <w:bookmarkStart w:id="4" w:name="PO_part3A5B1C1DiffReason1"/>
      <w:r>
        <w:rPr>
          <w:rFonts w:hint="eastAsia" w:ascii="仿宋_GB2312" w:hAnsi="Times New Roman" w:eastAsia="仿宋_GB2312" w:cs="Times New Roman"/>
          <w:color w:val="000000" w:themeColor="text1"/>
          <w:sz w:val="32"/>
          <w:szCs w:val="32"/>
          <w14:textFill>
            <w14:solidFill>
              <w14:schemeClr w14:val="tx1"/>
            </w14:solidFill>
          </w14:textFill>
        </w:rPr>
        <w:t>环江毛南族自治县图书馆</w:t>
      </w:r>
      <w:r>
        <w:rPr>
          <w:rFonts w:ascii="仿宋_GB2312" w:hAnsi="仿宋_GB2312" w:eastAsia="仿宋_GB2312" w:cs="仿宋_GB2312"/>
          <w:color w:val="000000" w:themeColor="text1"/>
          <w:sz w:val="32"/>
          <w:u w:color="auto"/>
          <w14:textFill>
            <w14:solidFill>
              <w14:schemeClr w14:val="tx1"/>
            </w14:solidFill>
          </w14:textFill>
        </w:rPr>
        <w:t>没有国有资本经营预算收入，也没有国有资本经营预算收入</w:t>
      </w:r>
      <w:r>
        <w:rPr>
          <w:rFonts w:hint="eastAsia" w:ascii="仿宋_GB2312" w:hAnsi="Times New Roman" w:eastAsia="仿宋_GB2312" w:cs="Times New Roman"/>
          <w:color w:val="000000" w:themeColor="text1"/>
          <w:sz w:val="32"/>
          <w:szCs w:val="32"/>
          <w14:textFill>
            <w14:solidFill>
              <w14:schemeClr w14:val="tx1"/>
            </w14:solidFill>
          </w14:textFill>
        </w:rPr>
        <w:t>安排的支出。</w:t>
      </w:r>
      <w:bookmarkEnd w:id="4"/>
    </w:p>
    <w:p>
      <w:pPr>
        <w:jc w:val="left"/>
        <w:rPr>
          <w:rFonts w:ascii="仿宋" w:hAnsi="仿宋" w:eastAsia="仿宋" w:cs="仿宋"/>
          <w:sz w:val="32"/>
          <w:szCs w:val="32"/>
          <w:highlight w:val="none"/>
        </w:rPr>
      </w:pPr>
      <w:r>
        <w:rPr>
          <w:rFonts w:hint="eastAsia" w:ascii="黑体" w:hAnsi="黑体" w:eastAsia="黑体" w:cs="黑体"/>
          <w:sz w:val="32"/>
          <w:szCs w:val="32"/>
          <w:highlight w:val="none"/>
        </w:rPr>
        <w:t>六、财政拨款“三公”经费支出决算情况说明</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2022年预算财政拨款安排的“三公”经费支出</w:t>
      </w:r>
      <w:r>
        <w:rPr>
          <w:rFonts w:ascii="仿宋" w:hAnsi="仿宋" w:eastAsia="仿宋" w:cs="仿宋"/>
          <w:sz w:val="32"/>
          <w:szCs w:val="32"/>
          <w:highlight w:val="none"/>
        </w:rPr>
        <w:t>0.62</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65.26%</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增加0.51</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主要原因是：公务用车的维修及保险的支出。</w:t>
      </w:r>
      <w:r>
        <w:rPr>
          <w:rFonts w:hint="eastAsia" w:ascii="仿宋" w:hAnsi="仿宋" w:eastAsia="仿宋" w:cs="仿宋"/>
          <w:color w:val="000000" w:themeColor="text1"/>
          <w:sz w:val="32"/>
          <w:szCs w:val="32"/>
          <w:highlight w:val="none"/>
          <w14:textFill>
            <w14:solidFill>
              <w14:schemeClr w14:val="tx1"/>
            </w14:solidFill>
          </w14:textFill>
        </w:rPr>
        <w:t>其中：因公出国（境）费支出决算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万元，公务用车购置及运行费支出决算</w:t>
      </w:r>
      <w:r>
        <w:rPr>
          <w:rFonts w:ascii="仿宋" w:hAnsi="仿宋" w:eastAsia="仿宋" w:cs="仿宋"/>
          <w:sz w:val="32"/>
          <w:szCs w:val="32"/>
          <w:highlight w:val="none"/>
        </w:rPr>
        <w:t>0.62</w:t>
      </w:r>
      <w:r>
        <w:rPr>
          <w:rFonts w:hint="eastAsia" w:ascii="仿宋" w:hAnsi="仿宋" w:eastAsia="仿宋" w:cs="仿宋"/>
          <w:sz w:val="32"/>
          <w:szCs w:val="32"/>
          <w:highlight w:val="none"/>
        </w:rPr>
        <w:t>万元，公务接待费支出决算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具体情况如下：</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（一）因公出国（境）费支出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 xml:space="preserve"> 万元。</w:t>
      </w:r>
      <w:r>
        <w:rPr>
          <w:rFonts w:hint="eastAsia" w:ascii="仿宋" w:hAnsi="仿宋" w:eastAsia="仿宋" w:cs="仿宋"/>
          <w:color w:val="000000" w:themeColor="text1"/>
          <w:sz w:val="32"/>
          <w:szCs w:val="32"/>
          <w:highlight w:val="none"/>
          <w:lang w:val="en-US" w:eastAsia="zh-CN"/>
          <w14:textFill>
            <w14:solidFill>
              <w14:schemeClr w14:val="tx1"/>
            </w14:solidFill>
          </w14:textFill>
        </w:rPr>
        <w:t>原因是：</w:t>
      </w:r>
      <w:r>
        <w:rPr>
          <w:rFonts w:hint="eastAsia" w:ascii="仿宋_GB2312" w:hAnsi="Times New Roman" w:eastAsia="仿宋_GB2312" w:cs="Times New Roman"/>
          <w:color w:val="000000" w:themeColor="text1"/>
          <w:sz w:val="32"/>
          <w:szCs w:val="32"/>
          <w14:textFill>
            <w14:solidFill>
              <w14:schemeClr w14:val="tx1"/>
            </w14:solidFill>
          </w14:textFill>
        </w:rPr>
        <w:t>全年使用财政拨款安排</w:t>
      </w:r>
      <w:r>
        <w:rPr>
          <w:rFonts w:hint="eastAsia" w:ascii="仿宋_GB2312" w:hAnsi="Times New Roman" w:eastAsia="仿宋_GB2312" w:cs="Times New Roman"/>
          <w:color w:val="000000" w:themeColor="text1"/>
          <w:sz w:val="32"/>
          <w:szCs w:val="32"/>
          <w:u w:val="single"/>
          <w14:textFill>
            <w14:solidFill>
              <w14:schemeClr w14:val="tx1"/>
            </w14:solidFill>
          </w14:textFill>
        </w:rPr>
        <w:t xml:space="preserve">  </w:t>
      </w:r>
      <w:r>
        <w:rPr>
          <w:rFonts w:hint="eastAsia" w:ascii="仿宋_GB2312" w:hAnsi="Times New Roman" w:eastAsia="仿宋_GB2312" w:cs="Times New Roman"/>
          <w:color w:val="000000" w:themeColor="text1"/>
          <w:sz w:val="32"/>
          <w:szCs w:val="32"/>
          <w:u w:val="single"/>
          <w:lang w:val="en-US" w:eastAsia="zh-CN"/>
          <w14:textFill>
            <w14:solidFill>
              <w14:schemeClr w14:val="tx1"/>
            </w14:solidFill>
          </w14:textFill>
        </w:rPr>
        <w:t>0</w:t>
      </w:r>
      <w:r>
        <w:rPr>
          <w:rFonts w:hint="eastAsia" w:ascii="仿宋_GB2312" w:hAnsi="Times New Roman" w:eastAsia="仿宋_GB2312" w:cs="Times New Roman"/>
          <w:color w:val="000000" w:themeColor="text1"/>
          <w:sz w:val="32"/>
          <w:szCs w:val="32"/>
          <w:u w:val="single"/>
          <w14:textFill>
            <w14:solidFill>
              <w14:schemeClr w14:val="tx1"/>
            </w14:solidFill>
          </w14:textFill>
        </w:rPr>
        <w:t xml:space="preserve"> </w:t>
      </w:r>
      <w:r>
        <w:rPr>
          <w:rFonts w:hint="eastAsia" w:ascii="仿宋_GB2312" w:hAnsi="Times New Roman" w:eastAsia="仿宋_GB2312" w:cs="Times New Roman"/>
          <w:color w:val="000000" w:themeColor="text1"/>
          <w:sz w:val="32"/>
          <w:szCs w:val="32"/>
          <w14:textFill>
            <w14:solidFill>
              <w14:schemeClr w14:val="tx1"/>
            </w14:solidFill>
          </w14:textFill>
        </w:rPr>
        <w:t>（局、办、镇）机关、</w:t>
      </w:r>
      <w:r>
        <w:rPr>
          <w:rFonts w:hint="eastAsia" w:ascii="仿宋_GB2312" w:hAnsi="Times New Roman" w:eastAsia="仿宋_GB2312" w:cs="Times New Roman"/>
          <w:color w:val="000000" w:themeColor="text1"/>
          <w:sz w:val="32"/>
          <w:szCs w:val="32"/>
          <w:u w:val="single"/>
          <w14:textFill>
            <w14:solidFill>
              <w14:schemeClr w14:val="tx1"/>
            </w14:solidFill>
          </w14:textFill>
        </w:rPr>
        <w:t xml:space="preserve"> </w:t>
      </w:r>
      <w:r>
        <w:rPr>
          <w:rFonts w:hint="eastAsia" w:ascii="仿宋_GB2312" w:hAnsi="Times New Roman" w:eastAsia="仿宋_GB2312" w:cs="Times New Roman"/>
          <w:color w:val="000000" w:themeColor="text1"/>
          <w:sz w:val="32"/>
          <w:szCs w:val="32"/>
          <w:u w:val="single"/>
          <w:lang w:val="en-US" w:eastAsia="zh-CN"/>
          <w14:textFill>
            <w14:solidFill>
              <w14:schemeClr w14:val="tx1"/>
            </w14:solidFill>
          </w14:textFill>
        </w:rPr>
        <w:t>0</w:t>
      </w:r>
      <w:r>
        <w:rPr>
          <w:rFonts w:hint="eastAsia" w:ascii="仿宋_GB2312" w:hAnsi="Times New Roman" w:eastAsia="仿宋_GB2312" w:cs="Times New Roman"/>
          <w:color w:val="000000" w:themeColor="text1"/>
          <w:sz w:val="32"/>
          <w:szCs w:val="32"/>
          <w:u w:val="single"/>
          <w14:textFill>
            <w14:solidFill>
              <w14:schemeClr w14:val="tx1"/>
            </w14:solidFill>
          </w14:textFill>
        </w:rPr>
        <w:t xml:space="preserve"> </w:t>
      </w:r>
      <w:r>
        <w:rPr>
          <w:rFonts w:hint="eastAsia" w:ascii="仿宋_GB2312" w:hAnsi="Times New Roman" w:eastAsia="仿宋_GB2312" w:cs="Times New Roman"/>
          <w:color w:val="000000" w:themeColor="text1"/>
          <w:sz w:val="32"/>
          <w:szCs w:val="32"/>
          <w14:textFill>
            <w14:solidFill>
              <w14:schemeClr w14:val="tx1"/>
            </w14:solidFill>
          </w14:textFill>
        </w:rPr>
        <w:t>个所属单位出国团组</w:t>
      </w:r>
      <w:r>
        <w:rPr>
          <w:rFonts w:hint="eastAsia" w:ascii="仿宋_GB2312" w:hAnsi="Times New Roman" w:eastAsia="仿宋_GB2312" w:cs="Times New Roman"/>
          <w:color w:val="000000" w:themeColor="text1"/>
          <w:sz w:val="32"/>
          <w:szCs w:val="32"/>
          <w:u w:val="single"/>
          <w14:textFill>
            <w14:solidFill>
              <w14:schemeClr w14:val="tx1"/>
            </w14:solidFill>
          </w14:textFill>
        </w:rPr>
        <w:t xml:space="preserve"> </w:t>
      </w:r>
      <w:r>
        <w:rPr>
          <w:rFonts w:hint="eastAsia" w:ascii="仿宋_GB2312" w:hAnsi="Times New Roman" w:eastAsia="仿宋_GB2312" w:cs="Times New Roman"/>
          <w:color w:val="000000" w:themeColor="text1"/>
          <w:sz w:val="32"/>
          <w:szCs w:val="32"/>
          <w:u w:val="single"/>
          <w:lang w:val="en-US" w:eastAsia="zh-CN"/>
          <w14:textFill>
            <w14:solidFill>
              <w14:schemeClr w14:val="tx1"/>
            </w14:solidFill>
          </w14:textFill>
        </w:rPr>
        <w:t>0</w:t>
      </w:r>
      <w:r>
        <w:rPr>
          <w:rFonts w:hint="eastAsia" w:ascii="仿宋_GB2312" w:hAnsi="Times New Roman" w:eastAsia="仿宋_GB2312" w:cs="Times New Roman"/>
          <w:color w:val="000000" w:themeColor="text1"/>
          <w:sz w:val="32"/>
          <w:szCs w:val="32"/>
          <w:u w:val="single"/>
          <w14:textFill>
            <w14:solidFill>
              <w14:schemeClr w14:val="tx1"/>
            </w14:solidFill>
          </w14:textFill>
        </w:rPr>
        <w:t xml:space="preserve"> </w:t>
      </w:r>
      <w:r>
        <w:rPr>
          <w:rFonts w:hint="eastAsia" w:ascii="仿宋_GB2312" w:hAnsi="Times New Roman" w:eastAsia="仿宋_GB2312" w:cs="Times New Roman"/>
          <w:color w:val="000000" w:themeColor="text1"/>
          <w:sz w:val="32"/>
          <w:szCs w:val="32"/>
          <w14:textFill>
            <w14:solidFill>
              <w14:schemeClr w14:val="tx1"/>
            </w14:solidFill>
          </w14:textFill>
        </w:rPr>
        <w:t>个，参加其他单位组织的出国团组</w:t>
      </w:r>
      <w:r>
        <w:rPr>
          <w:rFonts w:hint="eastAsia" w:ascii="仿宋_GB2312" w:hAnsi="Times New Roman" w:eastAsia="仿宋_GB2312" w:cs="Times New Roman"/>
          <w:color w:val="000000" w:themeColor="text1"/>
          <w:sz w:val="32"/>
          <w:szCs w:val="32"/>
          <w:u w:val="single"/>
          <w14:textFill>
            <w14:solidFill>
              <w14:schemeClr w14:val="tx1"/>
            </w14:solidFill>
          </w14:textFill>
        </w:rPr>
        <w:t xml:space="preserve"> </w:t>
      </w:r>
      <w:r>
        <w:rPr>
          <w:rFonts w:hint="eastAsia" w:ascii="仿宋_GB2312" w:hAnsi="Times New Roman" w:eastAsia="仿宋_GB2312" w:cs="Times New Roman"/>
          <w:color w:val="000000" w:themeColor="text1"/>
          <w:sz w:val="32"/>
          <w:szCs w:val="32"/>
          <w:u w:val="single"/>
          <w:lang w:val="en-US" w:eastAsia="zh-CN"/>
          <w14:textFill>
            <w14:solidFill>
              <w14:schemeClr w14:val="tx1"/>
            </w14:solidFill>
          </w14:textFill>
        </w:rPr>
        <w:t>0</w:t>
      </w:r>
      <w:r>
        <w:rPr>
          <w:rFonts w:hint="eastAsia" w:ascii="仿宋_GB2312" w:hAnsi="Times New Roman" w:eastAsia="仿宋_GB2312" w:cs="Times New Roman"/>
          <w:color w:val="000000" w:themeColor="text1"/>
          <w:sz w:val="32"/>
          <w:szCs w:val="32"/>
          <w:u w:val="single"/>
          <w14:textFill>
            <w14:solidFill>
              <w14:schemeClr w14:val="tx1"/>
            </w14:solidFill>
          </w14:textFill>
        </w:rPr>
        <w:t xml:space="preserve"> </w:t>
      </w:r>
      <w:r>
        <w:rPr>
          <w:rFonts w:hint="eastAsia" w:ascii="仿宋_GB2312" w:hAnsi="Times New Roman" w:eastAsia="仿宋_GB2312" w:cs="Times New Roman"/>
          <w:color w:val="000000" w:themeColor="text1"/>
          <w:sz w:val="32"/>
          <w:szCs w:val="32"/>
          <w14:textFill>
            <w14:solidFill>
              <w14:schemeClr w14:val="tx1"/>
            </w14:solidFill>
          </w14:textFill>
        </w:rPr>
        <w:t>个</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sz w:val="32"/>
          <w:szCs w:val="32"/>
          <w:highlight w:val="none"/>
        </w:rPr>
        <w:t>全年因公出国（境）团组共计</w:t>
      </w:r>
      <w:r>
        <w:rPr>
          <w:rFonts w:ascii="仿宋" w:hAnsi="仿宋" w:eastAsia="仿宋" w:cs="仿宋"/>
          <w:sz w:val="32"/>
          <w:szCs w:val="32"/>
          <w:highlight w:val="none"/>
        </w:rPr>
        <w:t>0</w:t>
      </w:r>
      <w:r>
        <w:rPr>
          <w:rFonts w:hint="eastAsia" w:ascii="仿宋" w:hAnsi="仿宋" w:eastAsia="仿宋" w:cs="仿宋"/>
          <w:sz w:val="32"/>
          <w:szCs w:val="32"/>
          <w:highlight w:val="none"/>
        </w:rPr>
        <w:t>个，累计</w:t>
      </w:r>
      <w:r>
        <w:rPr>
          <w:rFonts w:ascii="仿宋" w:hAnsi="仿宋" w:eastAsia="仿宋" w:cs="仿宋"/>
          <w:sz w:val="32"/>
          <w:szCs w:val="32"/>
          <w:highlight w:val="none"/>
        </w:rPr>
        <w:t>0</w:t>
      </w:r>
      <w:r>
        <w:rPr>
          <w:rFonts w:hint="eastAsia" w:ascii="仿宋" w:hAnsi="仿宋" w:eastAsia="仿宋" w:cs="仿宋"/>
          <w:sz w:val="32"/>
          <w:szCs w:val="32"/>
          <w:highlight w:val="none"/>
        </w:rPr>
        <w:t>人次。</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z w:val="32"/>
          <w:szCs w:val="32"/>
          <w:highlight w:val="none"/>
        </w:rPr>
        <w:t>（二）公务用车购置及运行维护费</w:t>
      </w:r>
      <w:r>
        <w:rPr>
          <w:rFonts w:ascii="仿宋" w:hAnsi="仿宋" w:eastAsia="仿宋" w:cs="仿宋"/>
          <w:sz w:val="32"/>
          <w:u w:color="auto"/>
        </w:rPr>
        <w:t>0.62</w:t>
      </w:r>
      <w:r>
        <w:rPr>
          <w:rFonts w:hint="eastAsia" w:ascii="仿宋" w:hAnsi="仿宋" w:eastAsia="仿宋" w:cs="仿宋"/>
          <w:sz w:val="32"/>
          <w:szCs w:val="32"/>
          <w:highlight w:val="none"/>
        </w:rPr>
        <w:t>万元。其中：公务用车购置支出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 xml:space="preserve"> 万元。</w:t>
      </w:r>
      <w:r>
        <w:rPr>
          <w:rFonts w:hint="eastAsia" w:ascii="仿宋" w:hAnsi="仿宋" w:eastAsia="仿宋" w:cs="仿宋"/>
          <w:color w:val="000000" w:themeColor="text1"/>
          <w:sz w:val="32"/>
          <w:szCs w:val="32"/>
          <w14:textFill>
            <w14:solidFill>
              <w14:schemeClr w14:val="tx1"/>
            </w14:solidFill>
          </w14:textFill>
        </w:rPr>
        <w:t>主要原因是</w:t>
      </w:r>
      <w:r>
        <w:rPr>
          <w:rFonts w:hint="eastAsia" w:ascii="仿宋" w:hAnsi="仿宋" w:eastAsia="仿宋" w:cs="仿宋"/>
          <w:color w:val="000000" w:themeColor="text1"/>
          <w:sz w:val="32"/>
          <w:szCs w:val="32"/>
          <w:lang w:val="en-US" w:eastAsia="zh-CN"/>
          <w14:textFill>
            <w14:solidFill>
              <w14:schemeClr w14:val="tx1"/>
            </w14:solidFill>
          </w14:textFill>
        </w:rPr>
        <w:t>公务用车的日常维护保养及购买保险支出</w:t>
      </w:r>
      <w:r>
        <w:rPr>
          <w:rFonts w:hint="eastAsia" w:ascii="仿宋" w:hAnsi="仿宋" w:eastAsia="仿宋" w:cs="仿宋"/>
          <w:color w:val="000000" w:themeColor="text1"/>
          <w:sz w:val="32"/>
          <w:szCs w:val="32"/>
          <w14:textFill>
            <w14:solidFill>
              <w14:schemeClr w14:val="tx1"/>
            </w14:solidFill>
          </w14:textFill>
        </w:rPr>
        <w:t>。</w:t>
      </w:r>
    </w:p>
    <w:p>
      <w:pPr>
        <w:ind w:firstLine="640" w:firstLineChars="20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公务用车运行维护支出</w:t>
      </w:r>
      <w:r>
        <w:rPr>
          <w:rFonts w:ascii="仿宋" w:hAnsi="仿宋" w:eastAsia="仿宋" w:cs="仿宋"/>
          <w:sz w:val="32"/>
          <w:u w:color="auto"/>
        </w:rPr>
        <w:t>0.62</w:t>
      </w:r>
      <w:r>
        <w:rPr>
          <w:rFonts w:hint="eastAsia" w:ascii="仿宋" w:hAnsi="仿宋" w:eastAsia="仿宋" w:cs="仿宋"/>
          <w:sz w:val="32"/>
          <w:szCs w:val="32"/>
          <w:highlight w:val="none"/>
        </w:rPr>
        <w:t>万元，完成年初预算的</w:t>
      </w:r>
      <w:r>
        <w:rPr>
          <w:rFonts w:ascii="仿宋" w:hAnsi="仿宋" w:eastAsia="仿宋" w:cs="仿宋"/>
          <w:sz w:val="32"/>
          <w:u w:color="auto"/>
        </w:rPr>
        <w:t>65.26%</w:t>
      </w:r>
      <w:r>
        <w:rPr>
          <w:rFonts w:hint="eastAsia" w:ascii="仿宋" w:hAnsi="仿宋" w:eastAsia="仿宋" w:cs="仿宋"/>
          <w:sz w:val="32"/>
          <w:szCs w:val="32"/>
          <w:highlight w:val="none"/>
        </w:rPr>
        <w:t>，比上年</w:t>
      </w:r>
      <w:r>
        <w:rPr>
          <w:rFonts w:ascii="仿宋" w:hAnsi="仿宋" w:eastAsia="仿宋" w:cs="仿宋"/>
          <w:sz w:val="32"/>
          <w:u w:color="auto"/>
        </w:rPr>
        <w:t>增加0.51</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主要原因是：</w:t>
      </w:r>
      <w:r>
        <w:rPr>
          <w:rFonts w:hint="eastAsia" w:ascii="仿宋" w:hAnsi="仿宋" w:eastAsia="仿宋" w:cs="仿宋"/>
          <w:color w:val="000000" w:themeColor="text1"/>
          <w:sz w:val="32"/>
          <w:szCs w:val="32"/>
          <w:highlight w:val="none"/>
          <w:lang w:val="en-US" w:eastAsia="zh-CN"/>
          <w14:textFill>
            <w14:solidFill>
              <w14:schemeClr w14:val="tx1"/>
            </w14:solidFill>
          </w14:textFill>
        </w:rPr>
        <w:t>县</w:t>
      </w:r>
      <w:r>
        <w:rPr>
          <w:rFonts w:hint="eastAsia" w:ascii="仿宋" w:hAnsi="仿宋" w:eastAsia="仿宋" w:cs="仿宋"/>
          <w:color w:val="000000" w:themeColor="text1"/>
          <w:sz w:val="32"/>
          <w:szCs w:val="32"/>
          <w:highlight w:val="none"/>
          <w14:textFill>
            <w14:solidFill>
              <w14:schemeClr w14:val="tx1"/>
            </w14:solidFill>
          </w14:textFill>
        </w:rPr>
        <w:t>内开展</w:t>
      </w:r>
      <w:r>
        <w:rPr>
          <w:rFonts w:hint="eastAsia" w:ascii="仿宋" w:hAnsi="仿宋" w:eastAsia="仿宋" w:cs="仿宋"/>
          <w:color w:val="000000" w:themeColor="text1"/>
          <w:sz w:val="32"/>
          <w:szCs w:val="32"/>
          <w:highlight w:val="none"/>
          <w:lang w:val="en-US" w:eastAsia="zh-CN"/>
          <w14:textFill>
            <w14:solidFill>
              <w14:schemeClr w14:val="tx1"/>
            </w14:solidFill>
          </w14:textFill>
        </w:rPr>
        <w:t>送书下乡</w:t>
      </w:r>
      <w:r>
        <w:rPr>
          <w:rFonts w:hint="eastAsia" w:ascii="仿宋" w:hAnsi="仿宋" w:eastAsia="仿宋" w:cs="仿宋"/>
          <w:color w:val="000000" w:themeColor="text1"/>
          <w:sz w:val="32"/>
          <w:szCs w:val="32"/>
          <w:highlight w:val="none"/>
          <w14:textFill>
            <w14:solidFill>
              <w14:schemeClr w14:val="tx1"/>
            </w14:solidFill>
          </w14:textFill>
        </w:rPr>
        <w:t>业务所需车辆燃料费、维修费、保险费等。</w:t>
      </w:r>
      <w:r>
        <w:rPr>
          <w:rFonts w:hint="eastAsia" w:ascii="仿宋" w:hAnsi="仿宋" w:eastAsia="仿宋" w:cs="仿宋"/>
          <w:sz w:val="32"/>
          <w:szCs w:val="32"/>
          <w:highlight w:val="none"/>
        </w:rPr>
        <w:t>2022年，</w:t>
      </w:r>
      <w:r>
        <w:rPr>
          <w:rFonts w:ascii="仿宋" w:hAnsi="仿宋" w:eastAsia="仿宋" w:cs="仿宋"/>
          <w:sz w:val="32"/>
          <w:u w:color="auto"/>
        </w:rPr>
        <w:t>环江毛南族自治县图书馆</w:t>
      </w:r>
      <w:r>
        <w:rPr>
          <w:rFonts w:hint="eastAsia" w:ascii="仿宋" w:hAnsi="仿宋" w:eastAsia="仿宋" w:cs="仿宋"/>
          <w:sz w:val="32"/>
          <w:szCs w:val="32"/>
          <w:highlight w:val="none"/>
        </w:rPr>
        <w:t>及</w:t>
      </w:r>
      <w:r>
        <w:rPr>
          <w:rFonts w:hint="eastAsia" w:ascii="仿宋" w:hAnsi="仿宋" w:eastAsia="仿宋" w:cs="仿宋"/>
          <w:color w:val="000000" w:themeColor="text1"/>
          <w:sz w:val="32"/>
          <w:szCs w:val="32"/>
          <w:highlight w:val="none"/>
          <w:u w:val="single"/>
          <w:lang w:val="en-US" w:eastAsia="zh-CN"/>
          <w14:textFill>
            <w14:solidFill>
              <w14:schemeClr w14:val="tx1"/>
            </w14:solidFill>
          </w14:textFill>
        </w:rPr>
        <w:t xml:space="preserve">  1 个</w:t>
      </w:r>
      <w:r>
        <w:rPr>
          <w:rFonts w:hint="eastAsia" w:ascii="仿宋" w:hAnsi="仿宋" w:eastAsia="仿宋" w:cs="仿宋"/>
          <w:sz w:val="32"/>
          <w:szCs w:val="32"/>
          <w:highlight w:val="none"/>
        </w:rPr>
        <w:t>所属单位开支财政拨款的公务用车保有量为</w:t>
      </w:r>
      <w:r>
        <w:rPr>
          <w:rFonts w:ascii="仿宋" w:hAnsi="仿宋" w:eastAsia="仿宋" w:cs="仿宋"/>
          <w:sz w:val="32"/>
          <w:u w:color="auto"/>
        </w:rPr>
        <w:t>1</w:t>
      </w:r>
      <w:r>
        <w:rPr>
          <w:rFonts w:hint="eastAsia" w:ascii="仿宋" w:hAnsi="仿宋" w:eastAsia="仿宋" w:cs="仿宋"/>
          <w:sz w:val="32"/>
          <w:szCs w:val="32"/>
          <w:highlight w:val="none"/>
        </w:rPr>
        <w:t>辆，全年运行费支出</w:t>
      </w:r>
      <w:r>
        <w:rPr>
          <w:rFonts w:ascii="仿宋" w:hAnsi="仿宋" w:eastAsia="仿宋" w:cs="仿宋"/>
          <w:sz w:val="32"/>
          <w:u w:color="auto"/>
        </w:rPr>
        <w:t>0.62</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color w:val="000000" w:themeColor="text1"/>
          <w:sz w:val="32"/>
          <w:szCs w:val="32"/>
          <w:highlight w:val="none"/>
          <w14:textFill>
            <w14:solidFill>
              <w14:schemeClr w14:val="tx1"/>
            </w14:solidFill>
          </w14:textFill>
        </w:rPr>
        <w:t>平均每辆</w:t>
      </w:r>
      <w:bookmarkStart w:id="5" w:name="_GoBack"/>
      <w:bookmarkEnd w:id="5"/>
      <w:r>
        <w:rPr>
          <w:rFonts w:hint="eastAsia" w:ascii="仿宋" w:hAnsi="仿宋" w:eastAsia="仿宋" w:cs="仿宋"/>
          <w:color w:val="000000" w:themeColor="text1"/>
          <w:sz w:val="32"/>
          <w:szCs w:val="32"/>
          <w:highlight w:val="none"/>
          <w:lang w:val="en-US" w:eastAsia="zh-CN"/>
          <w14:textFill>
            <w14:solidFill>
              <w14:schemeClr w14:val="tx1"/>
            </w14:solidFill>
          </w14:textFill>
        </w:rPr>
        <w:t>0.62</w:t>
      </w:r>
      <w:r>
        <w:rPr>
          <w:rFonts w:hint="eastAsia" w:ascii="仿宋" w:hAnsi="仿宋" w:eastAsia="仿宋" w:cs="仿宋"/>
          <w:color w:val="000000" w:themeColor="text1"/>
          <w:sz w:val="32"/>
          <w:szCs w:val="32"/>
          <w:highlight w:val="none"/>
          <w14:textFill>
            <w14:solidFill>
              <w14:schemeClr w14:val="tx1"/>
            </w14:solidFill>
          </w14:textFill>
        </w:rPr>
        <w:t>万元。</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（三）公务接待费支出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 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主要原因是：本单位无公务接待。</w:t>
      </w:r>
      <w:r>
        <w:rPr>
          <w:rFonts w:hint="eastAsia" w:ascii="仿宋" w:hAnsi="仿宋" w:eastAsia="仿宋" w:cs="仿宋"/>
          <w:color w:val="000000" w:themeColor="text1"/>
          <w:sz w:val="32"/>
          <w:szCs w:val="32"/>
          <w:highlight w:val="none"/>
          <w14:textFill>
            <w14:solidFill>
              <w14:schemeClr w14:val="tx1"/>
            </w14:solidFill>
          </w14:textFill>
        </w:rPr>
        <w:t>国内公务接待批次</w:t>
      </w:r>
      <w:r>
        <w:rPr>
          <w:rFonts w:ascii="仿宋" w:hAnsi="仿宋" w:eastAsia="仿宋" w:cs="仿宋"/>
          <w:color w:val="000000" w:themeColor="text1"/>
          <w:sz w:val="32"/>
          <w:szCs w:val="32"/>
          <w:highlight w:val="none"/>
          <w14:textFill>
            <w14:solidFill>
              <w14:schemeClr w14:val="tx1"/>
            </w14:solidFill>
          </w14:textFill>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次，国（境）外公务接待批次</w:t>
      </w:r>
      <w:r>
        <w:rPr>
          <w:rFonts w:ascii="仿宋" w:hAnsi="仿宋" w:eastAsia="仿宋" w:cs="仿宋"/>
          <w:sz w:val="32"/>
          <w:szCs w:val="32"/>
          <w:highlight w:val="none"/>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FF0000"/>
          <w:sz w:val="32"/>
          <w:szCs w:val="32"/>
          <w:highlight w:val="none"/>
        </w:rPr>
      </w:pPr>
      <w:r>
        <w:rPr>
          <w:rFonts w:hint="eastAsia" w:ascii="仿宋" w:hAnsi="仿宋" w:eastAsia="仿宋" w:cs="仿宋"/>
          <w:sz w:val="32"/>
          <w:szCs w:val="32"/>
          <w:highlight w:val="none"/>
        </w:rPr>
        <w:t>本部门2022年度机关运行经费支出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万元，比年初预算数</w:t>
      </w:r>
      <w:r>
        <w:rPr>
          <w:rFonts w:ascii="仿宋" w:hAnsi="仿宋" w:eastAsia="仿宋" w:cs="仿宋"/>
          <w:sz w:val="32"/>
          <w:szCs w:val="32"/>
          <w:highlight w:val="none"/>
        </w:rPr>
        <w:t>减少3.98</w:t>
      </w:r>
      <w:r>
        <w:rPr>
          <w:rFonts w:hint="eastAsia" w:ascii="仿宋" w:hAnsi="仿宋" w:eastAsia="仿宋" w:cs="仿宋"/>
          <w:sz w:val="32"/>
          <w:szCs w:val="32"/>
          <w:highlight w:val="none"/>
        </w:rPr>
        <w:t>万元，</w:t>
      </w:r>
      <w:r>
        <w:rPr>
          <w:rFonts w:ascii="仿宋" w:hAnsi="仿宋" w:eastAsia="仿宋" w:cs="仿宋"/>
          <w:sz w:val="32"/>
          <w:szCs w:val="32"/>
          <w:highlight w:val="none"/>
        </w:rPr>
        <w:t>下降100%</w:t>
      </w:r>
      <w:r>
        <w:rPr>
          <w:rFonts w:hint="eastAsia" w:ascii="仿宋" w:hAnsi="仿宋" w:eastAsia="仿宋" w:cs="仿宋"/>
          <w:sz w:val="32"/>
          <w:szCs w:val="32"/>
          <w:highlight w:val="none"/>
        </w:rPr>
        <w:t>，比上年决算数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w:t>
      </w:r>
      <w:r>
        <w:rPr>
          <w:rFonts w:hint="eastAsia" w:ascii="仿宋" w:hAnsi="仿宋" w:eastAsia="仿宋" w:cs="仿宋"/>
          <w:color w:val="000000" w:themeColor="text1"/>
          <w:sz w:val="32"/>
          <w:szCs w:val="32"/>
          <w:highlight w:val="none"/>
          <w14:textFill>
            <w14:solidFill>
              <w14:schemeClr w14:val="tx1"/>
            </w14:solidFill>
          </w14:textFill>
        </w:rPr>
        <w:t>原因是：办公设施设备购置经费减少、资产运行维护支出减少、落实过紧日子要求压减支出等。</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本部门2022年度政府采购支出总额</w:t>
      </w:r>
      <w:r>
        <w:rPr>
          <w:rFonts w:ascii="仿宋" w:hAnsi="仿宋" w:eastAsia="仿宋" w:cs="仿宋"/>
          <w:sz w:val="32"/>
          <w:szCs w:val="32"/>
          <w:highlight w:val="none"/>
        </w:rPr>
        <w:t>0.00</w:t>
      </w:r>
      <w:r>
        <w:rPr>
          <w:rFonts w:hint="eastAsia" w:ascii="仿宋" w:hAnsi="仿宋" w:eastAsia="仿宋" w:cs="仿宋"/>
          <w:sz w:val="32"/>
          <w:szCs w:val="32"/>
          <w:highlight w:val="none"/>
        </w:rPr>
        <w:t>万元，其中：政府采购货物支出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万元、政府采购工程支出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万元、政府采购服务支出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万元。授予中小企业合同金额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万元，占政府采购支出总额的</w:t>
      </w:r>
      <w:r>
        <w:rPr>
          <w:rFonts w:ascii="仿宋" w:hAnsi="仿宋" w:eastAsia="仿宋" w:cs="仿宋"/>
          <w:sz w:val="32"/>
          <w:szCs w:val="32"/>
          <w:highlight w:val="none"/>
        </w:rPr>
        <w:t>0%</w:t>
      </w:r>
      <w:r>
        <w:rPr>
          <w:rFonts w:hint="eastAsia" w:ascii="仿宋" w:hAnsi="仿宋" w:eastAsia="仿宋" w:cs="仿宋"/>
          <w:sz w:val="32"/>
          <w:szCs w:val="32"/>
          <w:highlight w:val="none"/>
        </w:rPr>
        <w:t>，其中：授予小微企业合同金额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万元，占授予中小企业合同金额的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截至2022年12月31日，本部门共有车辆</w:t>
      </w:r>
      <w:r>
        <w:rPr>
          <w:rFonts w:ascii="仿宋" w:hAnsi="仿宋" w:eastAsia="仿宋" w:cs="仿宋"/>
          <w:sz w:val="32"/>
          <w:szCs w:val="32"/>
          <w:highlight w:val="none"/>
        </w:rPr>
        <w:t>1</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1</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元以上专用设备台（套）。</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pPr>
        <w:keepNext w:val="0"/>
        <w:keepLines w:val="0"/>
        <w:pageBreakBefore w:val="0"/>
        <w:widowControl/>
        <w:kinsoku/>
        <w:wordWrap/>
        <w:overflowPunct/>
        <w:topLinePunct w:val="0"/>
        <w:bidi w:val="0"/>
        <w:snapToGrid/>
        <w:spacing w:line="560" w:lineRule="exact"/>
        <w:ind w:firstLine="640"/>
        <w:textAlignment w:val="auto"/>
        <w:rPr>
          <w:rFonts w:hint="default" w:ascii="Times New Roman" w:hAnsi="Times New Roman" w:eastAsia="仿宋_GB2312" w:cs="Times New Roman"/>
          <w:b w:val="0"/>
          <w:bCs w:val="0"/>
          <w:kern w:val="0"/>
          <w:sz w:val="32"/>
          <w:szCs w:val="32"/>
        </w:rPr>
      </w:pPr>
      <w:r>
        <w:rPr>
          <w:rFonts w:hint="eastAsia" w:ascii="仿宋" w:hAnsi="仿宋" w:eastAsia="仿宋" w:cs="仿宋"/>
          <w:color w:val="000000" w:themeColor="text1"/>
          <w:sz w:val="32"/>
          <w:szCs w:val="32"/>
          <w14:textFill>
            <w14:solidFill>
              <w14:schemeClr w14:val="tx1"/>
            </w14:solidFill>
          </w14:textFill>
        </w:rPr>
        <w:t>根据财政预算管理要求，本部门组织对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度一般公共预算项目支出全面开展绩效自评。其中，一</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7</w:t>
      </w:r>
      <w:r>
        <w:rPr>
          <w:rFonts w:hint="eastAsia" w:ascii="仿宋" w:hAnsi="仿宋" w:eastAsia="仿宋" w:cs="仿宋"/>
          <w:color w:val="000000" w:themeColor="text1"/>
          <w:sz w:val="32"/>
          <w:szCs w:val="32"/>
          <w14:textFill>
            <w14:solidFill>
              <w14:schemeClr w14:val="tx1"/>
            </w14:solidFill>
          </w14:textFill>
        </w:rPr>
        <w:t>个，二</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个，共涉及资金</w:t>
      </w:r>
      <w:r>
        <w:rPr>
          <w:rFonts w:hint="eastAsia" w:ascii="仿宋" w:hAnsi="仿宋" w:eastAsia="仿宋" w:cs="仿宋"/>
          <w:color w:val="000000" w:themeColor="text1"/>
          <w:sz w:val="32"/>
          <w:szCs w:val="32"/>
          <w:lang w:val="en-US" w:eastAsia="zh-CN"/>
          <w14:textFill>
            <w14:solidFill>
              <w14:schemeClr w14:val="tx1"/>
            </w14:solidFill>
          </w14:textFill>
        </w:rPr>
        <w:t>49.98</w:t>
      </w:r>
      <w:r>
        <w:rPr>
          <w:rFonts w:hint="eastAsia" w:ascii="仿宋" w:hAnsi="仿宋" w:eastAsia="仿宋" w:cs="仿宋"/>
          <w:color w:val="000000" w:themeColor="text1"/>
          <w:sz w:val="32"/>
          <w:szCs w:val="32"/>
          <w14:textFill>
            <w14:solidFill>
              <w14:schemeClr w14:val="tx1"/>
            </w14:solidFill>
          </w14:textFill>
        </w:rPr>
        <w:t>万元，占一般公共预算项目支出总额的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60.26</w:t>
      </w:r>
      <w:r>
        <w:rPr>
          <w:rFonts w:hint="eastAsia" w:ascii="仿宋" w:hAnsi="仿宋" w:eastAsia="仿宋" w:cs="仿宋"/>
          <w:color w:val="000000" w:themeColor="text1"/>
          <w:sz w:val="32"/>
          <w:szCs w:val="32"/>
          <w14:textFill>
            <w14:solidFill>
              <w14:schemeClr w14:val="tx1"/>
            </w14:solidFill>
          </w14:textFill>
        </w:rPr>
        <w:t>%。</w:t>
      </w:r>
      <w:r>
        <w:rPr>
          <w:rFonts w:hint="default" w:ascii="Times New Roman" w:hAnsi="Times New Roman" w:eastAsia="仿宋_GB2312" w:cs="Times New Roman"/>
          <w:b w:val="0"/>
          <w:bCs w:val="0"/>
          <w:kern w:val="0"/>
          <w:sz w:val="32"/>
          <w:szCs w:val="32"/>
        </w:rPr>
        <w:t>202</w:t>
      </w:r>
      <w:r>
        <w:rPr>
          <w:rFonts w:hint="eastAsia" w:ascii="Times New Roman" w:hAnsi="Times New Roman" w:eastAsia="仿宋_GB2312" w:cs="Times New Roman"/>
          <w:b w:val="0"/>
          <w:bCs w:val="0"/>
          <w:kern w:val="0"/>
          <w:sz w:val="32"/>
          <w:szCs w:val="32"/>
          <w:lang w:val="en-US" w:eastAsia="zh-CN"/>
        </w:rPr>
        <w:t>2</w:t>
      </w:r>
      <w:r>
        <w:rPr>
          <w:rFonts w:hint="default" w:ascii="Times New Roman" w:hAnsi="Times New Roman" w:eastAsia="仿宋_GB2312" w:cs="Times New Roman"/>
          <w:b w:val="0"/>
          <w:bCs w:val="0"/>
          <w:kern w:val="0"/>
          <w:sz w:val="32"/>
          <w:szCs w:val="32"/>
        </w:rPr>
        <w:t>年度</w:t>
      </w:r>
      <w:r>
        <w:rPr>
          <w:rFonts w:hint="eastAsia" w:ascii="Times New Roman" w:hAnsi="Times New Roman" w:eastAsia="仿宋_GB2312" w:cs="Times New Roman"/>
          <w:b w:val="0"/>
          <w:bCs w:val="0"/>
          <w:kern w:val="0"/>
          <w:sz w:val="32"/>
          <w:szCs w:val="32"/>
          <w:lang w:eastAsia="zh-CN"/>
        </w:rPr>
        <w:t>本单位无政府性基金预算，故无</w:t>
      </w:r>
      <w:r>
        <w:rPr>
          <w:rFonts w:hint="default" w:ascii="Times New Roman" w:hAnsi="Times New Roman" w:eastAsia="仿宋_GB2312" w:cs="Times New Roman"/>
          <w:b w:val="0"/>
          <w:bCs w:val="0"/>
          <w:kern w:val="0"/>
          <w:sz w:val="32"/>
          <w:szCs w:val="32"/>
        </w:rPr>
        <w:t>政府性基金预算项目支出开展绩效自评，共涉及资金</w:t>
      </w:r>
      <w:r>
        <w:rPr>
          <w:rFonts w:hint="eastAsia" w:ascii="Times New Roman" w:hAnsi="Times New Roman" w:eastAsia="仿宋_GB2312" w:cs="Times New Roman"/>
          <w:b w:val="0"/>
          <w:bCs w:val="0"/>
          <w:kern w:val="0"/>
          <w:sz w:val="32"/>
          <w:szCs w:val="32"/>
          <w:lang w:val="en-US" w:eastAsia="zh-CN"/>
        </w:rPr>
        <w:t>0</w:t>
      </w:r>
      <w:r>
        <w:rPr>
          <w:rFonts w:hint="default" w:ascii="Times New Roman" w:hAnsi="Times New Roman" w:eastAsia="仿宋_GB2312" w:cs="Times New Roman"/>
          <w:b w:val="0"/>
          <w:bCs w:val="0"/>
          <w:kern w:val="0"/>
          <w:sz w:val="32"/>
          <w:szCs w:val="32"/>
        </w:rPr>
        <w:t>万元，占政府性基金预算项目支出总额的</w:t>
      </w:r>
      <w:r>
        <w:rPr>
          <w:rFonts w:hint="eastAsia" w:ascii="Times New Roman" w:hAnsi="Times New Roman" w:eastAsia="仿宋_GB2312" w:cs="Times New Roman"/>
          <w:b w:val="0"/>
          <w:bCs w:val="0"/>
          <w:kern w:val="0"/>
          <w:sz w:val="32"/>
          <w:szCs w:val="32"/>
          <w:lang w:val="en-US" w:eastAsia="zh-CN"/>
        </w:rPr>
        <w:t>0</w:t>
      </w:r>
      <w:r>
        <w:rPr>
          <w:rFonts w:hint="default" w:ascii="Times New Roman" w:hAnsi="Times New Roman" w:eastAsia="仿宋_GB2312" w:cs="Times New Roman"/>
          <w:b w:val="0"/>
          <w:bCs w:val="0"/>
          <w:kern w:val="0"/>
          <w:sz w:val="32"/>
          <w:szCs w:val="32"/>
        </w:rPr>
        <w:t>%。202</w:t>
      </w:r>
      <w:r>
        <w:rPr>
          <w:rFonts w:hint="eastAsia" w:ascii="Times New Roman" w:hAnsi="Times New Roman" w:eastAsia="仿宋_GB2312" w:cs="Times New Roman"/>
          <w:b w:val="0"/>
          <w:bCs w:val="0"/>
          <w:kern w:val="0"/>
          <w:sz w:val="32"/>
          <w:szCs w:val="32"/>
          <w:lang w:val="en-US" w:eastAsia="zh-CN"/>
        </w:rPr>
        <w:t>2</w:t>
      </w:r>
      <w:r>
        <w:rPr>
          <w:rFonts w:hint="default" w:ascii="Times New Roman" w:hAnsi="Times New Roman" w:eastAsia="仿宋_GB2312" w:cs="Times New Roman"/>
          <w:b w:val="0"/>
          <w:bCs w:val="0"/>
          <w:kern w:val="0"/>
          <w:sz w:val="32"/>
          <w:szCs w:val="32"/>
        </w:rPr>
        <w:t>年度</w:t>
      </w:r>
      <w:r>
        <w:rPr>
          <w:rFonts w:hint="eastAsia" w:ascii="Times New Roman" w:hAnsi="Times New Roman" w:eastAsia="仿宋_GB2312" w:cs="Times New Roman"/>
          <w:b w:val="0"/>
          <w:bCs w:val="0"/>
          <w:kern w:val="0"/>
          <w:sz w:val="32"/>
          <w:szCs w:val="32"/>
          <w:lang w:eastAsia="zh-CN"/>
        </w:rPr>
        <w:t>本单位无国有资本经营预算，故无</w:t>
      </w:r>
      <w:r>
        <w:rPr>
          <w:rFonts w:hint="default" w:ascii="Times New Roman" w:hAnsi="Times New Roman" w:eastAsia="仿宋_GB2312" w:cs="Times New Roman"/>
          <w:b w:val="0"/>
          <w:bCs w:val="0"/>
          <w:kern w:val="0"/>
          <w:sz w:val="32"/>
          <w:szCs w:val="32"/>
        </w:rPr>
        <w:t>国有资本经营预算项目支出开展绩效自评，共涉及资金</w:t>
      </w:r>
      <w:r>
        <w:rPr>
          <w:rFonts w:hint="eastAsia" w:ascii="Times New Roman" w:hAnsi="Times New Roman" w:eastAsia="仿宋_GB2312" w:cs="Times New Roman"/>
          <w:b w:val="0"/>
          <w:bCs w:val="0"/>
          <w:kern w:val="0"/>
          <w:sz w:val="32"/>
          <w:szCs w:val="32"/>
          <w:lang w:val="en-US" w:eastAsia="zh-CN"/>
        </w:rPr>
        <w:t>0</w:t>
      </w:r>
      <w:r>
        <w:rPr>
          <w:rFonts w:hint="default" w:ascii="Times New Roman" w:hAnsi="Times New Roman" w:eastAsia="仿宋_GB2312" w:cs="Times New Roman"/>
          <w:b w:val="0"/>
          <w:bCs w:val="0"/>
          <w:kern w:val="0"/>
          <w:sz w:val="32"/>
          <w:szCs w:val="32"/>
        </w:rPr>
        <w:t>万元，占国有资本经营预算项目支出总额的</w:t>
      </w:r>
      <w:r>
        <w:rPr>
          <w:rFonts w:hint="eastAsia" w:ascii="Times New Roman" w:hAnsi="Times New Roman" w:eastAsia="仿宋_GB2312" w:cs="Times New Roman"/>
          <w:b w:val="0"/>
          <w:bCs w:val="0"/>
          <w:kern w:val="0"/>
          <w:sz w:val="32"/>
          <w:szCs w:val="32"/>
          <w:lang w:val="en-US" w:eastAsia="zh-CN"/>
        </w:rPr>
        <w:t>0</w:t>
      </w:r>
      <w:r>
        <w:rPr>
          <w:rFonts w:hint="default" w:ascii="Times New Roman" w:hAnsi="Times New Roman" w:eastAsia="仿宋_GB2312" w:cs="Times New Roman"/>
          <w:b w:val="0"/>
          <w:bCs w:val="0"/>
          <w:kern w:val="0"/>
          <w:sz w:val="32"/>
          <w:szCs w:val="32"/>
        </w:rPr>
        <w:t>%</w:t>
      </w:r>
    </w:p>
    <w:p>
      <w:pPr>
        <w:ind w:firstLine="640" w:firstLineChars="200"/>
        <w:jc w:val="left"/>
        <w:rPr>
          <w:rFonts w:hint="eastAsia" w:ascii="仿宋" w:hAnsi="仿宋" w:eastAsia="仿宋_GB2312" w:cs="仿宋"/>
          <w:color w:val="FF0000"/>
          <w:sz w:val="32"/>
          <w:szCs w:val="32"/>
          <w:lang w:eastAsia="zh-CN"/>
        </w:rPr>
      </w:pP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val="en-US" w:eastAsia="zh-CN"/>
          <w14:textFill>
            <w14:solidFill>
              <w14:schemeClr w14:val="tx1"/>
            </w14:solidFill>
          </w14:textFill>
        </w:rPr>
        <w:t>7</w:t>
      </w:r>
      <w:r>
        <w:rPr>
          <w:rFonts w:hint="eastAsia" w:ascii="仿宋" w:hAnsi="仿宋" w:eastAsia="仿宋" w:cs="仿宋"/>
          <w:color w:val="000000" w:themeColor="text1"/>
          <w:sz w:val="32"/>
          <w:szCs w:val="32"/>
          <w14:textFill>
            <w14:solidFill>
              <w14:schemeClr w14:val="tx1"/>
            </w14:solidFill>
          </w14:textFill>
        </w:rPr>
        <w:t>个项目进行了部门评价，涉及一般公共预算支出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29.35</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万元，国有资本经营预算支出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万元。从评价情况来看，</w:t>
      </w:r>
      <w:r>
        <w:rPr>
          <w:rFonts w:hint="default" w:ascii="Times New Roman" w:hAnsi="Times New Roman" w:eastAsia="仿宋_GB2312" w:cs="Times New Roman"/>
          <w:b w:val="0"/>
          <w:bCs w:val="0"/>
          <w:kern w:val="0"/>
          <w:sz w:val="32"/>
          <w:szCs w:val="32"/>
        </w:rPr>
        <w:t>通过开展日常工作：用于办公费</w:t>
      </w:r>
      <w:r>
        <w:rPr>
          <w:rFonts w:hint="eastAsia" w:ascii="Times New Roman" w:hAnsi="Times New Roman" w:eastAsia="仿宋_GB2312" w:cs="Times New Roman"/>
          <w:b w:val="0"/>
          <w:bCs w:val="0"/>
          <w:kern w:val="0"/>
          <w:sz w:val="32"/>
          <w:szCs w:val="32"/>
          <w:lang w:eastAsia="zh-CN"/>
        </w:rPr>
        <w:t>、</w:t>
      </w:r>
      <w:r>
        <w:rPr>
          <w:rFonts w:hint="default" w:ascii="Times New Roman" w:hAnsi="Times New Roman" w:eastAsia="仿宋_GB2312" w:cs="Times New Roman"/>
          <w:b w:val="0"/>
          <w:bCs w:val="0"/>
          <w:kern w:val="0"/>
          <w:sz w:val="32"/>
          <w:szCs w:val="32"/>
        </w:rPr>
        <w:t>印刷费、差旅费、会议培训费等日常运行工作，完成各项业务工作</w:t>
      </w:r>
      <w:r>
        <w:rPr>
          <w:rFonts w:hint="eastAsia" w:ascii="Times New Roman" w:hAnsi="Times New Roman" w:eastAsia="仿宋_GB2312" w:cs="Times New Roman"/>
          <w:b w:val="0"/>
          <w:bCs w:val="0"/>
          <w:kern w:val="0"/>
          <w:sz w:val="32"/>
          <w:szCs w:val="32"/>
          <w:lang w:eastAsia="zh-CN"/>
        </w:rPr>
        <w:t>。</w:t>
      </w:r>
    </w:p>
    <w:p>
      <w:pPr>
        <w:ind w:firstLine="640" w:firstLineChars="200"/>
        <w:jc w:val="left"/>
        <w:rPr>
          <w:rFonts w:hint="eastAsia" w:ascii="仿宋" w:hAnsi="仿宋" w:eastAsia="仿宋" w:cs="仿宋"/>
          <w:color w:val="FF0000"/>
          <w:sz w:val="32"/>
          <w:szCs w:val="32"/>
        </w:rPr>
      </w:pPr>
      <w:r>
        <w:rPr>
          <w:rFonts w:hint="eastAsia" w:ascii="仿宋" w:hAnsi="仿宋" w:eastAsia="仿宋" w:cs="仿宋"/>
          <w:color w:val="000000" w:themeColor="text1"/>
          <w:sz w:val="32"/>
          <w:szCs w:val="32"/>
          <w14:textFill>
            <w14:solidFill>
              <w14:schemeClr w14:val="tx1"/>
            </w14:solidFill>
          </w14:textFill>
        </w:rPr>
        <w:t>2.部门决算中项目绩效自评结果</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我部门根据年初设定的绩效目标，</w:t>
      </w:r>
      <w:r>
        <w:rPr>
          <w:rFonts w:hint="eastAsia" w:ascii="仿宋" w:hAnsi="仿宋" w:eastAsia="仿宋" w:cs="仿宋"/>
          <w:color w:val="000000" w:themeColor="text1"/>
          <w:sz w:val="32"/>
          <w:szCs w:val="32"/>
          <w:lang w:val="en-US" w:eastAsia="zh-CN"/>
          <w14:textFill>
            <w14:solidFill>
              <w14:schemeClr w14:val="tx1"/>
            </w14:solidFill>
          </w14:textFill>
        </w:rPr>
        <w:t>保安经费项目</w:t>
      </w:r>
      <w:r>
        <w:rPr>
          <w:rFonts w:hint="eastAsia" w:ascii="仿宋" w:hAnsi="仿宋" w:eastAsia="仿宋" w:cs="仿宋"/>
          <w:color w:val="000000" w:themeColor="text1"/>
          <w:sz w:val="32"/>
          <w:szCs w:val="32"/>
          <w14:textFill>
            <w14:solidFill>
              <w14:schemeClr w14:val="tx1"/>
            </w14:solidFill>
          </w14:textFill>
        </w:rPr>
        <w:t>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lang w:eastAsia="zh-CN"/>
          <w14:textFill>
            <w14:solidFill>
              <w14:schemeClr w14:val="tx1"/>
            </w14:solidFill>
          </w14:textFill>
        </w:rPr>
        <w:t>专项业务费</w:t>
      </w:r>
      <w:r>
        <w:rPr>
          <w:rFonts w:hint="eastAsia" w:ascii="仿宋" w:hAnsi="仿宋" w:eastAsia="仿宋" w:cs="仿宋"/>
          <w:color w:val="000000" w:themeColor="text1"/>
          <w:sz w:val="32"/>
          <w:szCs w:val="32"/>
          <w14:textFill>
            <w14:solidFill>
              <w14:schemeClr w14:val="tx1"/>
            </w14:solidFill>
          </w14:textFill>
        </w:rPr>
        <w:t>自评得分为</w:t>
      </w:r>
      <w:r>
        <w:rPr>
          <w:rFonts w:hint="eastAsia" w:ascii="仿宋" w:hAnsi="仿宋" w:eastAsia="仿宋" w:cs="仿宋"/>
          <w:color w:val="000000" w:themeColor="text1"/>
          <w:sz w:val="32"/>
          <w:szCs w:val="32"/>
          <w:lang w:val="en-US" w:eastAsia="zh-CN"/>
          <w14:textFill>
            <w14:solidFill>
              <w14:schemeClr w14:val="tx1"/>
            </w14:solidFill>
          </w14:textFill>
        </w:rPr>
        <w:t>88.54</w:t>
      </w:r>
      <w:r>
        <w:rPr>
          <w:rFonts w:hint="eastAsia" w:ascii="仿宋" w:hAnsi="仿宋" w:eastAsia="仿宋" w:cs="仿宋"/>
          <w:color w:val="000000" w:themeColor="text1"/>
          <w:sz w:val="32"/>
          <w:szCs w:val="32"/>
          <w14:textFill>
            <w14:solidFill>
              <w14:schemeClr w14:val="tx1"/>
            </w14:solidFill>
          </w14:textFill>
        </w:rPr>
        <w:t>分。发现的主要问题及原因：一是</w:t>
      </w:r>
      <w:r>
        <w:rPr>
          <w:rFonts w:hint="eastAsia" w:ascii="仿宋" w:hAnsi="仿宋" w:eastAsia="仿宋" w:cs="仿宋"/>
          <w:color w:val="000000" w:themeColor="text1"/>
          <w:sz w:val="32"/>
          <w:szCs w:val="32"/>
          <w:lang w:eastAsia="zh-CN"/>
          <w14:textFill>
            <w14:solidFill>
              <w14:schemeClr w14:val="tx1"/>
            </w14:solidFill>
          </w14:textFill>
        </w:rPr>
        <w:t>业务开展不及时</w:t>
      </w:r>
      <w:r>
        <w:rPr>
          <w:rFonts w:hint="eastAsia" w:ascii="仿宋" w:hAnsi="仿宋" w:eastAsia="仿宋" w:cs="仿宋"/>
          <w:color w:val="000000" w:themeColor="text1"/>
          <w:sz w:val="32"/>
          <w:szCs w:val="32"/>
          <w14:textFill>
            <w14:solidFill>
              <w14:schemeClr w14:val="tx1"/>
            </w14:solidFill>
          </w14:textFill>
        </w:rPr>
        <w:t>；二是</w:t>
      </w:r>
      <w:r>
        <w:rPr>
          <w:rFonts w:hint="eastAsia" w:ascii="仿宋" w:hAnsi="仿宋" w:eastAsia="仿宋" w:cs="仿宋"/>
          <w:color w:val="000000" w:themeColor="text1"/>
          <w:sz w:val="32"/>
          <w:szCs w:val="32"/>
          <w:lang w:eastAsia="zh-CN"/>
          <w14:textFill>
            <w14:solidFill>
              <w14:schemeClr w14:val="tx1"/>
            </w14:solidFill>
          </w14:textFill>
        </w:rPr>
        <w:t>部分业务开展后未能及时支付</w:t>
      </w:r>
      <w:r>
        <w:rPr>
          <w:rFonts w:hint="eastAsia" w:ascii="仿宋" w:hAnsi="仿宋" w:eastAsia="仿宋" w:cs="仿宋"/>
          <w:color w:val="000000" w:themeColor="text1"/>
          <w:sz w:val="32"/>
          <w:szCs w:val="32"/>
          <w14:textFill>
            <w14:solidFill>
              <w14:schemeClr w14:val="tx1"/>
            </w14:solidFill>
          </w14:textFill>
        </w:rPr>
        <w:t>。下一步改进措施：一是</w:t>
      </w:r>
      <w:r>
        <w:rPr>
          <w:rFonts w:hint="eastAsia" w:ascii="仿宋" w:hAnsi="仿宋" w:eastAsia="仿宋" w:cs="仿宋"/>
          <w:color w:val="000000" w:themeColor="text1"/>
          <w:sz w:val="32"/>
          <w:szCs w:val="32"/>
          <w:lang w:eastAsia="zh-CN"/>
          <w14:textFill>
            <w14:solidFill>
              <w14:schemeClr w14:val="tx1"/>
            </w14:solidFill>
          </w14:textFill>
        </w:rPr>
        <w:t>完善各项业务的开展计划</w:t>
      </w:r>
      <w:r>
        <w:rPr>
          <w:rFonts w:hint="eastAsia" w:ascii="仿宋" w:hAnsi="仿宋" w:eastAsia="仿宋" w:cs="仿宋"/>
          <w:color w:val="000000" w:themeColor="text1"/>
          <w:sz w:val="32"/>
          <w:szCs w:val="32"/>
          <w14:textFill>
            <w14:solidFill>
              <w14:schemeClr w14:val="tx1"/>
            </w14:solidFill>
          </w14:textFill>
        </w:rPr>
        <w:t>；二是</w:t>
      </w:r>
      <w:r>
        <w:rPr>
          <w:rFonts w:hint="eastAsia" w:ascii="仿宋" w:hAnsi="仿宋" w:eastAsia="仿宋" w:cs="仿宋"/>
          <w:color w:val="000000" w:themeColor="text1"/>
          <w:sz w:val="32"/>
          <w:szCs w:val="32"/>
          <w:lang w:eastAsia="zh-CN"/>
          <w14:textFill>
            <w14:solidFill>
              <w14:schemeClr w14:val="tx1"/>
            </w14:solidFill>
          </w14:textFill>
        </w:rPr>
        <w:t>业务开展后及时支付款项；公共图书馆免费开放专项资金</w:t>
      </w:r>
      <w:r>
        <w:rPr>
          <w:rFonts w:hint="eastAsia" w:ascii="仿宋" w:hAnsi="仿宋" w:eastAsia="仿宋" w:cs="仿宋"/>
          <w:color w:val="000000" w:themeColor="text1"/>
          <w:sz w:val="32"/>
          <w:szCs w:val="32"/>
          <w14:textFill>
            <w14:solidFill>
              <w14:schemeClr w14:val="tx1"/>
            </w14:solidFill>
          </w14:textFill>
        </w:rPr>
        <w:t>自评得分为</w:t>
      </w:r>
      <w:r>
        <w:rPr>
          <w:rFonts w:hint="eastAsia" w:ascii="仿宋" w:hAnsi="仿宋" w:eastAsia="仿宋" w:cs="仿宋"/>
          <w:color w:val="000000" w:themeColor="text1"/>
          <w:sz w:val="32"/>
          <w:szCs w:val="32"/>
          <w:lang w:val="en-US" w:eastAsia="zh-CN"/>
          <w14:textFill>
            <w14:solidFill>
              <w14:schemeClr w14:val="tx1"/>
            </w14:solidFill>
          </w14:textFill>
        </w:rPr>
        <w:t>97.51</w:t>
      </w:r>
      <w:r>
        <w:rPr>
          <w:rFonts w:hint="eastAsia" w:ascii="仿宋" w:hAnsi="仿宋" w:eastAsia="仿宋" w:cs="仿宋"/>
          <w:color w:val="000000" w:themeColor="text1"/>
          <w:sz w:val="32"/>
          <w:szCs w:val="32"/>
          <w14:textFill>
            <w14:solidFill>
              <w14:schemeClr w14:val="tx1"/>
            </w14:solidFill>
          </w14:textFill>
        </w:rPr>
        <w:t>分。发现的主要问题及原因：一是</w:t>
      </w:r>
      <w:r>
        <w:rPr>
          <w:rFonts w:hint="eastAsia" w:ascii="仿宋" w:hAnsi="仿宋" w:eastAsia="仿宋" w:cs="仿宋"/>
          <w:color w:val="000000" w:themeColor="text1"/>
          <w:sz w:val="32"/>
          <w:szCs w:val="32"/>
          <w:lang w:eastAsia="zh-CN"/>
          <w14:textFill>
            <w14:solidFill>
              <w14:schemeClr w14:val="tx1"/>
            </w14:solidFill>
          </w14:textFill>
        </w:rPr>
        <w:t>部分业务开展后未能及时支付。</w:t>
      </w:r>
      <w:r>
        <w:rPr>
          <w:rFonts w:hint="eastAsia" w:ascii="仿宋" w:hAnsi="仿宋" w:eastAsia="仿宋" w:cs="仿宋"/>
          <w:color w:val="000000" w:themeColor="text1"/>
          <w:sz w:val="32"/>
          <w:szCs w:val="32"/>
          <w14:textFill>
            <w14:solidFill>
              <w14:schemeClr w14:val="tx1"/>
            </w14:solidFill>
          </w14:textFill>
        </w:rPr>
        <w:t>下一步改进措施：一是</w:t>
      </w:r>
      <w:r>
        <w:rPr>
          <w:rFonts w:hint="eastAsia" w:ascii="仿宋" w:hAnsi="仿宋" w:eastAsia="仿宋" w:cs="仿宋"/>
          <w:color w:val="000000" w:themeColor="text1"/>
          <w:sz w:val="32"/>
          <w:szCs w:val="32"/>
          <w:lang w:eastAsia="zh-CN"/>
          <w14:textFill>
            <w14:solidFill>
              <w14:schemeClr w14:val="tx1"/>
            </w14:solidFill>
          </w14:textFill>
        </w:rPr>
        <w:t>完善各项业务的开展计划</w:t>
      </w:r>
      <w:r>
        <w:rPr>
          <w:rFonts w:hint="eastAsia" w:ascii="仿宋" w:hAnsi="仿宋" w:eastAsia="仿宋" w:cs="仿宋"/>
          <w:color w:val="000000" w:themeColor="text1"/>
          <w:sz w:val="32"/>
          <w:szCs w:val="32"/>
          <w14:textFill>
            <w14:solidFill>
              <w14:schemeClr w14:val="tx1"/>
            </w14:solidFill>
          </w14:textFill>
        </w:rPr>
        <w:t>；二是</w:t>
      </w:r>
      <w:r>
        <w:rPr>
          <w:rFonts w:hint="eastAsia" w:ascii="仿宋" w:hAnsi="仿宋" w:eastAsia="仿宋" w:cs="仿宋"/>
          <w:color w:val="000000" w:themeColor="text1"/>
          <w:sz w:val="32"/>
          <w:szCs w:val="32"/>
          <w:lang w:eastAsia="zh-CN"/>
          <w14:textFill>
            <w14:solidFill>
              <w14:schemeClr w14:val="tx1"/>
            </w14:solidFill>
          </w14:textFill>
        </w:rPr>
        <w:t>业务开展后及时支付款项；奖励性补贴</w:t>
      </w:r>
      <w:r>
        <w:rPr>
          <w:rFonts w:hint="eastAsia" w:ascii="仿宋" w:hAnsi="仿宋" w:eastAsia="仿宋" w:cs="仿宋"/>
          <w:color w:val="000000" w:themeColor="text1"/>
          <w:sz w:val="32"/>
          <w:szCs w:val="32"/>
          <w14:textFill>
            <w14:solidFill>
              <w14:schemeClr w14:val="tx1"/>
            </w14:solidFill>
          </w14:textFill>
        </w:rPr>
        <w:t>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电梯维护费</w:t>
      </w:r>
      <w:r>
        <w:rPr>
          <w:rFonts w:hint="eastAsia" w:ascii="仿宋" w:hAnsi="仿宋" w:eastAsia="仿宋" w:cs="仿宋"/>
          <w:color w:val="000000" w:themeColor="text1"/>
          <w:sz w:val="32"/>
          <w:szCs w:val="32"/>
          <w14:textFill>
            <w14:solidFill>
              <w14:schemeClr w14:val="tx1"/>
            </w14:solidFill>
          </w14:textFill>
        </w:rPr>
        <w:t>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免费开放县级配套资金</w:t>
      </w:r>
      <w:r>
        <w:rPr>
          <w:rFonts w:hint="eastAsia" w:ascii="仿宋" w:hAnsi="仿宋" w:eastAsia="仿宋" w:cs="仿宋"/>
          <w:color w:val="000000" w:themeColor="text1"/>
          <w:sz w:val="32"/>
          <w:szCs w:val="32"/>
          <w14:textFill>
            <w14:solidFill>
              <w14:schemeClr w14:val="tx1"/>
            </w14:solidFill>
          </w14:textFill>
        </w:rPr>
        <w:t>自评得分为</w:t>
      </w:r>
      <w:r>
        <w:rPr>
          <w:rFonts w:hint="eastAsia" w:ascii="仿宋" w:hAnsi="仿宋" w:eastAsia="仿宋" w:cs="仿宋"/>
          <w:color w:val="000000" w:themeColor="text1"/>
          <w:sz w:val="32"/>
          <w:szCs w:val="32"/>
          <w:lang w:val="en-US" w:eastAsia="zh-CN"/>
          <w14:textFill>
            <w14:solidFill>
              <w14:schemeClr w14:val="tx1"/>
            </w14:solidFill>
          </w14:textFill>
        </w:rPr>
        <w:t>90.46</w:t>
      </w:r>
      <w:r>
        <w:rPr>
          <w:rFonts w:hint="eastAsia" w:ascii="仿宋" w:hAnsi="仿宋" w:eastAsia="仿宋" w:cs="仿宋"/>
          <w:color w:val="000000" w:themeColor="text1"/>
          <w:sz w:val="32"/>
          <w:szCs w:val="32"/>
          <w14:textFill>
            <w14:solidFill>
              <w14:schemeClr w14:val="tx1"/>
            </w14:solidFill>
          </w14:textFill>
        </w:rPr>
        <w:t>分。发现的主要问题及原因：一是</w:t>
      </w:r>
      <w:r>
        <w:rPr>
          <w:rFonts w:hint="eastAsia" w:ascii="仿宋" w:hAnsi="仿宋" w:eastAsia="仿宋" w:cs="仿宋"/>
          <w:color w:val="000000" w:themeColor="text1"/>
          <w:sz w:val="32"/>
          <w:szCs w:val="32"/>
          <w:lang w:eastAsia="zh-CN"/>
          <w14:textFill>
            <w14:solidFill>
              <w14:schemeClr w14:val="tx1"/>
            </w14:solidFill>
          </w14:textFill>
        </w:rPr>
        <w:t>免费开放活动开展不及时，部分业务开展后未能及时支付</w:t>
      </w:r>
      <w:r>
        <w:rPr>
          <w:rFonts w:hint="eastAsia" w:ascii="仿宋" w:hAnsi="仿宋" w:eastAsia="仿宋" w:cs="仿宋"/>
          <w:color w:val="000000" w:themeColor="text1"/>
          <w:sz w:val="32"/>
          <w:szCs w:val="32"/>
          <w14:textFill>
            <w14:solidFill>
              <w14:schemeClr w14:val="tx1"/>
            </w14:solidFill>
          </w14:textFill>
        </w:rPr>
        <w:t>。下一步改进措施：一是</w:t>
      </w:r>
      <w:r>
        <w:rPr>
          <w:rFonts w:hint="eastAsia" w:ascii="仿宋" w:hAnsi="仿宋" w:eastAsia="仿宋" w:cs="仿宋"/>
          <w:color w:val="000000" w:themeColor="text1"/>
          <w:sz w:val="32"/>
          <w:szCs w:val="32"/>
          <w:lang w:eastAsia="zh-CN"/>
          <w14:textFill>
            <w14:solidFill>
              <w14:schemeClr w14:val="tx1"/>
            </w14:solidFill>
          </w14:textFill>
        </w:rPr>
        <w:t>完善各项业务的开展计划及时开展活动</w:t>
      </w:r>
      <w:r>
        <w:rPr>
          <w:rFonts w:hint="eastAsia" w:ascii="仿宋" w:hAnsi="仿宋" w:eastAsia="仿宋" w:cs="仿宋"/>
          <w:color w:val="000000" w:themeColor="text1"/>
          <w:sz w:val="32"/>
          <w:szCs w:val="32"/>
          <w14:textFill>
            <w14:solidFill>
              <w14:schemeClr w14:val="tx1"/>
            </w14:solidFill>
          </w14:textFill>
        </w:rPr>
        <w:t>；二是</w:t>
      </w:r>
      <w:r>
        <w:rPr>
          <w:rFonts w:hint="eastAsia" w:ascii="仿宋" w:hAnsi="仿宋" w:eastAsia="仿宋" w:cs="仿宋"/>
          <w:color w:val="000000" w:themeColor="text1"/>
          <w:sz w:val="32"/>
          <w:szCs w:val="32"/>
          <w:lang w:eastAsia="zh-CN"/>
          <w14:textFill>
            <w14:solidFill>
              <w14:schemeClr w14:val="tx1"/>
            </w14:solidFill>
          </w14:textFill>
        </w:rPr>
        <w:t>业务开展后及时支付款项；图书购置费</w:t>
      </w:r>
      <w:r>
        <w:rPr>
          <w:rFonts w:hint="eastAsia" w:ascii="仿宋" w:hAnsi="仿宋" w:eastAsia="仿宋" w:cs="仿宋"/>
          <w:color w:val="000000" w:themeColor="text1"/>
          <w:sz w:val="32"/>
          <w:szCs w:val="32"/>
          <w14:textFill>
            <w14:solidFill>
              <w14:schemeClr w14:val="tx1"/>
            </w14:solidFill>
          </w14:textFill>
        </w:rPr>
        <w:t>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p>
    <w:p>
      <w:pPr>
        <w:jc w:val="left"/>
        <w:rPr>
          <w:rFonts w:hint="eastAsia" w:ascii="仿宋" w:hAnsi="仿宋" w:eastAsia="仿宋" w:cs="仿宋"/>
          <w:sz w:val="32"/>
          <w:szCs w:val="32"/>
          <w:highlight w:val="none"/>
        </w:rPr>
      </w:pPr>
    </w:p>
    <w:p>
      <w:pPr>
        <w:jc w:val="left"/>
        <w:rPr>
          <w:rFonts w:hint="eastAsia" w:ascii="仿宋" w:hAnsi="仿宋" w:eastAsia="仿宋" w:cs="仿宋"/>
          <w:sz w:val="32"/>
          <w:szCs w:val="32"/>
          <w:highlight w:val="none"/>
        </w:r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ascii="仿宋" w:hAnsi="仿宋" w:eastAsia="仿宋" w:cs="仿宋"/>
          <w:sz w:val="32"/>
          <w:u w:color="auto"/>
        </w:rPr>
        <w:t>环江毛南族自治县财政部门当年拨付的资金。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ascii="仿宋" w:hAnsi="仿宋" w:eastAsia="仿宋" w:cs="仿宋"/>
          <w:sz w:val="32"/>
          <w:u w:color="auto"/>
        </w:rPr>
        <w:t>环江毛南族自治县财政预决算管理的“三公”经费，是指环江毛南族自治县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jc w:val="left"/>
        <w:rPr>
          <w:rFonts w:hint="eastAsia" w:ascii="仿宋" w:hAnsi="仿宋" w:eastAsia="仿宋" w:cs="仿宋"/>
          <w:sz w:val="32"/>
          <w:szCs w:val="32"/>
          <w:highlight w:val="none"/>
        </w:rPr>
      </w:pP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BjNDJlMGQ2ZjdmMTgxMzU4NjJjNjBhMjNiMzg3NmE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20C171D"/>
    <w:rsid w:val="0216715F"/>
    <w:rsid w:val="02E0291A"/>
    <w:rsid w:val="04E54546"/>
    <w:rsid w:val="05992762"/>
    <w:rsid w:val="07B0770E"/>
    <w:rsid w:val="084B36C3"/>
    <w:rsid w:val="084D7140"/>
    <w:rsid w:val="0942143F"/>
    <w:rsid w:val="0ACC6482"/>
    <w:rsid w:val="0D100297"/>
    <w:rsid w:val="0D202B45"/>
    <w:rsid w:val="0E8B742D"/>
    <w:rsid w:val="0F8D4C87"/>
    <w:rsid w:val="10505FAA"/>
    <w:rsid w:val="105F7E7E"/>
    <w:rsid w:val="11BC28CE"/>
    <w:rsid w:val="11E56B5B"/>
    <w:rsid w:val="123957CC"/>
    <w:rsid w:val="125C77AB"/>
    <w:rsid w:val="13C55F7C"/>
    <w:rsid w:val="14CB726E"/>
    <w:rsid w:val="169173BC"/>
    <w:rsid w:val="17E92249"/>
    <w:rsid w:val="18D304F1"/>
    <w:rsid w:val="19F32577"/>
    <w:rsid w:val="19F45B80"/>
    <w:rsid w:val="1A2F4EE2"/>
    <w:rsid w:val="1A8C7197"/>
    <w:rsid w:val="1B0C078D"/>
    <w:rsid w:val="1B2B31E2"/>
    <w:rsid w:val="1B4C295A"/>
    <w:rsid w:val="1B973C63"/>
    <w:rsid w:val="1BA1001E"/>
    <w:rsid w:val="1C0D3DD3"/>
    <w:rsid w:val="1D317259"/>
    <w:rsid w:val="1DA44905"/>
    <w:rsid w:val="1E664F5B"/>
    <w:rsid w:val="1EB34BE1"/>
    <w:rsid w:val="1F295F43"/>
    <w:rsid w:val="215E639F"/>
    <w:rsid w:val="21EC3183"/>
    <w:rsid w:val="225E72CD"/>
    <w:rsid w:val="236E2ABD"/>
    <w:rsid w:val="23735317"/>
    <w:rsid w:val="23BF2680"/>
    <w:rsid w:val="246E2F77"/>
    <w:rsid w:val="254B4E2B"/>
    <w:rsid w:val="283D7C94"/>
    <w:rsid w:val="286602E5"/>
    <w:rsid w:val="29480E03"/>
    <w:rsid w:val="2983634D"/>
    <w:rsid w:val="2AF35FD0"/>
    <w:rsid w:val="2BB02055"/>
    <w:rsid w:val="2C575A56"/>
    <w:rsid w:val="2F257714"/>
    <w:rsid w:val="2F3275E5"/>
    <w:rsid w:val="30AA08EF"/>
    <w:rsid w:val="30D23D1C"/>
    <w:rsid w:val="30E24E51"/>
    <w:rsid w:val="31221CF5"/>
    <w:rsid w:val="31400178"/>
    <w:rsid w:val="321E3342"/>
    <w:rsid w:val="327759C8"/>
    <w:rsid w:val="33185FE3"/>
    <w:rsid w:val="33BB07E2"/>
    <w:rsid w:val="34EE2E36"/>
    <w:rsid w:val="36777241"/>
    <w:rsid w:val="371E78D5"/>
    <w:rsid w:val="38A951DB"/>
    <w:rsid w:val="38B31605"/>
    <w:rsid w:val="39003F4F"/>
    <w:rsid w:val="3BD2180D"/>
    <w:rsid w:val="3C07002B"/>
    <w:rsid w:val="3D0D152A"/>
    <w:rsid w:val="3DF62756"/>
    <w:rsid w:val="3F1B7587"/>
    <w:rsid w:val="41E57B4F"/>
    <w:rsid w:val="42D3303D"/>
    <w:rsid w:val="432F26F6"/>
    <w:rsid w:val="43880F63"/>
    <w:rsid w:val="43C5172E"/>
    <w:rsid w:val="441C5A6F"/>
    <w:rsid w:val="44C44FCC"/>
    <w:rsid w:val="44CC7369"/>
    <w:rsid w:val="457F5108"/>
    <w:rsid w:val="46951B6B"/>
    <w:rsid w:val="497C7B9F"/>
    <w:rsid w:val="49952B23"/>
    <w:rsid w:val="49A34401"/>
    <w:rsid w:val="4A1B12EF"/>
    <w:rsid w:val="4A3E30AB"/>
    <w:rsid w:val="4AC14DAC"/>
    <w:rsid w:val="4D154C85"/>
    <w:rsid w:val="4EB35ECE"/>
    <w:rsid w:val="50307C8A"/>
    <w:rsid w:val="508F4E24"/>
    <w:rsid w:val="51461E90"/>
    <w:rsid w:val="51463753"/>
    <w:rsid w:val="514F15EF"/>
    <w:rsid w:val="52553A93"/>
    <w:rsid w:val="53521F8B"/>
    <w:rsid w:val="53E22F47"/>
    <w:rsid w:val="54522FF8"/>
    <w:rsid w:val="55450629"/>
    <w:rsid w:val="56692963"/>
    <w:rsid w:val="568B0F48"/>
    <w:rsid w:val="568B1FD5"/>
    <w:rsid w:val="573B1A89"/>
    <w:rsid w:val="5786217B"/>
    <w:rsid w:val="59337A15"/>
    <w:rsid w:val="59810274"/>
    <w:rsid w:val="5CA96A00"/>
    <w:rsid w:val="5CF730BC"/>
    <w:rsid w:val="5E5F0DCE"/>
    <w:rsid w:val="5F363D32"/>
    <w:rsid w:val="5FA40A7B"/>
    <w:rsid w:val="5FAC0868"/>
    <w:rsid w:val="5FD56D29"/>
    <w:rsid w:val="5FEC7F3F"/>
    <w:rsid w:val="601826F2"/>
    <w:rsid w:val="60F74BC3"/>
    <w:rsid w:val="617D3BF8"/>
    <w:rsid w:val="61841F6A"/>
    <w:rsid w:val="623007A9"/>
    <w:rsid w:val="637D7558"/>
    <w:rsid w:val="644F19AC"/>
    <w:rsid w:val="65AA4920"/>
    <w:rsid w:val="65E31D0B"/>
    <w:rsid w:val="669B46A8"/>
    <w:rsid w:val="673443D5"/>
    <w:rsid w:val="67694F1E"/>
    <w:rsid w:val="67C45CBA"/>
    <w:rsid w:val="69597934"/>
    <w:rsid w:val="6AA24ECC"/>
    <w:rsid w:val="6AB354B9"/>
    <w:rsid w:val="6B964DDC"/>
    <w:rsid w:val="6C25433C"/>
    <w:rsid w:val="6C783074"/>
    <w:rsid w:val="6D9E65C6"/>
    <w:rsid w:val="6DA81947"/>
    <w:rsid w:val="6EB66DE2"/>
    <w:rsid w:val="6ED3075F"/>
    <w:rsid w:val="6F1042CF"/>
    <w:rsid w:val="6F2A2D4B"/>
    <w:rsid w:val="6F8A0C1E"/>
    <w:rsid w:val="703F45D4"/>
    <w:rsid w:val="715D6546"/>
    <w:rsid w:val="71BE069E"/>
    <w:rsid w:val="73953409"/>
    <w:rsid w:val="73E069A3"/>
    <w:rsid w:val="78104AA8"/>
    <w:rsid w:val="78E257C5"/>
    <w:rsid w:val="794B35BE"/>
    <w:rsid w:val="79C749A8"/>
    <w:rsid w:val="7B0A3A31"/>
    <w:rsid w:val="7B3360ED"/>
    <w:rsid w:val="7BDF037E"/>
    <w:rsid w:val="7BF50948"/>
    <w:rsid w:val="7CAC65D6"/>
    <w:rsid w:val="7CE66A78"/>
    <w:rsid w:val="7D23564C"/>
    <w:rsid w:val="7D5E062D"/>
    <w:rsid w:val="7DF76CD8"/>
    <w:rsid w:val="7F695C26"/>
    <w:rsid w:val="7FCF62D3"/>
    <w:rsid w:val="7FE51F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hart" Target="charts/chart13.xml"/><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6.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9.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12.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13.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一般公共预算财政拨款收入</c:v>
                </c:pt>
              </c:strCache>
            </c:strRef>
          </c:cat>
          <c:val>
            <c:numRef>
              <c:f>Sheet1!$B$2</c:f>
              <c:numCache>
                <c:formatCode>General</c:formatCode>
                <c:ptCount val="1"/>
                <c:pt idx="0">
                  <c:v>135.63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Sheet1!$A$2:$A$13</c:f>
              <c:strCach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strCache>
            </c:strRef>
          </c:cat>
          <c:val>
            <c:numRef>
              <c:f>Sheet1!$B$2:$B$13</c:f>
              <c:numCache>
                <c:formatCode>General</c:formatCode>
                <c:ptCount val="12"/>
                <c:pt idx="0">
                  <c:v>0</c:v>
                </c:pt>
                <c:pt idx="1">
                  <c:v>0</c:v>
                </c:pt>
                <c:pt idx="2">
                  <c:v>0</c:v>
                </c:pt>
                <c:pt idx="3">
                  <c:v>0</c:v>
                </c:pt>
                <c:pt idx="4">
                  <c:v>2.79</c:v>
                </c:pt>
                <c:pt idx="5">
                  <c:v>0</c:v>
                </c:pt>
                <c:pt idx="6">
                  <c:v>0</c:v>
                </c:pt>
                <c:pt idx="7">
                  <c:v>0</c:v>
                </c:pt>
                <c:pt idx="8">
                  <c:v>0</c:v>
                </c:pt>
                <c:pt idx="9">
                  <c:v>0</c:v>
                </c:pt>
                <c:pt idx="10">
                  <c:v>0</c:v>
                </c:pt>
                <c:pt idx="1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30701</c:v>
                </c:pt>
                <c:pt idx="1">
                  <c:v>30702</c:v>
                </c:pt>
              </c:strCache>
            </c:str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Sheet1!$A$2:$A$17</c:f>
              <c:strCach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strCache>
            </c:str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39907</c:v>
                </c:pt>
                <c:pt idx="1">
                  <c:v>39908</c:v>
                </c:pt>
                <c:pt idx="2">
                  <c:v>39909</c:v>
                </c:pt>
                <c:pt idx="3">
                  <c:v>39910</c:v>
                </c:pt>
                <c:pt idx="4">
                  <c:v>39999</c:v>
                </c:pt>
              </c:strCache>
            </c:str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elete val="1"/>
          </c:dLbls>
          <c:cat>
            <c:strRef>
              <c:f>Sheet1!$A$2:$A$6</c:f>
              <c:strCache>
                <c:ptCount val="5"/>
                <c:pt idx="0">
                  <c:v>一般公共服务支出</c:v>
                </c:pt>
                <c:pt idx="1">
                  <c:v>文化旅游体育与传媒支出</c:v>
                </c:pt>
                <c:pt idx="2">
                  <c:v>社会保障和就业支出</c:v>
                </c:pt>
                <c:pt idx="3">
                  <c:v>住房保障支出</c:v>
                </c:pt>
                <c:pt idx="4">
                  <c:v>其他支出</c:v>
                </c:pt>
              </c:strCache>
            </c:strRef>
          </c:cat>
          <c:val>
            <c:numRef>
              <c:f>Sheet1!$B$2:$B$6</c:f>
              <c:numCache>
                <c:formatCode>General</c:formatCode>
                <c:ptCount val="5"/>
                <c:pt idx="0">
                  <c:v>0</c:v>
                </c:pt>
                <c:pt idx="1">
                  <c:v>94.73</c:v>
                </c:pt>
                <c:pt idx="2">
                  <c:v>10.52</c:v>
                </c:pt>
                <c:pt idx="3">
                  <c:v>7.94</c:v>
                </c:pt>
                <c:pt idx="4">
                  <c:v>21.76</c:v>
                </c:pt>
              </c:numCache>
            </c:numRef>
          </c:val>
        </c:ser>
        <c:ser>
          <c:idx val="1"/>
          <c:order val="1"/>
          <c:tx>
            <c:strRef>
              <c:f>Sheet1!$C$1</c:f>
              <c:strCache>
                <c:ptCount val="1"/>
                <c:pt idx="0">
                  <c:v>2022年</c:v>
                </c:pt>
              </c:strCache>
            </c:strRef>
          </c:tx>
          <c:spPr>
            <a:solidFill>
              <a:schemeClr val="accent2"/>
            </a:solidFill>
            <a:ln>
              <a:noFill/>
            </a:ln>
            <a:effectLst/>
          </c:spPr>
          <c:invertIfNegative val="0"/>
          <c:dLbls>
            <c:delete val="1"/>
          </c:dLbls>
          <c:cat>
            <c:strRef>
              <c:f>Sheet1!$A$2:$A$6</c:f>
              <c:strCache>
                <c:ptCount val="5"/>
                <c:pt idx="0">
                  <c:v>一般公共服务支出</c:v>
                </c:pt>
                <c:pt idx="1">
                  <c:v>文化旅游体育与传媒支出</c:v>
                </c:pt>
                <c:pt idx="2">
                  <c:v>社会保障和就业支出</c:v>
                </c:pt>
                <c:pt idx="3">
                  <c:v>住房保障支出</c:v>
                </c:pt>
                <c:pt idx="4">
                  <c:v>其他支出</c:v>
                </c:pt>
              </c:strCache>
            </c:strRef>
          </c:cat>
          <c:val>
            <c:numRef>
              <c:f>Sheet1!$C$2:$C$6</c:f>
              <c:numCache>
                <c:formatCode>General</c:formatCode>
                <c:ptCount val="5"/>
                <c:pt idx="0">
                  <c:v>1.35</c:v>
                </c:pt>
                <c:pt idx="1">
                  <c:v>100.31</c:v>
                </c:pt>
                <c:pt idx="2">
                  <c:v>10.47</c:v>
                </c:pt>
                <c:pt idx="3">
                  <c:v>8.04</c:v>
                </c:pt>
                <c:pt idx="4">
                  <c:v>15.46</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2012999</c:v>
                </c:pt>
                <c:pt idx="1">
                  <c:v>201x</c:v>
                </c:pt>
              </c:strCache>
            </c:strRef>
          </c:cat>
          <c:val>
            <c:numRef>
              <c:f>Sheet1!$B$2:$B$3</c:f>
              <c:numCache>
                <c:formatCode>General</c:formatCode>
                <c:ptCount val="2"/>
                <c:pt idx="0">
                  <c:v>1.35</c:v>
                </c:pt>
                <c:pt idx="1">
                  <c:v>1.35</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文化旅游体育与传媒支出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Sheet1!$A$2:$A$4</c:f>
              <c:strCache>
                <c:ptCount val="3"/>
                <c:pt idx="0">
                  <c:v>2070104</c:v>
                </c:pt>
                <c:pt idx="1">
                  <c:v>2070199</c:v>
                </c:pt>
                <c:pt idx="2">
                  <c:v>207x</c:v>
                </c:pt>
              </c:strCache>
            </c:strRef>
          </c:cat>
          <c:val>
            <c:numRef>
              <c:f>Sheet1!$B$2:$B$4</c:f>
              <c:numCache>
                <c:formatCode>General</c:formatCode>
                <c:ptCount val="3"/>
                <c:pt idx="0">
                  <c:v>74.52</c:v>
                </c:pt>
                <c:pt idx="1">
                  <c:v>25.79</c:v>
                </c:pt>
                <c:pt idx="2">
                  <c:v>100.31</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2080505</c:v>
                </c:pt>
                <c:pt idx="1">
                  <c:v>208x</c:v>
                </c:pt>
              </c:strCache>
            </c:strRef>
          </c:cat>
          <c:val>
            <c:numRef>
              <c:f>Sheet1!$B$2:$B$3</c:f>
              <c:numCache>
                <c:formatCode>General</c:formatCode>
                <c:ptCount val="2"/>
                <c:pt idx="0">
                  <c:v>10.47</c:v>
                </c:pt>
                <c:pt idx="1">
                  <c:v>10.47</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8.04</c:v>
                </c:pt>
                <c:pt idx="1">
                  <c:v>8.04</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2299999</c:v>
                </c:pt>
                <c:pt idx="1">
                  <c:v>229x</c:v>
                </c:pt>
              </c:strCache>
            </c:strRef>
          </c:cat>
          <c:val>
            <c:numRef>
              <c:f>Sheet1!$B$2:$B$3</c:f>
              <c:numCache>
                <c:formatCode>General</c:formatCode>
                <c:ptCount val="2"/>
                <c:pt idx="0">
                  <c:v>15.46</c:v>
                </c:pt>
                <c:pt idx="1">
                  <c:v>15.46</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Sheet1!$A$2:$A$14</c:f>
              <c:strCach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strCache>
            </c:strRef>
          </c:cat>
          <c:val>
            <c:numRef>
              <c:f>Sheet1!$B$2:$B$14</c:f>
              <c:numCache>
                <c:formatCode>General</c:formatCode>
                <c:ptCount val="13"/>
                <c:pt idx="0">
                  <c:v>31.03</c:v>
                </c:pt>
                <c:pt idx="1">
                  <c:v>1.77</c:v>
                </c:pt>
                <c:pt idx="2">
                  <c:v>7.56</c:v>
                </c:pt>
                <c:pt idx="3">
                  <c:v>1.4</c:v>
                </c:pt>
                <c:pt idx="4">
                  <c:v>13.93</c:v>
                </c:pt>
                <c:pt idx="5">
                  <c:v>10.47</c:v>
                </c:pt>
                <c:pt idx="6">
                  <c:v>0</c:v>
                </c:pt>
                <c:pt idx="7">
                  <c:v>4.43</c:v>
                </c:pt>
                <c:pt idx="8">
                  <c:v>0</c:v>
                </c:pt>
                <c:pt idx="9">
                  <c:v>0.32</c:v>
                </c:pt>
                <c:pt idx="10">
                  <c:v>8.04</c:v>
                </c:pt>
                <c:pt idx="11">
                  <c:v>0</c:v>
                </c:pt>
                <c:pt idx="12">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Sheet1!$A$2:$A$28</c:f>
              <c:strCach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strCache>
            </c:strRef>
          </c:cat>
          <c:val>
            <c:numRef>
              <c:f>Sheet1!$B$2:$B$28</c:f>
              <c:numCache>
                <c:formatCode>General</c:formatCode>
                <c:ptCount val="27"/>
                <c:pt idx="0">
                  <c:v>0</c:v>
                </c:pt>
                <c:pt idx="1">
                  <c:v>0</c:v>
                </c:pt>
                <c:pt idx="2">
                  <c:v>0</c:v>
                </c:pt>
                <c:pt idx="3">
                  <c:v>0</c:v>
                </c:pt>
                <c:pt idx="4">
                  <c:v>0.1</c:v>
                </c:pt>
                <c:pt idx="5">
                  <c:v>0.39</c:v>
                </c:pt>
                <c:pt idx="6">
                  <c:v>0</c:v>
                </c:pt>
                <c:pt idx="7">
                  <c:v>0</c:v>
                </c:pt>
                <c:pt idx="8">
                  <c:v>0</c:v>
                </c:pt>
                <c:pt idx="9">
                  <c:v>1.16</c:v>
                </c:pt>
                <c:pt idx="10">
                  <c:v>0</c:v>
                </c:pt>
                <c:pt idx="11">
                  <c:v>0</c:v>
                </c:pt>
                <c:pt idx="12">
                  <c:v>0</c:v>
                </c:pt>
                <c:pt idx="13">
                  <c:v>0</c:v>
                </c:pt>
                <c:pt idx="14">
                  <c:v>0</c:v>
                </c:pt>
                <c:pt idx="15">
                  <c:v>0</c:v>
                </c:pt>
                <c:pt idx="16">
                  <c:v>0</c:v>
                </c:pt>
                <c:pt idx="17">
                  <c:v>0</c:v>
                </c:pt>
                <c:pt idx="18">
                  <c:v>0</c:v>
                </c:pt>
                <c:pt idx="19">
                  <c:v>0</c:v>
                </c:pt>
                <c:pt idx="20">
                  <c:v>0</c:v>
                </c:pt>
                <c:pt idx="21">
                  <c:v>1.35</c:v>
                </c:pt>
                <c:pt idx="22">
                  <c:v>0</c:v>
                </c:pt>
                <c:pt idx="23">
                  <c:v>0.62</c:v>
                </c:pt>
                <c:pt idx="24">
                  <c:v>0</c:v>
                </c:pt>
                <c:pt idx="25">
                  <c:v>0</c:v>
                </c:pt>
                <c:pt idx="26">
                  <c:v>0.03</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0CACF-E88F-4774-9588-59B2C8C8876C}">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6615</Words>
  <Characters>13844</Characters>
  <Lines>90</Lines>
  <Paragraphs>25</Paragraphs>
  <TotalTime>42</TotalTime>
  <ScaleCrop>false</ScaleCrop>
  <LinksUpToDate>false</LinksUpToDate>
  <CharactersWithSpaces>13937</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Administrator</cp:lastModifiedBy>
  <cp:lastPrinted>2023-11-20T08:38:00Z</cp:lastPrinted>
  <dcterms:modified xsi:type="dcterms:W3CDTF">2023-11-27T08:11:07Z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843F27823027460BAAAF19DF60EFFF0C_13</vt:lpwstr>
  </property>
</Properties>
</file>