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646"/>
        <w:jc w:val="left"/>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环江毛南族自治县社会科学界联合会</w:t>
      </w:r>
    </w:p>
    <w:p>
      <w:pPr>
        <w:spacing w:line="560" w:lineRule="exact"/>
        <w:ind w:firstLine="2240" w:firstLineChars="507"/>
        <w:jc w:val="left"/>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第一部分：部门概况</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表七：</w:t>
      </w:r>
      <w:r>
        <w:rPr>
          <w:rFonts w:hint="eastAsia" w:ascii="仿宋_GB2312" w:hAnsi="仿宋_GB2312" w:eastAsia="仿宋_GB2312" w:cs="仿宋_GB2312"/>
          <w:spacing w:val="-6"/>
          <w:sz w:val="32"/>
          <w:szCs w:val="32"/>
        </w:rPr>
        <w:t>政府性基金预算财政拨款收入支出决算表</w:t>
      </w:r>
    </w:p>
    <w:p>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表八：国有资本经营预算财政拨款支出决算表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表九：财政拨款“三公”经费支出决算表</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四、</w:t>
      </w:r>
      <w:r>
        <w:rPr>
          <w:rFonts w:hint="eastAsia" w:ascii="仿宋_GB2312" w:eastAsia="仿宋_GB2312" w:cs="仿宋_GB2312"/>
          <w:kern w:val="0"/>
          <w:sz w:val="32"/>
          <w:szCs w:val="32"/>
          <w:highlight w:val="none"/>
        </w:rPr>
        <w:t>2022年度政府性基金支出决算情况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五、2022年度国有资本经营预算财政拨款支出决算情况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预算绩效管理工作开展情况</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第一部分：部门概况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1、负责</w:t>
      </w:r>
      <w:r>
        <w:rPr>
          <w:rFonts w:hint="eastAsia" w:ascii="黑体" w:hAnsi="黑体" w:eastAsia="仿宋_GB2312" w:cs="黑体"/>
          <w:b w:val="0"/>
          <w:bCs w:val="0"/>
          <w:sz w:val="32"/>
          <w:szCs w:val="32"/>
          <w:highlight w:val="none"/>
        </w:rPr>
        <w:t>领导</w:t>
      </w:r>
      <w:r>
        <w:rPr>
          <w:rFonts w:hint="eastAsia" w:ascii="黑体" w:hAnsi="黑体" w:eastAsia="仿宋_GB2312" w:cs="黑体"/>
          <w:b w:val="0"/>
          <w:bCs w:val="0"/>
          <w:sz w:val="32"/>
          <w:szCs w:val="32"/>
          <w:highlight w:val="none"/>
          <w:lang w:eastAsia="zh-CN"/>
        </w:rPr>
        <w:t>、</w:t>
      </w:r>
      <w:r>
        <w:rPr>
          <w:rFonts w:hint="eastAsia" w:ascii="黑体" w:hAnsi="黑体" w:eastAsia="仿宋_GB2312" w:cs="黑体"/>
          <w:b w:val="0"/>
          <w:bCs w:val="0"/>
          <w:sz w:val="32"/>
          <w:szCs w:val="32"/>
          <w:highlight w:val="none"/>
        </w:rPr>
        <w:t>协调和指导县属社会科学各个学会、协会、研究会的工作，对有关的社会科学社团进行监督管理，维护团体会员和广大社会科学工作者的合法权益，听取并反映社会科学界的情况和意见</w:t>
      </w:r>
      <w:r>
        <w:rPr>
          <w:rFonts w:hint="eastAsia" w:ascii="黑体" w:hAnsi="黑体" w:eastAsia="仿宋_GB2312" w:cs="黑体"/>
          <w:b w:val="0"/>
          <w:bCs w:val="0"/>
          <w:sz w:val="32"/>
          <w:szCs w:val="32"/>
          <w:highlight w:val="none"/>
          <w:lang w:eastAsia="zh-CN"/>
        </w:rPr>
        <w:t>。</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2、负责</w:t>
      </w:r>
      <w:r>
        <w:rPr>
          <w:rFonts w:hint="eastAsia" w:ascii="黑体" w:hAnsi="黑体" w:eastAsia="仿宋_GB2312" w:cs="黑体"/>
          <w:b w:val="0"/>
          <w:bCs w:val="0"/>
          <w:sz w:val="32"/>
          <w:szCs w:val="32"/>
          <w:highlight w:val="none"/>
        </w:rPr>
        <w:t>制订自治县社科联学术活动规划，有计划地开展学术研究和交流活动，帮助和支持社会科学工作者进行科研和探索，并促进社会科学工作者和自然科学工作者的联合</w:t>
      </w:r>
      <w:r>
        <w:rPr>
          <w:rFonts w:hint="eastAsia" w:ascii="黑体" w:hAnsi="黑体" w:eastAsia="仿宋_GB2312" w:cs="黑体"/>
          <w:b w:val="0"/>
          <w:bCs w:val="0"/>
          <w:sz w:val="32"/>
          <w:szCs w:val="32"/>
          <w:highlight w:val="none"/>
          <w:lang w:eastAsia="zh-CN"/>
        </w:rPr>
        <w:t>。</w:t>
      </w:r>
    </w:p>
    <w:p>
      <w:pPr>
        <w:ind w:firstLine="640" w:firstLineChars="200"/>
        <w:jc w:val="left"/>
        <w:rPr>
          <w:rFonts w:hint="eastAsia" w:ascii="黑体" w:hAnsi="黑体" w:eastAsia="仿宋_GB2312" w:cs="黑体"/>
          <w:b w:val="0"/>
          <w:bCs w:val="0"/>
          <w:sz w:val="32"/>
          <w:szCs w:val="32"/>
          <w:highlight w:val="none"/>
          <w:lang w:val="en-US" w:eastAsia="zh-CN"/>
        </w:rPr>
      </w:pPr>
      <w:r>
        <w:rPr>
          <w:rFonts w:hint="eastAsia" w:ascii="黑体" w:hAnsi="黑体" w:eastAsia="仿宋_GB2312" w:cs="黑体"/>
          <w:b w:val="0"/>
          <w:bCs w:val="0"/>
          <w:sz w:val="32"/>
          <w:szCs w:val="32"/>
          <w:highlight w:val="none"/>
          <w:lang w:val="en-US" w:eastAsia="zh-CN"/>
        </w:rPr>
        <w:t>3、负责对县属社会科学学术田体及协会的联络、协调和业务指导工作。</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4、负责</w:t>
      </w:r>
      <w:r>
        <w:rPr>
          <w:rFonts w:hint="eastAsia" w:ascii="黑体" w:hAnsi="黑体" w:eastAsia="仿宋_GB2312" w:cs="黑体"/>
          <w:b w:val="0"/>
          <w:bCs w:val="0"/>
          <w:sz w:val="32"/>
          <w:szCs w:val="32"/>
          <w:highlight w:val="none"/>
        </w:rPr>
        <w:t>组织开展学术活动与交流，加强与外地学者、学术团体学术交流</w:t>
      </w:r>
      <w:r>
        <w:rPr>
          <w:rFonts w:hint="eastAsia" w:ascii="黑体" w:hAnsi="黑体" w:eastAsia="仿宋_GB2312" w:cs="黑体"/>
          <w:b w:val="0"/>
          <w:bCs w:val="0"/>
          <w:sz w:val="32"/>
          <w:szCs w:val="32"/>
          <w:highlight w:val="none"/>
          <w:lang w:eastAsia="zh-CN"/>
        </w:rPr>
        <w:t>，加强</w:t>
      </w:r>
      <w:r>
        <w:rPr>
          <w:rFonts w:hint="eastAsia" w:ascii="黑体" w:hAnsi="黑体" w:eastAsia="仿宋_GB2312" w:cs="黑体"/>
          <w:b w:val="0"/>
          <w:bCs w:val="0"/>
          <w:sz w:val="32"/>
          <w:szCs w:val="32"/>
          <w:highlight w:val="none"/>
        </w:rPr>
        <w:t>和友好往来</w:t>
      </w:r>
      <w:r>
        <w:rPr>
          <w:rFonts w:hint="eastAsia" w:ascii="黑体" w:hAnsi="黑体" w:eastAsia="仿宋_GB2312" w:cs="黑体"/>
          <w:b w:val="0"/>
          <w:bCs w:val="0"/>
          <w:sz w:val="32"/>
          <w:szCs w:val="32"/>
          <w:highlight w:val="none"/>
          <w:lang w:eastAsia="zh-CN"/>
        </w:rPr>
        <w:t>。</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5、负责</w:t>
      </w:r>
      <w:r>
        <w:rPr>
          <w:rFonts w:hint="eastAsia" w:ascii="黑体" w:hAnsi="黑体" w:eastAsia="仿宋_GB2312" w:cs="黑体"/>
          <w:b w:val="0"/>
          <w:bCs w:val="0"/>
          <w:sz w:val="32"/>
          <w:szCs w:val="32"/>
          <w:highlight w:val="none"/>
        </w:rPr>
        <w:t>组织开展全县社会科学优秀成果的评奖、评优活动</w:t>
      </w:r>
      <w:r>
        <w:rPr>
          <w:rFonts w:hint="eastAsia" w:ascii="黑体" w:hAnsi="黑体" w:eastAsia="仿宋_GB2312" w:cs="黑体"/>
          <w:b w:val="0"/>
          <w:bCs w:val="0"/>
          <w:sz w:val="32"/>
          <w:szCs w:val="32"/>
          <w:highlight w:val="none"/>
          <w:lang w:eastAsia="zh-CN"/>
        </w:rPr>
        <w:t>。</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6、负责</w:t>
      </w:r>
      <w:r>
        <w:rPr>
          <w:rFonts w:hint="eastAsia" w:ascii="黑体" w:hAnsi="黑体" w:eastAsia="仿宋_GB2312" w:cs="黑体"/>
          <w:b w:val="0"/>
          <w:bCs w:val="0"/>
          <w:sz w:val="32"/>
          <w:szCs w:val="32"/>
          <w:highlight w:val="none"/>
        </w:rPr>
        <w:t>组织开展社会科学知识宣传普及活动</w:t>
      </w:r>
      <w:r>
        <w:rPr>
          <w:rFonts w:hint="eastAsia" w:ascii="黑体" w:hAnsi="黑体" w:eastAsia="仿宋_GB2312" w:cs="黑体"/>
          <w:b w:val="0"/>
          <w:bCs w:val="0"/>
          <w:sz w:val="32"/>
          <w:szCs w:val="32"/>
          <w:highlight w:val="none"/>
          <w:lang w:eastAsia="zh-CN"/>
        </w:rPr>
        <w:t>，从事智力开发和咨询服务。</w:t>
      </w:r>
    </w:p>
    <w:p>
      <w:pPr>
        <w:ind w:firstLine="640" w:firstLineChars="200"/>
        <w:jc w:val="left"/>
        <w:rPr>
          <w:rFonts w:hint="eastAsia" w:ascii="黑体" w:hAnsi="黑体" w:eastAsia="仿宋_GB2312" w:cs="黑体"/>
          <w:b w:val="0"/>
          <w:bCs w:val="0"/>
          <w:sz w:val="32"/>
          <w:szCs w:val="32"/>
          <w:highlight w:val="none"/>
          <w:lang w:eastAsia="zh-CN"/>
        </w:rPr>
      </w:pPr>
      <w:r>
        <w:rPr>
          <w:rFonts w:hint="eastAsia" w:ascii="黑体" w:hAnsi="黑体" w:eastAsia="仿宋_GB2312" w:cs="黑体"/>
          <w:b w:val="0"/>
          <w:bCs w:val="0"/>
          <w:sz w:val="32"/>
          <w:szCs w:val="32"/>
          <w:highlight w:val="none"/>
          <w:lang w:val="en-US" w:eastAsia="zh-CN"/>
        </w:rPr>
        <w:t>7、负责</w:t>
      </w:r>
      <w:r>
        <w:rPr>
          <w:rFonts w:hint="eastAsia" w:ascii="黑体" w:hAnsi="黑体" w:eastAsia="仿宋_GB2312" w:cs="黑体"/>
          <w:b w:val="0"/>
          <w:bCs w:val="0"/>
          <w:sz w:val="32"/>
          <w:szCs w:val="32"/>
          <w:highlight w:val="none"/>
        </w:rPr>
        <w:t>办好学术刊物</w:t>
      </w:r>
      <w:r>
        <w:rPr>
          <w:rFonts w:hint="eastAsia" w:ascii="黑体" w:hAnsi="黑体" w:eastAsia="仿宋_GB2312" w:cs="黑体"/>
          <w:b w:val="0"/>
          <w:bCs w:val="0"/>
          <w:sz w:val="32"/>
          <w:szCs w:val="32"/>
          <w:highlight w:val="none"/>
          <w:lang w:eastAsia="zh-CN"/>
        </w:rPr>
        <w:t>，开展资料信息交流工作。</w:t>
      </w:r>
    </w:p>
    <w:p>
      <w:pPr>
        <w:ind w:firstLine="640" w:firstLineChars="200"/>
        <w:jc w:val="left"/>
        <w:rPr>
          <w:rFonts w:hint="eastAsia" w:ascii="黑体" w:hAnsi="黑体" w:eastAsia="黑体" w:cs="黑体"/>
          <w:sz w:val="32"/>
          <w:szCs w:val="32"/>
          <w:highlight w:val="none"/>
        </w:rPr>
      </w:pPr>
      <w:r>
        <w:rPr>
          <w:rFonts w:hint="eastAsia" w:ascii="黑体" w:hAnsi="黑体" w:eastAsia="仿宋_GB2312" w:cs="黑体"/>
          <w:b w:val="0"/>
          <w:bCs w:val="0"/>
          <w:sz w:val="32"/>
          <w:szCs w:val="32"/>
          <w:highlight w:val="none"/>
          <w:lang w:val="en-US" w:eastAsia="zh-CN"/>
        </w:rPr>
        <w:t>8、</w:t>
      </w:r>
      <w:r>
        <w:rPr>
          <w:rFonts w:hint="eastAsia" w:ascii="黑体" w:hAnsi="黑体" w:eastAsia="仿宋_GB2312" w:cs="黑体"/>
          <w:b w:val="0"/>
          <w:bCs w:val="0"/>
          <w:sz w:val="32"/>
          <w:szCs w:val="32"/>
          <w:highlight w:val="none"/>
        </w:rPr>
        <w:t>承办县委、县人民政府交办的其他工作。</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1．机构情况，包括当年变动情况及原因。</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本单位为参公事业单位</w:t>
      </w:r>
      <w:r>
        <w:rPr>
          <w:rFonts w:hint="eastAsia" w:ascii="仿宋" w:hAnsi="仿宋" w:eastAsia="仿宋" w:cs="仿宋"/>
          <w:sz w:val="32"/>
          <w:szCs w:val="32"/>
          <w:lang w:eastAsia="zh-CN"/>
        </w:rPr>
        <w:t>，</w:t>
      </w:r>
      <w:r>
        <w:rPr>
          <w:rFonts w:hint="eastAsia" w:ascii="仿宋" w:hAnsi="仿宋" w:eastAsia="仿宋" w:cs="仿宋"/>
          <w:sz w:val="32"/>
          <w:szCs w:val="32"/>
        </w:rPr>
        <w:t>由1个独立机构编制数组成，财政</w:t>
      </w:r>
      <w:r>
        <w:rPr>
          <w:rFonts w:hint="eastAsia" w:ascii="仿宋" w:hAnsi="仿宋" w:eastAsia="仿宋" w:cs="仿宋"/>
          <w:sz w:val="32"/>
          <w:szCs w:val="32"/>
          <w:lang w:eastAsia="zh-CN"/>
        </w:rPr>
        <w:t>全</w:t>
      </w:r>
      <w:r>
        <w:rPr>
          <w:rFonts w:hint="eastAsia" w:ascii="仿宋" w:hAnsi="仿宋" w:eastAsia="仿宋" w:cs="仿宋"/>
          <w:sz w:val="32"/>
          <w:szCs w:val="32"/>
        </w:rPr>
        <w:t>额拨</w:t>
      </w:r>
      <w:r>
        <w:rPr>
          <w:rFonts w:hint="eastAsia" w:ascii="仿宋" w:hAnsi="仿宋" w:eastAsia="仿宋" w:cs="仿宋"/>
          <w:sz w:val="32"/>
          <w:szCs w:val="32"/>
          <w:lang w:eastAsia="zh-CN"/>
        </w:rPr>
        <w:t>款机关事业单位，无变化。</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人员情况，包括当年变动情况及原因。</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人员情况</w:t>
      </w:r>
      <w:r>
        <w:rPr>
          <w:rFonts w:hint="eastAsia" w:ascii="仿宋" w:hAnsi="仿宋" w:eastAsia="仿宋" w:cs="仿宋"/>
          <w:sz w:val="32"/>
          <w:szCs w:val="32"/>
          <w:lang w:eastAsia="zh-CN"/>
        </w:rPr>
        <w:t>，</w:t>
      </w:r>
      <w:r>
        <w:rPr>
          <w:rFonts w:hint="eastAsia" w:ascii="仿宋" w:hAnsi="仿宋" w:eastAsia="仿宋" w:cs="仿宋"/>
          <w:sz w:val="32"/>
          <w:szCs w:val="32"/>
        </w:rPr>
        <w:t>年初有2个行政编人员，9月份有1人调入。</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587" w:bottom="1440" w:left="1587"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第二部分：环江毛南族自治县社会科学界联合会2022年度部门决算报表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49.82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4</w:t>
            </w:r>
            <w:r>
              <w:rPr>
                <w:rFonts w:hint="eastAsia" w:ascii="宋体" w:hAnsi="宋体" w:eastAsia="宋体" w:cs="宋体"/>
                <w:b/>
                <w:bCs/>
                <w:color w:val="000000"/>
                <w:sz w:val="22"/>
                <w:szCs w:val="22"/>
                <w:highlight w:val="none"/>
                <w:lang w:val="en-US" w:eastAsia="zh-CN"/>
              </w:rPr>
              <w:t>9.82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w:t>
            </w:r>
            <w:r>
              <w:rPr>
                <w:rFonts w:hint="eastAsia" w:ascii="宋体" w:hAnsi="宋体" w:eastAsia="宋体" w:cs="宋体"/>
                <w:b/>
                <w:bCs/>
                <w:color w:val="000000"/>
                <w:sz w:val="22"/>
                <w:szCs w:val="22"/>
                <w:highlight w:val="none"/>
              </w:rPr>
              <w:t>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37.44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宣传事务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49.82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40.43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48"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37.44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9.82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49.82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49.82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49.82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49.82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40.43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37.44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37.44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9.</w:t>
            </w:r>
            <w:r>
              <w:rPr>
                <w:rFonts w:hint="eastAsia" w:ascii="宋体" w:hAnsi="宋体" w:eastAsia="宋体" w:cs="宋体"/>
                <w:color w:val="000000"/>
                <w:kern w:val="0"/>
                <w:sz w:val="22"/>
                <w:szCs w:val="22"/>
                <w:highlight w:val="none"/>
                <w:lang w:val="en-US" w:eastAsia="zh-CN" w:bidi="ar"/>
              </w:rPr>
              <w:t>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36.96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36.96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36.96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36.96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9.38</w:t>
            </w:r>
          </w:p>
        </w:tc>
      </w:tr>
      <w:tr>
        <w:tblPrEx>
          <w:tblCellMar>
            <w:top w:w="0" w:type="dxa"/>
            <w:left w:w="108" w:type="dxa"/>
            <w:bottom w:w="0" w:type="dxa"/>
            <w:right w:w="108" w:type="dxa"/>
          </w:tblCellMar>
        </w:tblPrEx>
        <w:trPr>
          <w:trHeight w:val="331"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val="en-US" w:eastAsia="zh-CN"/>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36.76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0"/>
                <w:sz w:val="22"/>
                <w:szCs w:val="22"/>
                <w:highlight w:val="none"/>
                <w:lang w:val="en-US" w:eastAsia="zh-CN" w:bidi="ar"/>
              </w:rPr>
              <w:t>0.46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0.06</w:t>
            </w:r>
          </w:p>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val="0"/>
                <w:bCs w:val="0"/>
                <w:color w:val="000000"/>
                <w:kern w:val="2"/>
                <w:sz w:val="22"/>
                <w:szCs w:val="22"/>
                <w:highlight w:val="none"/>
                <w:lang w:val="en-US" w:eastAsia="zh-CN" w:bidi="ar-SA"/>
              </w:rPr>
            </w:pPr>
            <w:r>
              <w:rPr>
                <w:rFonts w:hint="default" w:ascii="宋体" w:hAnsi="宋体" w:eastAsia="宋体" w:cs="宋体"/>
                <w:b w:val="0"/>
                <w:bCs w:val="0"/>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3.17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36.67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3.67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部门：环江毛南族自治县社会科学界联合会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第三部分：环江毛南族自治县社会科学界联合会</w:t>
      </w:r>
    </w:p>
    <w:p>
      <w:pPr>
        <w:jc w:val="center"/>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rPr>
        <w:t>9.32</w:t>
      </w:r>
      <w:r>
        <w:rPr>
          <w:rFonts w:hint="eastAsia" w:ascii="仿宋" w:hAnsi="仿宋" w:eastAsia="仿宋" w:cs="仿宋"/>
          <w:sz w:val="32"/>
          <w:szCs w:val="32"/>
          <w:highlight w:val="none"/>
        </w:rPr>
        <w:t>万元，</w:t>
      </w:r>
      <w:r>
        <w:rPr>
          <w:rFonts w:ascii="仿宋" w:hAnsi="仿宋" w:eastAsia="仿宋" w:cs="仿宋"/>
          <w:sz w:val="32"/>
          <w:u w:color="auto"/>
        </w:rPr>
        <w:t>下降1</w:t>
      </w:r>
      <w:r>
        <w:rPr>
          <w:rFonts w:hint="eastAsia" w:ascii="仿宋" w:hAnsi="仿宋" w:eastAsia="仿宋" w:cs="仿宋"/>
          <w:sz w:val="32"/>
          <w:u w:color="auto"/>
          <w:lang w:val="en-US" w:eastAsia="zh-CN"/>
        </w:rPr>
        <w:t>8.71</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1.一般公共预算财政拨款收入49.82万元，为县本级财政当年拨付的资金。较2021年度决算数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9.32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18.71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主要原因：人员减少，有人员调出。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主要原因：本单位没有政府性基金预算财政拨款收入。      </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主要原因是：本单位没有国有资本经营预算财政拨款收入。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 xml:space="preserve">本单位没有其他收入。  </w:t>
      </w: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242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12.95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20.63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37.44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：保障机关事业单位正常运转，支持单位部门履行职能，保障单位部门的项目支出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13.37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主要原因是：人员减少，经费支出减少，有人员调出。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：本单位职工基本养老保险缴费同支出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0.34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7.54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职工住房保障及公积金</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7.31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default" w:ascii="仿宋" w:hAnsi="仿宋" w:eastAsia="仿宋" w:cs="仿宋"/>
          <w:sz w:val="32"/>
          <w:szCs w:val="32"/>
          <w:highlight w:val="none"/>
          <w:lang w:bidi="ar"/>
        </w:rPr>
        <w:t>结余分配</w:t>
      </w:r>
      <w:r>
        <w:rPr>
          <w:rFonts w:hint="eastAsia" w:ascii="仿宋" w:hAnsi="仿宋" w:eastAsia="仿宋" w:cs="仿宋"/>
          <w:sz w:val="32"/>
          <w:szCs w:val="32"/>
          <w:highlight w:val="none"/>
          <w:lang w:bidi="ar"/>
        </w:rPr>
        <w:t>0.00</w:t>
      </w:r>
      <w:r>
        <w:rPr>
          <w:rFonts w:hint="default" w:ascii="仿宋" w:hAnsi="仿宋" w:eastAsia="仿宋" w:cs="仿宋"/>
          <w:sz w:val="32"/>
          <w:szCs w:val="32"/>
          <w:highlight w:val="none"/>
          <w:lang w:bidi="ar"/>
        </w:rPr>
        <w:t>万元，为事业单位按规定提取的专用结余、缴纳所得税和转入非财政拨款结余等。较202</w:t>
      </w:r>
      <w:r>
        <w:rPr>
          <w:rFonts w:hint="eastAsia" w:ascii="仿宋" w:hAnsi="仿宋" w:eastAsia="仿宋" w:cs="仿宋"/>
          <w:sz w:val="32"/>
          <w:szCs w:val="32"/>
          <w:highlight w:val="none"/>
          <w:lang w:val="en-US" w:eastAsia="zh-CN" w:bidi="ar"/>
        </w:rPr>
        <w:t>1</w:t>
      </w:r>
      <w:r>
        <w:rPr>
          <w:rFonts w:hint="default" w:ascii="仿宋" w:hAnsi="仿宋" w:eastAsia="仿宋" w:cs="仿宋"/>
          <w:sz w:val="32"/>
          <w:szCs w:val="32"/>
          <w:highlight w:val="none"/>
          <w:lang w:bidi="ar"/>
        </w:rPr>
        <w:t>年决算</w:t>
      </w:r>
      <w:r>
        <w:rPr>
          <w:rFonts w:hint="eastAsia" w:ascii="仿宋" w:hAnsi="仿宋" w:eastAsia="仿宋" w:cs="仿宋"/>
          <w:sz w:val="32"/>
          <w:szCs w:val="32"/>
          <w:highlight w:val="none"/>
          <w:lang w:bidi="ar"/>
        </w:rPr>
        <w:t>0.00</w:t>
      </w:r>
      <w:r>
        <w:rPr>
          <w:rFonts w:hint="default" w:ascii="仿宋" w:hAnsi="仿宋" w:eastAsia="仿宋" w:cs="仿宋"/>
          <w:sz w:val="32"/>
          <w:szCs w:val="32"/>
          <w:highlight w:val="none"/>
          <w:lang w:bidi="ar"/>
        </w:rPr>
        <w:t>万元</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增加0.00</w:t>
      </w:r>
      <w:r>
        <w:rPr>
          <w:rFonts w:hint="default" w:ascii="仿宋" w:hAnsi="仿宋" w:eastAsia="仿宋" w:cs="仿宋"/>
          <w:sz w:val="32"/>
          <w:szCs w:val="32"/>
          <w:highlight w:val="none"/>
          <w:lang w:bidi="ar"/>
        </w:rPr>
        <w:t>万元，</w:t>
      </w:r>
      <w:r>
        <w:rPr>
          <w:rFonts w:hint="eastAsia" w:ascii="仿宋" w:hAnsi="仿宋" w:eastAsia="仿宋" w:cs="仿宋"/>
          <w:sz w:val="32"/>
          <w:szCs w:val="32"/>
          <w:highlight w:val="none"/>
          <w:lang w:bidi="ar"/>
        </w:rPr>
        <w:t>增长0%</w:t>
      </w:r>
      <w:r>
        <w:rPr>
          <w:rFonts w:hint="default" w:ascii="仿宋" w:hAnsi="仿宋" w:eastAsia="仿宋" w:cs="仿宋"/>
          <w:sz w:val="32"/>
          <w:szCs w:val="32"/>
          <w:highlight w:val="none"/>
          <w:lang w:bidi="ar"/>
        </w:rPr>
        <w:t>，主要原因是</w:t>
      </w:r>
      <w:r>
        <w:rPr>
          <w:rFonts w:hint="eastAsia" w:ascii="仿宋" w:hAnsi="仿宋" w:eastAsia="仿宋" w:cs="仿宋"/>
          <w:sz w:val="32"/>
          <w:szCs w:val="32"/>
          <w:highlight w:val="none"/>
          <w:lang w:val="en-US" w:eastAsia="zh-CN" w:bidi="ar"/>
        </w:rPr>
        <w:t>：部分项目已在本年执行完毕，不需要结转至下年继续执行。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lang w:bidi="ar"/>
        </w:rPr>
        <w:t>年末结转和结余</w:t>
      </w:r>
      <w:r>
        <w:rPr>
          <w:rFonts w:hint="eastAsia" w:ascii="仿宋" w:hAnsi="仿宋" w:eastAsia="仿宋" w:cs="仿宋"/>
          <w:sz w:val="32"/>
          <w:szCs w:val="32"/>
          <w:highlight w:val="none"/>
          <w:lang w:val="en-US" w:eastAsia="zh-CN" w:bidi="ar"/>
        </w:rPr>
        <w:t>0.00</w:t>
      </w:r>
      <w:r>
        <w:rPr>
          <w:rFonts w:hint="eastAsia" w:ascii="仿宋" w:hAnsi="仿宋" w:eastAsia="仿宋" w:cs="仿宋"/>
          <w:sz w:val="32"/>
          <w:szCs w:val="32"/>
          <w:highlight w:val="none"/>
          <w:lang w:bidi="ar"/>
        </w:rPr>
        <w:t>万元，为本年度或以前年度预算安排、因客观条件发生变化无法按原计划实施，需要延迟到以后年度按有关规定继续使用的资金。较2021年度决算数</w:t>
      </w:r>
      <w:r>
        <w:rPr>
          <w:rFonts w:hint="default"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0.00</w:t>
      </w:r>
      <w:r>
        <w:rPr>
          <w:rFonts w:hint="eastAsia" w:ascii="仿宋" w:hAnsi="仿宋" w:eastAsia="仿宋" w:cs="仿宋"/>
          <w:sz w:val="32"/>
          <w:szCs w:val="32"/>
          <w:highlight w:val="none"/>
          <w:lang w:bidi="ar"/>
        </w:rPr>
        <w:t>万元，</w:t>
      </w:r>
      <w:r>
        <w:rPr>
          <w:rFonts w:hint="default"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0</w:t>
      </w:r>
      <w:r>
        <w:rPr>
          <w:rFonts w:hint="default" w:ascii="仿宋" w:hAnsi="仿宋" w:eastAsia="仿宋" w:cs="仿宋"/>
          <w:sz w:val="32"/>
          <w:szCs w:val="32"/>
          <w:highlight w:val="none"/>
          <w:lang w:bidi="ar"/>
        </w:rPr>
        <w:t>%</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主要原因是：部分项目已在本年执行完毕，不需要结转至下年继续执行。</w:t>
      </w: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12.95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Theme="minorEastAsia" w:hAnsiTheme="minorEastAsia"/>
          <w:sz w:val="30"/>
          <w:szCs w:val="30"/>
        </w:rPr>
        <w:t>20.63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40.43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9.38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41.10</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49.82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121.22</w:t>
      </w:r>
      <w:r>
        <w:rPr>
          <w:rFonts w:ascii="仿宋" w:hAnsi="仿宋" w:eastAsia="仿宋" w:cs="仿宋"/>
          <w:sz w:val="32"/>
          <w:u w:color="auto"/>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bookmarkStart w:id="3" w:name="OLE_LINK2"/>
      <w:bookmarkEnd w:id="3"/>
      <w:r>
        <w:rPr>
          <w:rFonts w:hint="eastAsia" w:ascii="仿宋" w:hAnsi="仿宋" w:eastAsia="仿宋"/>
          <w:sz w:val="32"/>
          <w:u w:color="auto"/>
          <w:lang w:eastAsia="zh-CN"/>
        </w:rPr>
        <w:t>（一）</w:t>
      </w:r>
      <w:r>
        <w:rPr>
          <w:rFonts w:hint="eastAsia" w:ascii="仿宋" w:hAnsi="仿宋" w:eastAsia="仿宋"/>
          <w:sz w:val="32"/>
          <w:u w:color="auto"/>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41.10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49.82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121.22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原因是：由于中央大力提倡节约开支，过紧日子，各地都加强了对财政资金的管理，尽量减少不必要的开支，所以就出现了年初预算数比决算少的情况。</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37.44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群众团体事务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0.48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0.48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20133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宣传事务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36.96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2013301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
              </w:rPr>
              <w:t>36.96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保障机关事业单位正常运转，支持单位部门履行职能，保障单位部门的项目支出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109.45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原因是：人员增加，9月份有一人调入。</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本单位职工基本养老保险缴费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9月份有一人调入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3.10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102.26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原因是：人员增加，9月份有一人调入。</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职工住房保障及公积金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职工住房保障及公积金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职工住房保障及公积金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职工住房保障及公积金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40.43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36.76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3.67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36.76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129.39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主要原因是：原因是预算时是按上年的10月的工资及社保基数进行预算且不包含部分绩效奖金，每年职级工资都有所上调。</w:t>
      </w:r>
    </w:p>
    <w:p>
      <w:pPr>
        <w:jc w:val="center"/>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30101基本工资13.04万元，30102津贴补贴6.47万元，30103奖金5.57万元，30106伙食补助费0.40万元，30107绩效工资2.16万元，30108机关事业单位基本养老保险缴费4.17万元，30110职工基本医疗保险缴费1.73万元30112其他社会保障缴费0.06万元，30113</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住房公积金3.17万元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99.45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基本达成年度指标，</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主要原因是：因财政资金紧张，没有下达所有预算指标，无法完全使用。</w:t>
      </w:r>
    </w:p>
    <w:p>
      <w:pPr>
        <w:jc w:val="center"/>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 xml:space="preserve">   支出具体情况如下</w:t>
      </w:r>
      <w:r>
        <w:rPr>
          <w:rFonts w:hint="eastAsia" w:ascii="仿宋" w:hAnsi="仿宋" w:eastAsia="仿宋" w:cs="仿宋"/>
          <w:sz w:val="32"/>
          <w:szCs w:val="32"/>
          <w:highlight w:val="none"/>
        </w:rPr>
        <w:t>：30201办公费0.08万元，30207邮电费0.46万元，30226劳务费0.09万元，30228工会经</w:t>
      </w:r>
      <w:r>
        <w:rPr>
          <w:rFonts w:hint="eastAsia" w:ascii="仿宋" w:hAnsi="仿宋" w:eastAsia="仿宋" w:cs="仿宋"/>
          <w:sz w:val="32"/>
          <w:szCs w:val="32"/>
          <w:highlight w:val="none"/>
          <w:lang w:eastAsia="zh-CN"/>
        </w:rPr>
        <w:t>费</w:t>
      </w:r>
      <w:r>
        <w:rPr>
          <w:rFonts w:hint="eastAsia" w:ascii="仿宋" w:hAnsi="仿宋" w:eastAsia="仿宋" w:cs="仿宋"/>
          <w:sz w:val="32"/>
          <w:szCs w:val="32"/>
          <w:highlight w:val="none"/>
        </w:rPr>
        <w:t>0.48万元，30239其他交通费用2.57</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w:t>
      </w:r>
      <w:r>
        <w:rPr>
          <w:rFonts w:hint="eastAsia" w:ascii="仿宋" w:hAnsi="仿宋" w:eastAsia="仿宋" w:cs="仿宋"/>
          <w:sz w:val="32"/>
          <w:szCs w:val="32"/>
          <w:highlight w:val="none"/>
        </w:rPr>
        <w:drawing>
          <wp:inline distT="0" distB="0" distL="114300" distR="114300">
            <wp:extent cx="4474845" cy="282575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400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12060"/>
            <wp:effectExtent l="4445" t="4445" r="16510" b="1714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主要原因是：本单位没有涉及此项目。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五、2022年度国有资本经营预算财政拨款支出决算情况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主要原因是：2022年未列支“三公”经费;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原因是：未列支此经费，</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2"/>
        </w:numPr>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eastAsia="zh-CN"/>
        </w:rPr>
        <w:t>。</w:t>
      </w:r>
    </w:p>
    <w:p>
      <w:pPr>
        <w:numPr>
          <w:numId w:val="0"/>
        </w:num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万元。主要原因是：本部门无公务用车。2022年，</w:t>
      </w:r>
      <w:r>
        <w:rPr>
          <w:rFonts w:hint="eastAsia" w:ascii="仿宋" w:hAnsi="仿宋" w:eastAsia="仿宋" w:cs="仿宋"/>
          <w:color w:val="auto"/>
          <w:sz w:val="32"/>
          <w:u w:color="auto"/>
          <w:lang w:eastAsia="zh-CN"/>
        </w:rPr>
        <w:t>本单位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w:t>
      </w:r>
      <w:r>
        <w:rPr>
          <w:rFonts w:hint="eastAsia" w:ascii="仿宋" w:hAnsi="仿宋" w:eastAsia="仿宋" w:cs="仿宋"/>
          <w:sz w:val="32"/>
          <w:szCs w:val="32"/>
          <w:highlight w:val="none"/>
        </w:rPr>
        <w:t>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lang w:eastAsia="zh-CN"/>
        </w:rPr>
        <w:t>单独核算</w:t>
      </w:r>
      <w:r>
        <w:rPr>
          <w:rFonts w:hint="eastAsia" w:ascii="仿宋" w:hAnsi="仿宋" w:eastAsia="仿宋" w:cs="仿宋"/>
          <w:color w:val="auto"/>
          <w:sz w:val="32"/>
          <w:szCs w:val="32"/>
        </w:rPr>
        <w:t>公务用车</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w:t>
      </w:r>
      <w:r>
        <w:rPr>
          <w:rFonts w:hint="eastAsia" w:ascii="仿宋" w:hAnsi="仿宋" w:eastAsia="仿宋" w:cs="仿宋"/>
          <w:sz w:val="32"/>
          <w:szCs w:val="32"/>
          <w:highlight w:val="none"/>
        </w:rPr>
        <w:t>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36.96</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3.24</w:t>
      </w:r>
      <w:r>
        <w:rPr>
          <w:rFonts w:hint="eastAsia" w:ascii="仿宋" w:hAnsi="仿宋" w:eastAsia="仿宋" w:cs="仿宋"/>
          <w:sz w:val="32"/>
          <w:szCs w:val="32"/>
          <w:highlight w:val="none"/>
        </w:rPr>
        <w:t>万元，增加</w:t>
      </w:r>
      <w:r>
        <w:rPr>
          <w:rFonts w:hint="eastAsia" w:ascii="仿宋" w:hAnsi="仿宋" w:eastAsia="仿宋" w:cs="仿宋"/>
          <w:sz w:val="32"/>
          <w:szCs w:val="32"/>
          <w:highlight w:val="none"/>
          <w:lang w:val="en-US" w:eastAsia="zh-CN"/>
        </w:rPr>
        <w:t>9.60</w:t>
      </w:r>
      <w:r>
        <w:rPr>
          <w:rFonts w:hint="eastAsia" w:ascii="仿宋" w:hAnsi="仿宋" w:eastAsia="仿宋" w:cs="仿宋"/>
          <w:sz w:val="32"/>
          <w:szCs w:val="32"/>
          <w:highlight w:val="none"/>
        </w:rPr>
        <w:t xml:space="preserve"> %，比上年决算数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3.19</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109.45</w:t>
      </w:r>
      <w:r>
        <w:rPr>
          <w:rFonts w:ascii="仿宋" w:hAnsi="仿宋" w:eastAsia="仿宋" w:cs="仿宋"/>
          <w:sz w:val="32"/>
          <w:szCs w:val="32"/>
          <w:highlight w:val="none"/>
        </w:rPr>
        <w:t>%</w:t>
      </w:r>
      <w:r>
        <w:rPr>
          <w:rFonts w:hint="eastAsia" w:ascii="仿宋" w:hAnsi="仿宋" w:eastAsia="仿宋" w:cs="仿宋"/>
          <w:sz w:val="32"/>
          <w:szCs w:val="32"/>
          <w:highlight w:val="none"/>
        </w:rPr>
        <w:t>。主要原因是：机构改革、人员调整，需要增加办公用品等。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两</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8.99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18.05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一个</w:t>
      </w:r>
      <w:r>
        <w:rPr>
          <w:rFonts w:hint="eastAsia" w:ascii="仿宋" w:hAnsi="仿宋" w:eastAsia="仿宋" w:cs="仿宋"/>
          <w:color w:val="000000" w:themeColor="text1"/>
          <w:sz w:val="32"/>
          <w:szCs w:val="32"/>
          <w14:textFill>
            <w14:solidFill>
              <w14:schemeClr w14:val="tx1"/>
            </w14:solidFill>
          </w14:textFill>
        </w:rPr>
        <w:t>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49.82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22年初社科联在职在编仅有2人，要更好地组织开展社科宣传哲及和社科课题研究等各项工作，工作力量明显不足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加强多方联示，交流经验</w:t>
      </w:r>
      <w:r>
        <w:rPr>
          <w:rFonts w:hint="eastAsia" w:ascii="仿宋" w:hAnsi="仿宋" w:eastAsia="仿宋" w:cs="仿宋"/>
          <w:color w:val="000000" w:themeColor="text1"/>
          <w:sz w:val="32"/>
          <w:szCs w:val="32"/>
          <w:lang w:eastAsia="zh-CN"/>
          <w14:textFill>
            <w14:solidFill>
              <w14:schemeClr w14:val="tx1"/>
            </w14:solidFill>
          </w14:textFill>
        </w:rPr>
        <w:t>，改进编辑</w:t>
      </w:r>
      <w:r>
        <w:rPr>
          <w:rFonts w:hint="eastAsia" w:ascii="仿宋" w:hAnsi="仿宋" w:eastAsia="仿宋" w:cs="仿宋"/>
          <w:color w:val="000000" w:themeColor="text1"/>
          <w:sz w:val="32"/>
          <w:szCs w:val="32"/>
          <w14:textFill>
            <w14:solidFill>
              <w14:schemeClr w14:val="tx1"/>
            </w14:solidFill>
          </w14:textFill>
        </w:rPr>
        <w:t>工作，让杂志的内容更丰富、形式更多样。</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49.82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，门整体</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94.56</w:t>
      </w:r>
      <w:r>
        <w:rPr>
          <w:rFonts w:hint="eastAsia" w:ascii="仿宋" w:hAnsi="仿宋" w:eastAsia="仿宋" w:cs="仿宋"/>
          <w:color w:val="000000" w:themeColor="text1"/>
          <w:sz w:val="32"/>
          <w:szCs w:val="32"/>
          <w14:textFill>
            <w14:solidFill>
              <w14:schemeClr w14:val="tx1"/>
            </w14:solidFill>
          </w14:textFill>
        </w:rPr>
        <w:t>分。从评价情况来看，发现的主要问题及原因：通过本次绩效自评，我们认为该项目目标明确，组织管理到位，执行项目有力，资金管理规范，档案管理完善科学，综合评价结果为优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共有</w:t>
      </w:r>
      <w:r>
        <w:rPr>
          <w:rFonts w:hint="eastAsia" w:ascii="仿宋" w:hAnsi="仿宋" w:eastAsia="仿宋" w:cs="仿宋"/>
          <w:color w:val="000000" w:themeColor="text1"/>
          <w:sz w:val="32"/>
          <w:szCs w:val="32"/>
          <w:lang w:val="en-US" w:eastAsia="zh-CN"/>
          <w14:textFill>
            <w14:solidFill>
              <w14:schemeClr w14:val="tx1"/>
            </w14:solidFill>
          </w14:textFill>
        </w:rPr>
        <w:t>3个</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,一是社科联工作经费项目，自评结论一等，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99.63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，二是《环江社会科学》项目，</w:t>
      </w:r>
      <w:r>
        <w:rPr>
          <w:rFonts w:hint="eastAsia" w:ascii="仿宋" w:hAnsi="仿宋" w:eastAsia="仿宋" w:cs="仿宋"/>
          <w:color w:val="000000" w:themeColor="text1"/>
          <w:sz w:val="32"/>
          <w:szCs w:val="32"/>
          <w:lang w:val="en-US" w:eastAsia="zh-CN"/>
          <w14:textFill>
            <w14:solidFill>
              <w14:schemeClr w14:val="tx1"/>
            </w14:solidFill>
          </w14:textFill>
        </w:rPr>
        <w:t>自评结论二等，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88.69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，三是奖励性补贴，</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发现的主要问题及原因：通过这次自评，进一步提高了我单位的绩效管理水平，更加认识到了绩效管理对部门综合管理提升的重要性，自评结果将用于2022年及以后年度编制部门预算的重要参考和日常管理的标靶，吸收经验，改进工作，让工作与绩效目标匹配，成果与工作推进互动。</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下一步改进措施：下一步我们将适时公开公示我单位的绩效目标和绩效成果，以经得起上级、服务对象及社会大众的肯定和满意为准绳，继续开展财政部门预算的绩效评价工作。</w:t>
      </w:r>
    </w:p>
    <w:p>
      <w:pPr>
        <w:ind w:firstLine="2240" w:firstLineChars="700"/>
        <w:jc w:val="both"/>
        <w:rPr>
          <w:rFonts w:hint="eastAsia" w:ascii="黑体" w:hAnsi="黑体" w:eastAsia="黑体" w:cs="黑体"/>
          <w:sz w:val="32"/>
          <w:szCs w:val="32"/>
          <w:highlight w:val="none"/>
        </w:r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4" w:name="_GoBack"/>
      <w:bookmarkEnd w:id="4"/>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E29F5"/>
    <w:multiLevelType w:val="singleLevel"/>
    <w:tmpl w:val="BB1E29F5"/>
    <w:lvl w:ilvl="0" w:tentative="0">
      <w:start w:val="1"/>
      <w:numFmt w:val="chineseCounting"/>
      <w:suff w:val="nothing"/>
      <w:lvlText w:val="（%1）"/>
      <w:lvlJc w:val="left"/>
      <w:rPr>
        <w:rFonts w:hint="eastAsia"/>
      </w:rPr>
    </w:lvl>
  </w:abstractNum>
  <w:abstractNum w:abstractNumId="1">
    <w:nsid w:val="BD7A5971"/>
    <w:multiLevelType w:val="singleLevel"/>
    <w:tmpl w:val="BD7A597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BB6250"/>
    <w:rsid w:val="0942143F"/>
    <w:rsid w:val="097F09BB"/>
    <w:rsid w:val="0D100297"/>
    <w:rsid w:val="0D202B45"/>
    <w:rsid w:val="0DF7721A"/>
    <w:rsid w:val="0F8D4C87"/>
    <w:rsid w:val="102E0AEF"/>
    <w:rsid w:val="10505FAA"/>
    <w:rsid w:val="105F7E7E"/>
    <w:rsid w:val="11E56B5B"/>
    <w:rsid w:val="125C77AB"/>
    <w:rsid w:val="12C67513"/>
    <w:rsid w:val="14CB726E"/>
    <w:rsid w:val="157FF42D"/>
    <w:rsid w:val="17E92249"/>
    <w:rsid w:val="18D304F1"/>
    <w:rsid w:val="19F32577"/>
    <w:rsid w:val="19F45B80"/>
    <w:rsid w:val="1B01169A"/>
    <w:rsid w:val="1B0C078D"/>
    <w:rsid w:val="1B2B31E2"/>
    <w:rsid w:val="1B4C295A"/>
    <w:rsid w:val="1B973C63"/>
    <w:rsid w:val="1BA1001E"/>
    <w:rsid w:val="1D317259"/>
    <w:rsid w:val="1E664F5B"/>
    <w:rsid w:val="1EB34BE1"/>
    <w:rsid w:val="1FFF7660"/>
    <w:rsid w:val="215E639F"/>
    <w:rsid w:val="21EC3183"/>
    <w:rsid w:val="225E72CD"/>
    <w:rsid w:val="2275D2D9"/>
    <w:rsid w:val="246E2F77"/>
    <w:rsid w:val="254B4E2B"/>
    <w:rsid w:val="283D7C94"/>
    <w:rsid w:val="29480E03"/>
    <w:rsid w:val="2983634D"/>
    <w:rsid w:val="2BB02055"/>
    <w:rsid w:val="2C575A56"/>
    <w:rsid w:val="2CD34A38"/>
    <w:rsid w:val="2CFD1B09"/>
    <w:rsid w:val="2EEFEE4D"/>
    <w:rsid w:val="2F257714"/>
    <w:rsid w:val="2F3275E5"/>
    <w:rsid w:val="30AA08EF"/>
    <w:rsid w:val="30D23D1C"/>
    <w:rsid w:val="31221CF5"/>
    <w:rsid w:val="31400178"/>
    <w:rsid w:val="321E3342"/>
    <w:rsid w:val="327759C8"/>
    <w:rsid w:val="33185FE3"/>
    <w:rsid w:val="34EE2E36"/>
    <w:rsid w:val="354A7391"/>
    <w:rsid w:val="36777241"/>
    <w:rsid w:val="38A951DB"/>
    <w:rsid w:val="38B31605"/>
    <w:rsid w:val="39003F4F"/>
    <w:rsid w:val="3AFE6318"/>
    <w:rsid w:val="3BFB612F"/>
    <w:rsid w:val="3BFDCC7B"/>
    <w:rsid w:val="3BFEAEA7"/>
    <w:rsid w:val="3C07002B"/>
    <w:rsid w:val="3D0D152A"/>
    <w:rsid w:val="3D6ECA18"/>
    <w:rsid w:val="3DF62756"/>
    <w:rsid w:val="3F1B7587"/>
    <w:rsid w:val="3F87A68B"/>
    <w:rsid w:val="41E57B4F"/>
    <w:rsid w:val="432F26F6"/>
    <w:rsid w:val="43880F63"/>
    <w:rsid w:val="441C5A6F"/>
    <w:rsid w:val="44C44FCC"/>
    <w:rsid w:val="44CC7369"/>
    <w:rsid w:val="44E1310E"/>
    <w:rsid w:val="457F5108"/>
    <w:rsid w:val="46951B6B"/>
    <w:rsid w:val="49A34401"/>
    <w:rsid w:val="4A3E30AB"/>
    <w:rsid w:val="4AC14DAC"/>
    <w:rsid w:val="4BE7D96C"/>
    <w:rsid w:val="4D154C85"/>
    <w:rsid w:val="4D8F7B1F"/>
    <w:rsid w:val="4EC8553A"/>
    <w:rsid w:val="4ED737A6"/>
    <w:rsid w:val="4F9A97A4"/>
    <w:rsid w:val="4FA37E69"/>
    <w:rsid w:val="508F4E24"/>
    <w:rsid w:val="51461E90"/>
    <w:rsid w:val="51463753"/>
    <w:rsid w:val="52553A93"/>
    <w:rsid w:val="52C750BA"/>
    <w:rsid w:val="53521F8B"/>
    <w:rsid w:val="53E22F47"/>
    <w:rsid w:val="54522FF8"/>
    <w:rsid w:val="55450629"/>
    <w:rsid w:val="56692963"/>
    <w:rsid w:val="568B0F48"/>
    <w:rsid w:val="5786217B"/>
    <w:rsid w:val="59337A15"/>
    <w:rsid w:val="59810274"/>
    <w:rsid w:val="5AEFBA6B"/>
    <w:rsid w:val="5B5F28A1"/>
    <w:rsid w:val="5CA96A00"/>
    <w:rsid w:val="5CF730BC"/>
    <w:rsid w:val="5D7F6ADB"/>
    <w:rsid w:val="5E5F0DCE"/>
    <w:rsid w:val="5EE11817"/>
    <w:rsid w:val="5FA40A7B"/>
    <w:rsid w:val="5FD56D29"/>
    <w:rsid w:val="5FDD7078"/>
    <w:rsid w:val="5FEC7F3F"/>
    <w:rsid w:val="60F74BC3"/>
    <w:rsid w:val="617D3BF8"/>
    <w:rsid w:val="61841F6A"/>
    <w:rsid w:val="623007A9"/>
    <w:rsid w:val="637D7558"/>
    <w:rsid w:val="644F19AC"/>
    <w:rsid w:val="65AA4920"/>
    <w:rsid w:val="65D06F52"/>
    <w:rsid w:val="67694F1E"/>
    <w:rsid w:val="69597934"/>
    <w:rsid w:val="697FE232"/>
    <w:rsid w:val="6B964DDC"/>
    <w:rsid w:val="6C783074"/>
    <w:rsid w:val="6D779521"/>
    <w:rsid w:val="6D9E65C6"/>
    <w:rsid w:val="6DA81947"/>
    <w:rsid w:val="6EB66DE2"/>
    <w:rsid w:val="6ED3075F"/>
    <w:rsid w:val="6EF7E84C"/>
    <w:rsid w:val="6F2A2D4B"/>
    <w:rsid w:val="6F8A0C1E"/>
    <w:rsid w:val="6FEFF19C"/>
    <w:rsid w:val="6FFF35C0"/>
    <w:rsid w:val="703F45D4"/>
    <w:rsid w:val="715D6546"/>
    <w:rsid w:val="71BE069E"/>
    <w:rsid w:val="73953409"/>
    <w:rsid w:val="73E069A3"/>
    <w:rsid w:val="73FCE8CE"/>
    <w:rsid w:val="75DEB0F5"/>
    <w:rsid w:val="75FB20E4"/>
    <w:rsid w:val="77B38D9A"/>
    <w:rsid w:val="77CFC535"/>
    <w:rsid w:val="77D73551"/>
    <w:rsid w:val="77FF14BE"/>
    <w:rsid w:val="78104AA8"/>
    <w:rsid w:val="78E257C5"/>
    <w:rsid w:val="794B35BE"/>
    <w:rsid w:val="7AEF214A"/>
    <w:rsid w:val="7B0A3A31"/>
    <w:rsid w:val="7B3360ED"/>
    <w:rsid w:val="7B5319F3"/>
    <w:rsid w:val="7BDF037E"/>
    <w:rsid w:val="7BE926C2"/>
    <w:rsid w:val="7BF50948"/>
    <w:rsid w:val="7BF8B817"/>
    <w:rsid w:val="7BFF6255"/>
    <w:rsid w:val="7CE66A78"/>
    <w:rsid w:val="7D23564C"/>
    <w:rsid w:val="7D5E062D"/>
    <w:rsid w:val="7D7E0470"/>
    <w:rsid w:val="7DCF0152"/>
    <w:rsid w:val="7DDE9A61"/>
    <w:rsid w:val="7DDF929E"/>
    <w:rsid w:val="7DF76CD8"/>
    <w:rsid w:val="7DFDB65D"/>
    <w:rsid w:val="7E753FF6"/>
    <w:rsid w:val="7EDF5C23"/>
    <w:rsid w:val="7EF72E77"/>
    <w:rsid w:val="7F3FA456"/>
    <w:rsid w:val="7F695C26"/>
    <w:rsid w:val="7F87A619"/>
    <w:rsid w:val="7FCF62D3"/>
    <w:rsid w:val="7FDBDBEA"/>
    <w:rsid w:val="7FEE89D3"/>
    <w:rsid w:val="7FEF371D"/>
    <w:rsid w:val="7FFDC07D"/>
    <w:rsid w:val="7FFE26D2"/>
    <w:rsid w:val="7FFFDD35"/>
    <w:rsid w:val="8C1DF2CD"/>
    <w:rsid w:val="8DBDF887"/>
    <w:rsid w:val="9D7F609B"/>
    <w:rsid w:val="9DCD5602"/>
    <w:rsid w:val="9DDEADC5"/>
    <w:rsid w:val="9FF7F499"/>
    <w:rsid w:val="9FFF47F0"/>
    <w:rsid w:val="A8CFD73F"/>
    <w:rsid w:val="A9FE4C54"/>
    <w:rsid w:val="ADFB6E51"/>
    <w:rsid w:val="AE0D2EB2"/>
    <w:rsid w:val="B6D70CC6"/>
    <w:rsid w:val="B7F7E7CF"/>
    <w:rsid w:val="BB9F9BA0"/>
    <w:rsid w:val="BD7F5ADE"/>
    <w:rsid w:val="BE7F19A9"/>
    <w:rsid w:val="BFBD21A9"/>
    <w:rsid w:val="C3F94361"/>
    <w:rsid w:val="C8B786FF"/>
    <w:rsid w:val="CBFD99E4"/>
    <w:rsid w:val="CFAB42A6"/>
    <w:rsid w:val="D767C7D0"/>
    <w:rsid w:val="D94E867A"/>
    <w:rsid w:val="DBB116B9"/>
    <w:rsid w:val="DBEADCA0"/>
    <w:rsid w:val="DCEECC9D"/>
    <w:rsid w:val="DEDB7B00"/>
    <w:rsid w:val="DF57E571"/>
    <w:rsid w:val="DFE7A00F"/>
    <w:rsid w:val="DFEF4E54"/>
    <w:rsid w:val="DFEFAC4F"/>
    <w:rsid w:val="E3D76E8F"/>
    <w:rsid w:val="E773DD2F"/>
    <w:rsid w:val="E77DB5B7"/>
    <w:rsid w:val="E79BAD75"/>
    <w:rsid w:val="E9FF020A"/>
    <w:rsid w:val="EBB7C342"/>
    <w:rsid w:val="EE2D88E4"/>
    <w:rsid w:val="EE79F7E3"/>
    <w:rsid w:val="EE7BB9E3"/>
    <w:rsid w:val="EF7DCBFB"/>
    <w:rsid w:val="EFDD5DAB"/>
    <w:rsid w:val="EFEF210E"/>
    <w:rsid w:val="EFFA3D71"/>
    <w:rsid w:val="F5DB0E68"/>
    <w:rsid w:val="F63C494E"/>
    <w:rsid w:val="F6FE1CBF"/>
    <w:rsid w:val="F7B38DA4"/>
    <w:rsid w:val="F977D9DA"/>
    <w:rsid w:val="F9FFB811"/>
    <w:rsid w:val="FBAF415D"/>
    <w:rsid w:val="FBCF9361"/>
    <w:rsid w:val="FBDBAA8C"/>
    <w:rsid w:val="FBE1D2AD"/>
    <w:rsid w:val="FBFBEFA0"/>
    <w:rsid w:val="FBFF3DED"/>
    <w:rsid w:val="FBFFB8A2"/>
    <w:rsid w:val="FD1E81F9"/>
    <w:rsid w:val="FDD84C3E"/>
    <w:rsid w:val="FDDD6661"/>
    <w:rsid w:val="FE2879E2"/>
    <w:rsid w:val="FE35FC5B"/>
    <w:rsid w:val="FEFBB922"/>
    <w:rsid w:val="FEFE2590"/>
    <w:rsid w:val="FEFF5BFE"/>
    <w:rsid w:val="FF224517"/>
    <w:rsid w:val="FF3321F9"/>
    <w:rsid w:val="FF7F1176"/>
    <w:rsid w:val="FFB35744"/>
    <w:rsid w:val="FFB73780"/>
    <w:rsid w:val="FFD36DB5"/>
    <w:rsid w:val="FFFE25A7"/>
    <w:rsid w:val="FFFE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49.82</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43.22</c:v>
                </c:pt>
                <c:pt idx="1">
                  <c:v>4.51</c:v>
                </c:pt>
                <c:pt idx="2">
                  <c:v>3.42</c:v>
                </c:pt>
                <c:pt idx="3">
                  <c:v>11.61</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37.44</c:v>
                </c:pt>
                <c:pt idx="1">
                  <c:v>4.17</c:v>
                </c:pt>
                <c:pt idx="2">
                  <c:v>3.17</c:v>
                </c:pt>
                <c:pt idx="3">
                  <c:v>5.04</c:v>
                </c:pt>
              </c:numCache>
            </c:numRef>
          </c:val>
        </c:ser>
        <c:dLbls>
          <c:showLegendKey val="0"/>
          <c:showVal val="1"/>
          <c:showCatName val="0"/>
          <c:showSerName val="0"/>
          <c:showPercent val="0"/>
          <c:showBubbleSize val="0"/>
        </c:dLbls>
        <c:gapWidth val="444"/>
        <c:overlap val="-90"/>
        <c:axId val="-172443552"/>
        <c:axId val="-172442464"/>
      </c:barChart>
      <c:catAx>
        <c:axId val="-17244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201</c:v>
                </c:pt>
                <c:pt idx="1">
                  <c:v>20129</c:v>
                </c:pt>
                <c:pt idx="2">
                  <c:v>2012999</c:v>
                </c:pt>
                <c:pt idx="3">
                  <c:v>20133</c:v>
                </c:pt>
                <c:pt idx="4">
                  <c:v>2013301</c:v>
                </c:pt>
              </c:numCache>
            </c:numRef>
          </c:cat>
          <c:val>
            <c:numRef>
              <c:f>Sheet1!$B$2:$B$6</c:f>
              <c:numCache>
                <c:formatCode>General</c:formatCode>
                <c:ptCount val="5"/>
                <c:pt idx="0">
                  <c:v>37.44</c:v>
                </c:pt>
                <c:pt idx="1">
                  <c:v>0.48</c:v>
                </c:pt>
                <c:pt idx="2">
                  <c:v>0.48</c:v>
                </c:pt>
                <c:pt idx="3">
                  <c:v>36.96</c:v>
                </c:pt>
                <c:pt idx="4">
                  <c:v>36.96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400" b="0" i="0" u="none" strike="noStrike" kern="1200" spc="0" baseline="0">
                <a:solidFill>
                  <a:schemeClr val="tx1">
                    <a:lumMod val="65000"/>
                    <a:lumOff val="35000"/>
                  </a:schemeClr>
                </a:solidFill>
                <a:latin typeface="+mn-lt"/>
                <a:ea typeface="+mn-ea"/>
                <a:cs typeface="+mn-cs"/>
              </a:defRPr>
            </a:pPr>
            <a:r>
              <a:t>社会保障和就业支出</a:t>
            </a:r>
          </a:p>
        </c:rich>
      </c:tx>
      <c:layout/>
      <c:overlay val="0"/>
      <c:spPr>
        <a:noFill/>
        <a:ln>
          <a:noFill/>
        </a:ln>
        <a:effectLst/>
      </c:spPr>
    </c:title>
    <c:autoTitleDeleted val="0"/>
    <c:plotArea>
      <c:layout>
        <c:manualLayout>
          <c:layoutTarget val="inner"/>
          <c:xMode val="edge"/>
          <c:yMode val="edge"/>
          <c:x val="0.0892010784731091"/>
          <c:y val="0.166074249605055"/>
          <c:w val="0.882134241521215"/>
          <c:h val="0.64601105845181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208</c:v>
                </c:pt>
                <c:pt idx="1">
                  <c:v>20805</c:v>
                </c:pt>
                <c:pt idx="2">
                  <c:v>2080505</c:v>
                </c:pt>
              </c:numCache>
            </c:numRef>
          </c:cat>
          <c:val>
            <c:numRef>
              <c:f>Sheet1!$B$2:$B$4</c:f>
              <c:numCache>
                <c:formatCode>General</c:formatCode>
                <c:ptCount val="3"/>
                <c:pt idx="0">
                  <c:v>4.17</c:v>
                </c:pt>
                <c:pt idx="1">
                  <c:v>4.17</c:v>
                </c:pt>
                <c:pt idx="2">
                  <c:v>4.17</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3.17</c:v>
                </c:pt>
                <c:pt idx="1">
                  <c:v>3.17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13.04</c:v>
                </c:pt>
                <c:pt idx="1">
                  <c:v>6.47</c:v>
                </c:pt>
                <c:pt idx="2">
                  <c:v>5.57</c:v>
                </c:pt>
                <c:pt idx="3">
                  <c:v>0.4</c:v>
                </c:pt>
                <c:pt idx="4">
                  <c:v>2.16</c:v>
                </c:pt>
                <c:pt idx="5">
                  <c:v>4.17</c:v>
                </c:pt>
                <c:pt idx="6">
                  <c:v>0</c:v>
                </c:pt>
                <c:pt idx="7">
                  <c:v>1.73</c:v>
                </c:pt>
                <c:pt idx="8">
                  <c:v>0</c:v>
                </c:pt>
                <c:pt idx="9">
                  <c:v>0.06</c:v>
                </c:pt>
                <c:pt idx="10">
                  <c:v>3.17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0.08</c:v>
                </c:pt>
                <c:pt idx="1">
                  <c:v>0</c:v>
                </c:pt>
                <c:pt idx="2">
                  <c:v>0</c:v>
                </c:pt>
                <c:pt idx="3">
                  <c:v>0</c:v>
                </c:pt>
                <c:pt idx="4">
                  <c:v>0</c:v>
                </c:pt>
                <c:pt idx="5">
                  <c:v>0</c:v>
                </c:pt>
                <c:pt idx="6">
                  <c:v>0.46</c:v>
                </c:pt>
                <c:pt idx="7">
                  <c:v>0</c:v>
                </c:pt>
                <c:pt idx="8">
                  <c:v>0</c:v>
                </c:pt>
                <c:pt idx="9">
                  <c:v>0</c:v>
                </c:pt>
                <c:pt idx="10">
                  <c:v>0</c:v>
                </c:pt>
                <c:pt idx="11">
                  <c:v>0</c:v>
                </c:pt>
                <c:pt idx="12">
                  <c:v>0</c:v>
                </c:pt>
                <c:pt idx="13">
                  <c:v>0</c:v>
                </c:pt>
                <c:pt idx="14">
                  <c:v>0</c:v>
                </c:pt>
                <c:pt idx="15">
                  <c:v>0</c:v>
                </c:pt>
                <c:pt idx="16">
                  <c:v>0</c:v>
                </c:pt>
                <c:pt idx="17">
                  <c:v>0</c:v>
                </c:pt>
                <c:pt idx="18">
                  <c:v>0</c:v>
                </c:pt>
                <c:pt idx="19">
                  <c:v>0.09</c:v>
                </c:pt>
                <c:pt idx="20">
                  <c:v>0</c:v>
                </c:pt>
                <c:pt idx="21">
                  <c:v>0.48</c:v>
                </c:pt>
                <c:pt idx="22">
                  <c:v>0</c:v>
                </c:pt>
                <c:pt idx="23">
                  <c:v>0</c:v>
                </c:pt>
                <c:pt idx="24">
                  <c:v>2.57</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dcterms:modified xsi:type="dcterms:W3CDTF">2023-11-27T08:05:46Z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