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环江毛南族自治县文物管理所2022年度部门决算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环江毛南族自治县文物管理所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环江毛南族自治县文物管理所</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环江毛南族自治县文物管理所</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环江毛南族自治县文物管理所</w:t>
      </w:r>
      <w:r>
        <w:rPr>
          <w:rFonts w:hint="eastAsia" w:ascii="黑体" w:hAnsi="黑体" w:eastAsia="黑体" w:cs="黑体"/>
          <w:b/>
          <w:bCs/>
          <w:sz w:val="32"/>
          <w:szCs w:val="32"/>
          <w:highlight w:val="none"/>
        </w:rPr>
        <w:t>概况</w:t>
      </w: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一、主要职能</w:t>
      </w:r>
    </w:p>
    <w:p>
      <w:pPr>
        <w:keepNext w:val="0"/>
        <w:keepLines w:val="0"/>
        <w:pageBreakBefore w:val="0"/>
        <w:kinsoku/>
        <w:wordWrap/>
        <w:overflowPunct/>
        <w:topLinePunct w:val="0"/>
        <w:bidi w:val="0"/>
        <w:snapToGrid/>
        <w:spacing w:line="56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管理保护文物，促进文物事业发展。文物保护管理；文物理论：出土文献研究；文物档案资料管理与研究、征集、保管；文物展览；文物保护法宣传；相关资讯与培训。</w:t>
      </w:r>
    </w:p>
    <w:p>
      <w:pPr>
        <w:keepNext w:val="0"/>
        <w:keepLines w:val="0"/>
        <w:pageBreakBefore w:val="0"/>
        <w:numPr>
          <w:ilvl w:val="0"/>
          <w:numId w:val="1"/>
        </w:numPr>
        <w:kinsoku/>
        <w:wordWrap/>
        <w:overflowPunct/>
        <w:topLinePunct w:val="0"/>
        <w:bidi w:val="0"/>
        <w:snapToGrid/>
        <w:spacing w:line="560" w:lineRule="exact"/>
        <w:ind w:firstLine="64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部门决算单位构成</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环江毛南族自治县文物管理所为财政全额拨款副科级事业单位。</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事业在职人数</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，退休人员</w:t>
      </w:r>
      <w:r>
        <w:rPr>
          <w:rFonts w:hint="eastAsia" w:ascii="仿宋_GB2312" w:hAnsi="仿宋_GB2312" w:eastAsia="仿宋_GB2312" w:cs="仿宋_GB2312"/>
          <w:sz w:val="32"/>
          <w:szCs w:val="32"/>
          <w:lang w:val="en-US" w:eastAsia="zh-CN"/>
        </w:rPr>
        <w:t>1人。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eastAsia="zh-CN"/>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280" w:firstLineChars="4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环江毛南族自治县文物管理所</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广西河池环江毛南族自治县文物管理所</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192.83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154.50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11.89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192.83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192.83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192.83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192.83</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广西河池环江毛南族自治县文物管理所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192.83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192.83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文化旅游体育与传媒支出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文化和旅游</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其他文化和旅游支出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文物</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140.33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140.33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2070204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文物保护</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55.36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55.36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博物馆</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其他文物支出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11.89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11.89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11.89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11.89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11.89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11.89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广西河池环江毛南族自治县文物管理所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192.83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92.45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100.37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文化旅游体育与传媒支出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154.50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68.89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85.61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文化和旅游</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14.17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其他文化和旅游支出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14.17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文物</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140.33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68.89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71.44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2070204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文物保护</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55.36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55.36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博物馆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14.25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其他文物支出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68.89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11.89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11.89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11.89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11.89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8.72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8.72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8.72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14.77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14.77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14.77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广西河池环江毛南族自治县文物管理所</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192.83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154.50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154.50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11.89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11.89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8.72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8.72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16.17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192.83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192.83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192.83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192.83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192.83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192.83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广西河池环江毛南族自治县文物管理所</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192.83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92.45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100.37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文化旅游体育与传媒支出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154.50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68.89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85.61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文化和旅游</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14.17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其他文化和旅游支出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14.17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文物</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140.33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68.89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71.44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2070204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文物保护</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55.36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55.36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博物馆</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14.25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其他文物支出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70.72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68.89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11.89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11.89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11.89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11.89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11.89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11.89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8.72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8.72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8.72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8.72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8.72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8.72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14.77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14.77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14.77</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广西河池环江毛南族自治县文物管理所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88.58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35.51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0.70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14.91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8.72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88.58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3.87</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广西河池环江毛南族自治县文物管理所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广西河池环江毛南族自治县文物管理所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广西河池环江毛南族自治县文物管理所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0.50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0.50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0.50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0.50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0.50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0.50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环江毛南族自治县文物管理所</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192.83</w:t>
      </w:r>
      <w:r>
        <w:rPr>
          <w:rFonts w:hint="eastAsia" w:ascii="仿宋" w:hAnsi="仿宋" w:eastAsia="仿宋" w:cs="仿宋"/>
          <w:sz w:val="32"/>
          <w:szCs w:val="32"/>
          <w:highlight w:val="none"/>
        </w:rPr>
        <w:t>万元，较2021年度决算数</w:t>
      </w:r>
      <w:r>
        <w:rPr>
          <w:rFonts w:ascii="仿宋" w:hAnsi="仿宋" w:eastAsia="仿宋" w:cs="仿宋"/>
          <w:sz w:val="32"/>
          <w:u w:color="auto"/>
        </w:rPr>
        <w:t>减少387.02</w:t>
      </w:r>
      <w:r>
        <w:rPr>
          <w:rFonts w:hint="eastAsia" w:ascii="仿宋" w:hAnsi="仿宋" w:eastAsia="仿宋" w:cs="仿宋"/>
          <w:sz w:val="32"/>
          <w:szCs w:val="32"/>
          <w:highlight w:val="none"/>
        </w:rPr>
        <w:t>万元，</w:t>
      </w:r>
      <w:r>
        <w:rPr>
          <w:rFonts w:ascii="仿宋" w:hAnsi="仿宋" w:eastAsia="仿宋" w:cs="仿宋"/>
          <w:sz w:val="32"/>
          <w:u w:color="auto"/>
        </w:rPr>
        <w:t>下降66.74%</w:t>
      </w:r>
      <w:r>
        <w:rPr>
          <w:rFonts w:hint="eastAsia" w:ascii="仿宋" w:hAnsi="仿宋" w:eastAsia="仿宋" w:cs="仿宋"/>
          <w:sz w:val="32"/>
          <w:szCs w:val="32"/>
          <w:highlight w:val="none"/>
        </w:rPr>
        <w:t>，其中本年收入</w:t>
      </w:r>
      <w:r>
        <w:rPr>
          <w:rFonts w:ascii="仿宋" w:hAnsi="仿宋" w:eastAsia="仿宋" w:cs="仿宋"/>
          <w:sz w:val="32"/>
          <w:u w:color="auto"/>
        </w:rPr>
        <w:t>192.83</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192.83</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减少13.80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下降6.68%</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项目资金增加。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减少32.85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本年无</w:t>
      </w:r>
      <w:r>
        <w:rPr>
          <w:rFonts w:hint="eastAsia" w:ascii="仿宋" w:hAnsi="仿宋" w:eastAsia="仿宋" w:cs="仿宋"/>
          <w:kern w:val="2"/>
          <w:sz w:val="32"/>
          <w:szCs w:val="32"/>
          <w:highlight w:val="none"/>
          <w:lang w:val="en-US" w:eastAsia="zh-CN" w:bidi="ar"/>
        </w:rPr>
        <w:t>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主要原因是：本年度无</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减少340.37</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192.83</w:t>
      </w:r>
      <w:r>
        <w:rPr>
          <w:rFonts w:hint="eastAsia" w:ascii="仿宋" w:hAnsi="仿宋" w:eastAsia="仿宋" w:cs="仿宋"/>
          <w:sz w:val="32"/>
          <w:szCs w:val="32"/>
          <w:highlight w:val="none"/>
        </w:rPr>
        <w:t>万元，其中本年支出</w:t>
      </w:r>
      <w:r>
        <w:rPr>
          <w:rFonts w:ascii="仿宋" w:hAnsi="仿宋" w:eastAsia="仿宋" w:cs="仿宋"/>
          <w:sz w:val="32"/>
          <w:u w:color="auto"/>
        </w:rPr>
        <w:t>192.83</w:t>
      </w:r>
      <w:r>
        <w:rPr>
          <w:rFonts w:hint="eastAsia" w:ascii="仿宋" w:hAnsi="仿宋" w:eastAsia="仿宋" w:cs="仿宋"/>
          <w:sz w:val="32"/>
          <w:szCs w:val="32"/>
          <w:highlight w:val="none"/>
        </w:rPr>
        <w:t>万元，较2021年度决算数</w:t>
      </w:r>
      <w:r>
        <w:rPr>
          <w:rFonts w:ascii="仿宋" w:hAnsi="仿宋" w:eastAsia="仿宋" w:cs="仿宋"/>
          <w:sz w:val="32"/>
          <w:u w:color="auto"/>
        </w:rPr>
        <w:t>减少387.02</w:t>
      </w:r>
      <w:r>
        <w:rPr>
          <w:rFonts w:hint="eastAsia" w:ascii="仿宋" w:hAnsi="仿宋" w:eastAsia="仿宋" w:cs="仿宋"/>
          <w:sz w:val="32"/>
          <w:szCs w:val="32"/>
          <w:highlight w:val="none"/>
        </w:rPr>
        <w:t>万元，</w:t>
      </w:r>
      <w:r>
        <w:rPr>
          <w:rFonts w:ascii="仿宋" w:hAnsi="仿宋" w:eastAsia="仿宋" w:cs="仿宋"/>
          <w:sz w:val="32"/>
          <w:u w:color="auto"/>
        </w:rPr>
        <w:t>下降66.74%</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1.55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工会活动费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增加1.55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主要原因是2022年增加工会经费。</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文化旅游体育与传媒支出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207</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154.50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宋体" w:hAnsi="宋体" w:eastAsia="宋体" w:cs="宋体"/>
          <w:b w:val="0"/>
          <w:bCs w:val="0"/>
          <w:color w:val="000000"/>
          <w:kern w:val="0"/>
          <w:sz w:val="30"/>
          <w:szCs w:val="30"/>
          <w:highlight w:val="none"/>
          <w:lang w:bidi="ar"/>
        </w:rPr>
        <w:t>其他文化和旅游支出</w:t>
      </w:r>
      <w:r>
        <w:rPr>
          <w:rFonts w:hint="eastAsia" w:ascii="宋体" w:hAnsi="宋体" w:eastAsia="宋体" w:cs="宋体"/>
          <w:b w:val="0"/>
          <w:bCs w:val="0"/>
          <w:color w:val="000000"/>
          <w:kern w:val="0"/>
          <w:sz w:val="30"/>
          <w:szCs w:val="30"/>
          <w:highlight w:val="none"/>
          <w:lang w:eastAsia="zh-CN" w:bidi="ar"/>
        </w:rPr>
        <w:t>、文物保护、其他文物支出等</w:t>
      </w:r>
      <w:r>
        <w:rPr>
          <w:rFonts w:hint="eastAsia" w:ascii="宋体" w:hAnsi="宋体" w:eastAsia="宋体" w:cs="宋体"/>
          <w:b w:val="0"/>
          <w:bCs w:val="0"/>
          <w:sz w:val="30"/>
          <w:szCs w:val="30"/>
          <w:highlight w:val="none"/>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减少348.49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下降69.28%</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主要原因是：减少项目经费。</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11.89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在职人员养老保险金</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减少0.33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下降2.70%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主要原因是人员调动</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8.72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在职住</w:t>
      </w:r>
      <w:r>
        <w:rPr>
          <w:rFonts w:hint="eastAsia" w:ascii="仿宋" w:hAnsi="仿宋" w:eastAsia="仿宋" w:cs="仿宋"/>
          <w:color w:val="auto"/>
          <w:sz w:val="32"/>
          <w:szCs w:val="32"/>
          <w:highlight w:val="none"/>
          <w:lang w:val="en-US" w:eastAsia="zh-CN"/>
        </w:rPr>
        <w:t>房公积金</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减少0.41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下降4.49%</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人员调动。</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16.17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事业单位奖励性补助。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减少6.49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下降28.64%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主要原因是年中在职人员调动。</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eastAsia="zh-CN"/>
          <w14:textFill>
            <w14:solidFill>
              <w14:schemeClr w14:val="tx1"/>
            </w14:solidFill>
          </w14:textFill>
        </w:rPr>
        <w:t>本单位</w:t>
      </w:r>
      <w:r>
        <w:rPr>
          <w:rFonts w:hint="default" w:ascii="仿宋_GB2312" w:hAnsi="微软雅黑" w:eastAsia="仿宋_GB2312" w:cs="仿宋_GB2312"/>
          <w:i w:val="0"/>
          <w:iCs w:val="0"/>
          <w:caps w:val="0"/>
          <w:color w:val="000000"/>
          <w:spacing w:val="0"/>
          <w:sz w:val="31"/>
          <w:szCs w:val="31"/>
          <w:highlight w:val="none"/>
          <w:shd w:val="clear" w:color="auto" w:fill="FFFFFF"/>
        </w:rPr>
        <w:t>结余分</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主要原因是本年度无</w:t>
      </w:r>
      <w:r>
        <w:rPr>
          <w:rFonts w:hint="eastAsia" w:ascii="仿宋" w:hAnsi="仿宋" w:eastAsia="仿宋" w:cs="仿宋"/>
          <w:sz w:val="32"/>
          <w:szCs w:val="32"/>
          <w:highlight w:val="none"/>
        </w:rPr>
        <w:t>年末结转和结余</w:t>
      </w:r>
      <w:r>
        <w:rPr>
          <w:rFonts w:hint="eastAsia" w:ascii="仿宋" w:hAnsi="仿宋" w:eastAsia="仿宋" w:cs="仿宋"/>
          <w:sz w:val="32"/>
          <w:szCs w:val="32"/>
          <w:highlight w:val="none"/>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699000" cy="2735580"/>
            <wp:effectExtent l="4445" t="4445" r="20955" b="2222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环江毛南族自治县文物管理所2022年度一般公共预算财政拨款支出</w:t>
      </w:r>
      <w:r>
        <w:rPr>
          <w:rFonts w:ascii="仿宋" w:hAnsi="仿宋" w:eastAsia="仿宋" w:cs="仿宋"/>
          <w:sz w:val="32"/>
          <w:u w:color="auto"/>
        </w:rPr>
        <w:t>192.83</w:t>
      </w:r>
      <w:r>
        <w:rPr>
          <w:rFonts w:hint="eastAsia" w:ascii="仿宋" w:hAnsi="仿宋" w:eastAsia="仿宋" w:cs="仿宋"/>
          <w:sz w:val="32"/>
          <w:szCs w:val="32"/>
          <w:highlight w:val="none"/>
        </w:rPr>
        <w:t>万元，较2021年度决算数</w:t>
      </w:r>
      <w:r>
        <w:rPr>
          <w:rFonts w:ascii="仿宋" w:hAnsi="仿宋" w:eastAsia="仿宋" w:cs="仿宋"/>
          <w:sz w:val="32"/>
          <w:u w:color="auto"/>
        </w:rPr>
        <w:t>减少354.17</w:t>
      </w:r>
      <w:r>
        <w:rPr>
          <w:rFonts w:hint="eastAsia" w:ascii="仿宋" w:hAnsi="仿宋" w:eastAsia="仿宋" w:cs="仿宋"/>
          <w:sz w:val="32"/>
          <w:szCs w:val="32"/>
          <w:highlight w:val="none"/>
        </w:rPr>
        <w:t>万元，</w:t>
      </w:r>
      <w:r>
        <w:rPr>
          <w:rFonts w:ascii="仿宋" w:hAnsi="仿宋" w:eastAsia="仿宋" w:cs="仿宋"/>
          <w:sz w:val="32"/>
          <w:u w:color="auto"/>
        </w:rPr>
        <w:t>下降64.75%</w:t>
      </w:r>
      <w:r>
        <w:rPr>
          <w:rFonts w:hint="eastAsia" w:ascii="仿宋" w:hAnsi="仿宋" w:eastAsia="仿宋" w:cs="仿宋"/>
          <w:sz w:val="32"/>
          <w:szCs w:val="32"/>
          <w:highlight w:val="none"/>
        </w:rPr>
        <w:t>。其中：基本支出</w:t>
      </w:r>
      <w:r>
        <w:rPr>
          <w:rFonts w:ascii="仿宋" w:hAnsi="仿宋" w:eastAsia="仿宋" w:cs="仿宋"/>
          <w:sz w:val="32"/>
          <w:u w:color="auto"/>
        </w:rPr>
        <w:t>92.45</w:t>
      </w:r>
      <w:r>
        <w:rPr>
          <w:rFonts w:hint="eastAsia" w:ascii="仿宋" w:hAnsi="仿宋" w:eastAsia="仿宋" w:cs="仿宋"/>
          <w:sz w:val="32"/>
          <w:szCs w:val="32"/>
          <w:highlight w:val="none"/>
        </w:rPr>
        <w:t>万元，项目支出</w:t>
      </w:r>
      <w:r>
        <w:rPr>
          <w:rFonts w:ascii="仿宋" w:hAnsi="仿宋" w:eastAsia="仿宋" w:cs="仿宋"/>
          <w:sz w:val="32"/>
          <w:u w:color="auto"/>
        </w:rPr>
        <w:t>100.37</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环江毛南族自治县文物管理所2022 年度一般公共预算财政拨款支出年初预算为</w:t>
      </w:r>
      <w:r>
        <w:rPr>
          <w:rFonts w:ascii="仿宋" w:hAnsi="仿宋" w:eastAsia="仿宋" w:cs="仿宋"/>
          <w:sz w:val="32"/>
          <w:u w:color="auto"/>
        </w:rPr>
        <w:t>115.78</w:t>
      </w:r>
      <w:r>
        <w:rPr>
          <w:rFonts w:hint="eastAsia" w:ascii="仿宋" w:hAnsi="仿宋" w:eastAsia="仿宋" w:cs="仿宋"/>
          <w:sz w:val="32"/>
          <w:szCs w:val="32"/>
          <w:highlight w:val="none"/>
        </w:rPr>
        <w:t>万元，支出决算为</w:t>
      </w:r>
      <w:r>
        <w:rPr>
          <w:rFonts w:ascii="仿宋" w:hAnsi="仿宋" w:eastAsia="仿宋" w:cs="仿宋"/>
          <w:sz w:val="32"/>
          <w:u w:color="auto"/>
        </w:rPr>
        <w:t>192.83</w:t>
      </w:r>
      <w:r>
        <w:rPr>
          <w:rFonts w:hint="eastAsia" w:ascii="仿宋" w:hAnsi="仿宋" w:eastAsia="仿宋" w:cs="仿宋"/>
          <w:sz w:val="32"/>
          <w:szCs w:val="32"/>
          <w:highlight w:val="none"/>
        </w:rPr>
        <w:t>万元，完成年初预算的</w:t>
      </w:r>
      <w:r>
        <w:rPr>
          <w:rFonts w:ascii="仿宋" w:hAnsi="仿宋" w:eastAsia="仿宋" w:cs="仿宋"/>
          <w:sz w:val="32"/>
          <w:u w:color="auto"/>
        </w:rPr>
        <w:t>166.55%</w:t>
      </w:r>
      <w:r>
        <w:rPr>
          <w:rFonts w:hint="eastAsia" w:ascii="仿宋" w:hAnsi="仿宋" w:eastAsia="仿宋" w:cs="仿宋"/>
          <w:sz w:val="32"/>
          <w:szCs w:val="32"/>
          <w:highlight w:val="none"/>
        </w:rPr>
        <w:t>。</w:t>
      </w:r>
      <w:bookmarkStart w:id="3" w:name="OLE_LINK2"/>
      <w:bookmarkEnd w:id="3"/>
      <w:r>
        <w:rPr>
          <w:rFonts w:hint="eastAsia" w:ascii="仿宋" w:hAnsi="仿宋" w:eastAsia="仿宋"/>
          <w:sz w:val="32"/>
          <w:szCs w:val="32"/>
          <w:highlight w:val="none"/>
        </w:rPr>
        <w:t xml:space="preserve"> </w:t>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1.55</w:t>
      </w:r>
      <w:r>
        <w:rPr>
          <w:rFonts w:hint="eastAsia" w:ascii="仿宋" w:hAnsi="仿宋" w:eastAsia="仿宋"/>
          <w:sz w:val="32"/>
          <w:szCs w:val="32"/>
          <w:highlight w:val="none"/>
        </w:rPr>
        <w:t>万元，支出决算为</w:t>
      </w:r>
      <w:r>
        <w:rPr>
          <w:rFonts w:ascii="仿宋" w:hAnsi="仿宋" w:eastAsia="仿宋"/>
          <w:sz w:val="32"/>
          <w:szCs w:val="32"/>
          <w:highlight w:val="none"/>
        </w:rPr>
        <w:t>1.55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原因是按时完成计划。</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在职人员工会活动费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文化旅游体育与传媒支出</w:t>
      </w:r>
      <w:r>
        <w:rPr>
          <w:rFonts w:ascii="仿宋" w:hAnsi="仿宋" w:eastAsia="仿宋"/>
          <w:sz w:val="32"/>
          <w:u w:color="auto"/>
        </w:rPr>
        <w:t>（207</w:t>
      </w:r>
      <w:r>
        <w:rPr>
          <w:rFonts w:hint="eastAsia" w:ascii="仿宋" w:hAnsi="仿宋" w:eastAsia="仿宋"/>
          <w:sz w:val="32"/>
          <w:szCs w:val="32"/>
          <w:highlight w:val="none"/>
        </w:rPr>
        <w:t>类）年初预算为</w:t>
      </w:r>
      <w:r>
        <w:rPr>
          <w:rFonts w:ascii="仿宋" w:hAnsi="仿宋" w:eastAsia="仿宋"/>
          <w:sz w:val="32"/>
          <w:szCs w:val="32"/>
          <w:highlight w:val="none"/>
        </w:rPr>
        <w:t>92.49</w:t>
      </w:r>
      <w:r>
        <w:rPr>
          <w:rFonts w:hint="eastAsia" w:ascii="仿宋" w:hAnsi="仿宋" w:eastAsia="仿宋"/>
          <w:sz w:val="32"/>
          <w:szCs w:val="32"/>
          <w:highlight w:val="none"/>
        </w:rPr>
        <w:t>万元，支出决算为</w:t>
      </w:r>
      <w:r>
        <w:rPr>
          <w:rFonts w:ascii="仿宋" w:hAnsi="仿宋" w:eastAsia="仿宋"/>
          <w:sz w:val="32"/>
          <w:szCs w:val="32"/>
          <w:highlight w:val="none"/>
        </w:rPr>
        <w:t>154.50</w:t>
      </w:r>
      <w:r>
        <w:rPr>
          <w:rFonts w:hint="eastAsia" w:ascii="仿宋" w:hAnsi="仿宋" w:eastAsia="仿宋"/>
          <w:sz w:val="32"/>
          <w:szCs w:val="32"/>
          <w:highlight w:val="none"/>
        </w:rPr>
        <w:t>万元，完成年初预算的</w:t>
      </w:r>
      <w:r>
        <w:rPr>
          <w:rFonts w:ascii="仿宋" w:hAnsi="仿宋" w:eastAsia="仿宋"/>
          <w:sz w:val="32"/>
          <w:szCs w:val="32"/>
          <w:highlight w:val="none"/>
        </w:rPr>
        <w:t>167.05%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原因是上级专款不列入年初预算。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其他文化和旅游支出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主要用于办公费等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年初没有预算数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2070204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文物保护</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55.36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662.20%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主要用于聘用人员工资等费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办公费未支付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2070205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博物馆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141.37%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主要用于聘用人员工资等费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年中增加调剂使用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其他文物支出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74.05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70.72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95.50%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主要用于办公费用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部分费用未支付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154.50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12.42</w:t>
      </w:r>
      <w:r>
        <w:rPr>
          <w:rFonts w:hint="eastAsia" w:ascii="仿宋" w:hAnsi="仿宋" w:eastAsia="仿宋"/>
          <w:sz w:val="32"/>
          <w:szCs w:val="32"/>
          <w:highlight w:val="none"/>
        </w:rPr>
        <w:t>万元，支出决算为</w:t>
      </w:r>
      <w:r>
        <w:rPr>
          <w:rFonts w:ascii="仿宋" w:hAnsi="仿宋" w:eastAsia="仿宋"/>
          <w:sz w:val="32"/>
          <w:szCs w:val="32"/>
          <w:highlight w:val="none"/>
        </w:rPr>
        <w:t>11.89</w:t>
      </w:r>
      <w:r>
        <w:rPr>
          <w:rFonts w:hint="eastAsia" w:ascii="仿宋" w:hAnsi="仿宋" w:eastAsia="仿宋"/>
          <w:sz w:val="32"/>
          <w:szCs w:val="32"/>
          <w:highlight w:val="none"/>
        </w:rPr>
        <w:t>万元，完成年初预算的</w:t>
      </w:r>
      <w:r>
        <w:rPr>
          <w:rFonts w:ascii="仿宋" w:hAnsi="仿宋" w:eastAsia="仿宋"/>
          <w:sz w:val="32"/>
          <w:szCs w:val="32"/>
          <w:highlight w:val="none"/>
        </w:rPr>
        <w:t>95.73%</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原因是年中有人员调动。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95.73%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w:t>
            </w: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4"/>
                <w:szCs w:val="24"/>
                <w:highlight w:val="none"/>
                <w:lang w:val="en-US" w:eastAsia="zh-CN"/>
              </w:rPr>
              <w:t>年中有人员调动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037080"/>
            <wp:effectExtent l="4445" t="4445" r="16510" b="1587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9.32</w:t>
      </w:r>
      <w:r>
        <w:rPr>
          <w:rFonts w:hint="eastAsia" w:ascii="仿宋" w:hAnsi="仿宋" w:eastAsia="仿宋"/>
          <w:sz w:val="32"/>
          <w:szCs w:val="32"/>
          <w:highlight w:val="none"/>
        </w:rPr>
        <w:t>万元，支出决算为</w:t>
      </w:r>
      <w:r>
        <w:rPr>
          <w:rFonts w:ascii="仿宋" w:hAnsi="仿宋" w:eastAsia="仿宋"/>
          <w:sz w:val="32"/>
          <w:szCs w:val="32"/>
          <w:highlight w:val="none"/>
        </w:rPr>
        <w:t>8.72</w:t>
      </w:r>
      <w:r>
        <w:rPr>
          <w:rFonts w:hint="eastAsia" w:ascii="仿宋" w:hAnsi="仿宋" w:eastAsia="仿宋"/>
          <w:sz w:val="32"/>
          <w:szCs w:val="32"/>
          <w:highlight w:val="none"/>
        </w:rPr>
        <w:t>万元，完成年初预算的</w:t>
      </w:r>
      <w:r>
        <w:rPr>
          <w:rFonts w:ascii="仿宋" w:hAnsi="仿宋" w:eastAsia="仿宋"/>
          <w:sz w:val="32"/>
          <w:szCs w:val="32"/>
          <w:highlight w:val="none"/>
        </w:rPr>
        <w:t>93.56%</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原因是年中有人员调动。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8.72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93.56%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主要用于在职人员住房公积金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年中有人员调动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8.72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16.17</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主要用于事业单位奖励性补贴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环江毛南族自治县文物管理所2022年度一般公共预算财政拨款基本支出</w:t>
      </w:r>
      <w:r>
        <w:rPr>
          <w:rFonts w:ascii="仿宋" w:hAnsi="仿宋" w:eastAsia="仿宋" w:cs="仿宋"/>
          <w:sz w:val="32"/>
          <w:u w:color="auto"/>
        </w:rPr>
        <w:t>92.45</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88.58</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3.87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88.58万元，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98.51%</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lang w:eastAsia="zh-CN"/>
        </w:rPr>
        <w:t>　</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主要原因是年中人员调动。</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35.51万元，30102津贴补贴2.42万元，30103奖金8.40万元，30106伙食补助费1.40万元，30107绩效工资14.91万元，30108机关事业单位基本养老保险缴费11.89万元，30110职工基本医疗保险缴费4.96万元，30112其他社会保障缴费0.36万元，30113住房公积金8.72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5369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3.87万元，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71.4%</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主要原因是部分费用未支付。</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30201办公费0.70万元，30202印刷费0.59万元，30205水费0.02万元，30213维修（护）费0.06万元，30228工会经费1.55万元，30231公务用车运行维护费0.50万元，30299其他商品和服务支出0.46万元。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lang w:eastAsia="zh-CN"/>
        </w:rPr>
        <w:t>本年度无</w:t>
      </w: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40025"/>
            <wp:effectExtent l="4445" t="4445" r="16510" b="1778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本单位无</w:t>
      </w: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20975"/>
            <wp:effectExtent l="4445" t="4445" r="16510" b="17780"/>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lang w:eastAsia="zh-CN"/>
        </w:rPr>
        <w:t>本单位无</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环江毛南族自治县文物管理所2022年度政府性基金支出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减少32.85</w:t>
      </w:r>
      <w:r>
        <w:rPr>
          <w:rFonts w:hint="eastAsia" w:ascii="仿宋" w:hAnsi="仿宋" w:eastAsia="仿宋" w:cs="仿宋"/>
          <w:sz w:val="32"/>
          <w:szCs w:val="32"/>
          <w:highlight w:val="none"/>
        </w:rPr>
        <w:t>万元，</w:t>
      </w:r>
      <w:r>
        <w:rPr>
          <w:rFonts w:ascii="仿宋" w:hAnsi="仿宋" w:eastAsia="仿宋" w:cs="仿宋"/>
          <w:sz w:val="32"/>
          <w:szCs w:val="32"/>
          <w:highlight w:val="none"/>
        </w:rPr>
        <w:t>下降100.00%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环江毛南族自治县文物管理所2022年度政府性基金支出年初预算为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环江毛南族自治县文物管理所</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环江毛南族自治县文物管理所2022年度国有资本经营预算支出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环江毛南族自治县文物管理所2022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环江毛南族自治县文物管理所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0.50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25.64%</w:t>
      </w:r>
      <w:r>
        <w:rPr>
          <w:rFonts w:hint="eastAsia" w:ascii="仿宋" w:hAnsi="仿宋" w:eastAsia="仿宋" w:cs="仿宋"/>
          <w:sz w:val="32"/>
          <w:szCs w:val="32"/>
          <w:highlight w:val="none"/>
        </w:rPr>
        <w:t>，比上年</w:t>
      </w:r>
      <w:r>
        <w:rPr>
          <w:rFonts w:ascii="仿宋" w:hAnsi="仿宋" w:eastAsia="仿宋" w:cs="仿宋"/>
          <w:sz w:val="32"/>
          <w:szCs w:val="32"/>
          <w:highlight w:val="none"/>
        </w:rPr>
        <w:t>减少0.40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主要原因是使用车辆次数减少。</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0.50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4"/>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numPr>
          <w:ilvl w:val="0"/>
          <w:numId w:val="0"/>
        </w:numPr>
        <w:jc w:val="left"/>
        <w:rPr>
          <w:rFonts w:hint="eastAsia" w:ascii="仿宋" w:hAnsi="仿宋" w:eastAsia="仿宋" w:cs="仿宋"/>
          <w:color w:val="FF0000"/>
          <w:sz w:val="32"/>
          <w:szCs w:val="32"/>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0.50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0.50</w:t>
      </w:r>
      <w:r>
        <w:rPr>
          <w:rFonts w:hint="eastAsia" w:ascii="仿宋" w:hAnsi="仿宋" w:eastAsia="仿宋" w:cs="仿宋"/>
          <w:sz w:val="32"/>
          <w:szCs w:val="32"/>
          <w:highlight w:val="none"/>
        </w:rPr>
        <w:t>万元，完成年初预算的</w:t>
      </w:r>
      <w:r>
        <w:rPr>
          <w:rFonts w:ascii="仿宋" w:hAnsi="仿宋" w:eastAsia="仿宋" w:cs="仿宋"/>
          <w:sz w:val="32"/>
          <w:u w:color="auto"/>
        </w:rPr>
        <w:t>25.64%</w:t>
      </w:r>
      <w:r>
        <w:rPr>
          <w:rFonts w:hint="eastAsia" w:ascii="仿宋" w:hAnsi="仿宋" w:eastAsia="仿宋" w:cs="仿宋"/>
          <w:sz w:val="32"/>
          <w:szCs w:val="32"/>
          <w:highlight w:val="none"/>
        </w:rPr>
        <w:t>，比上年</w:t>
      </w:r>
      <w:r>
        <w:rPr>
          <w:rFonts w:ascii="仿宋" w:hAnsi="仿宋" w:eastAsia="仿宋" w:cs="仿宋"/>
          <w:sz w:val="32"/>
          <w:u w:color="auto"/>
        </w:rPr>
        <w:t>减少0.30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eastAsia="zh-CN"/>
          <w14:textFill>
            <w14:solidFill>
              <w14:schemeClr w14:val="tx1"/>
            </w14:solidFill>
          </w14:textFill>
        </w:rPr>
        <w:t>车辆使用次数减少。</w:t>
      </w:r>
      <w:r>
        <w:rPr>
          <w:rFonts w:hint="eastAsia" w:ascii="仿宋" w:hAnsi="仿宋" w:eastAsia="仿宋" w:cs="仿宋"/>
          <w:sz w:val="32"/>
          <w:szCs w:val="32"/>
          <w:highlight w:val="none"/>
        </w:rPr>
        <w:t>2022年，</w:t>
      </w:r>
      <w:r>
        <w:rPr>
          <w:rFonts w:ascii="仿宋" w:hAnsi="仿宋" w:eastAsia="仿宋" w:cs="仿宋"/>
          <w:sz w:val="32"/>
          <w:u w:color="auto"/>
        </w:rPr>
        <w:t>环江毛南族自治县文物管理所</w:t>
      </w:r>
      <w:r>
        <w:rPr>
          <w:rFonts w:hint="eastAsia" w:ascii="仿宋" w:hAnsi="仿宋" w:eastAsia="仿宋" w:cs="仿宋"/>
          <w:sz w:val="32"/>
          <w:szCs w:val="32"/>
          <w:highlight w:val="none"/>
        </w:rPr>
        <w:t>及</w:t>
      </w:r>
      <w:r>
        <w:rPr>
          <w:rFonts w:hint="eastAsia" w:ascii="仿宋" w:hAnsi="仿宋" w:eastAsia="仿宋" w:cs="仿宋"/>
          <w:color w:val="auto"/>
          <w:sz w:val="32"/>
          <w:szCs w:val="32"/>
          <w:highlight w:val="none"/>
          <w:u w:val="single"/>
          <w:lang w:val="en-US" w:eastAsia="zh-CN"/>
        </w:rPr>
        <w:t xml:space="preserve">   1个</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1</w:t>
      </w:r>
      <w:r>
        <w:rPr>
          <w:rFonts w:hint="eastAsia" w:ascii="仿宋" w:hAnsi="仿宋" w:eastAsia="仿宋" w:cs="仿宋"/>
          <w:sz w:val="32"/>
          <w:szCs w:val="32"/>
          <w:highlight w:val="none"/>
        </w:rPr>
        <w:t>辆，全年运行费支出</w:t>
      </w:r>
      <w:r>
        <w:rPr>
          <w:rFonts w:ascii="仿宋" w:hAnsi="仿宋" w:eastAsia="仿宋" w:cs="仿宋"/>
          <w:sz w:val="32"/>
          <w:u w:color="auto"/>
        </w:rPr>
        <w:t>0.50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0.5</w:t>
      </w:r>
      <w:r>
        <w:rPr>
          <w:rFonts w:hint="eastAsia" w:ascii="仿宋" w:hAnsi="仿宋" w:eastAsia="仿宋" w:cs="仿宋"/>
          <w:color w:val="auto"/>
          <w:sz w:val="32"/>
          <w:szCs w:val="32"/>
          <w:highlight w:val="none"/>
        </w:rPr>
        <w:t xml:space="preserve"> 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减少0.10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主要原因是本年度没有产生公务接待支出。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减少5.42</w:t>
      </w:r>
      <w:r>
        <w:rPr>
          <w:rFonts w:hint="eastAsia" w:ascii="仿宋" w:hAnsi="仿宋" w:eastAsia="仿宋" w:cs="仿宋"/>
          <w:sz w:val="32"/>
          <w:szCs w:val="32"/>
          <w:highlight w:val="none"/>
        </w:rPr>
        <w:t>万元，</w:t>
      </w:r>
      <w:r>
        <w:rPr>
          <w:rFonts w:ascii="仿宋" w:hAnsi="仿宋" w:eastAsia="仿宋" w:cs="仿宋"/>
          <w:sz w:val="32"/>
          <w:szCs w:val="32"/>
          <w:highlight w:val="none"/>
        </w:rPr>
        <w:t>下降100%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办公设施设备购置经费减</w:t>
      </w:r>
      <w:r>
        <w:rPr>
          <w:rFonts w:hint="eastAsia" w:ascii="仿宋" w:hAnsi="仿宋" w:eastAsia="仿宋" w:cs="仿宋"/>
          <w:color w:val="auto"/>
          <w:sz w:val="32"/>
          <w:szCs w:val="32"/>
          <w:highlight w:val="none"/>
          <w:lang w:eastAsia="zh-CN"/>
        </w:rPr>
        <w:t>少。</w:t>
      </w:r>
    </w:p>
    <w:p>
      <w:pPr>
        <w:ind w:firstLine="640"/>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1</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1</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52.77</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本单位对“博物馆保安经费”等</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52.77</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年初预算数</w:t>
      </w:r>
      <w:r>
        <w:rPr>
          <w:rFonts w:hint="eastAsia" w:ascii="仿宋" w:hAnsi="仿宋" w:eastAsia="仿宋" w:cs="仿宋"/>
          <w:color w:val="000000" w:themeColor="text1"/>
          <w:sz w:val="32"/>
          <w:szCs w:val="32"/>
          <w:lang w:val="en-US" w:eastAsia="zh-CN"/>
          <w14:textFill>
            <w14:solidFill>
              <w14:schemeClr w14:val="tx1"/>
            </w14:solidFill>
          </w14:textFill>
        </w:rPr>
        <w:t>20.44万元，当年预算数52.77万元，全年执行数42.51万元，完成执行率80.56%，自评结论：一等。</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numPr>
          <w:ilvl w:val="0"/>
          <w:numId w:val="0"/>
        </w:numPr>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p>
    <w:p>
      <w:pPr>
        <w:numPr>
          <w:ilvl w:val="0"/>
          <w:numId w:val="5"/>
        </w:numPr>
        <w:ind w:left="420" w:leftChars="0" w:firstLine="0" w:firstLineChars="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博物馆保安经费项目自评得分为100分。</w:t>
      </w:r>
    </w:p>
    <w:p>
      <w:pPr>
        <w:numPr>
          <w:ilvl w:val="0"/>
          <w:numId w:val="5"/>
        </w:numPr>
        <w:ind w:left="420" w:leftChars="0" w:firstLine="0" w:firstLineChars="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凤腾山古墓巡查员经费项目自评得分为99.9分。</w:t>
      </w:r>
    </w:p>
    <w:p>
      <w:pPr>
        <w:numPr>
          <w:ilvl w:val="0"/>
          <w:numId w:val="5"/>
        </w:numPr>
        <w:ind w:left="420" w:leftChars="0" w:firstLine="0" w:firstLineChars="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文物保护经费项目自评得分为89.18分。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部分办公经费未及时支付，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p>
    <w:p>
      <w:pPr>
        <w:numPr>
          <w:ilvl w:val="0"/>
          <w:numId w:val="5"/>
        </w:numPr>
        <w:ind w:left="420" w:leftChars="0" w:firstLine="0" w:firstLineChars="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凤腾山古墓审计造价咨询费项目自评得分为100分。</w:t>
      </w:r>
    </w:p>
    <w:p>
      <w:pPr>
        <w:numPr>
          <w:ilvl w:val="0"/>
          <w:numId w:val="5"/>
        </w:numPr>
        <w:ind w:left="420" w:leftChars="0" w:firstLine="0" w:firstLineChars="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100分。</w:t>
      </w:r>
    </w:p>
    <w:p>
      <w:pPr>
        <w:numPr>
          <w:ilvl w:val="0"/>
          <w:numId w:val="5"/>
        </w:numPr>
        <w:ind w:left="420" w:leftChars="0" w:firstLine="0" w:firstLineChars="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中央补助地方公共服务体系免费开放经费项目自评得分为94.16分。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部分办公经费未及时支付，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p>
    <w:p>
      <w:pPr>
        <w:numPr>
          <w:ilvl w:val="0"/>
          <w:numId w:val="5"/>
        </w:numPr>
        <w:ind w:left="420" w:leftChars="0" w:firstLine="0" w:firstLineChars="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文物调查征集经费项目自评得分为97.42分。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部分办公经费未及时支付，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要按规定按时支付</w:t>
      </w:r>
      <w:r>
        <w:rPr>
          <w:rFonts w:hint="eastAsia" w:ascii="仿宋" w:hAnsi="仿宋" w:eastAsia="仿宋" w:cs="仿宋"/>
          <w:color w:val="000000" w:themeColor="text1"/>
          <w:sz w:val="32"/>
          <w:szCs w:val="32"/>
          <w14:textFill>
            <w14:solidFill>
              <w14:schemeClr w14:val="tx1"/>
            </w14:solidFill>
          </w14:textFill>
        </w:rPr>
        <w:t>，加大支付力度。</w:t>
      </w: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default" w:ascii="Times New Roman" w:hAnsi="Times New Roman" w:eastAsia="仿宋_GB2312" w:cs="Times New Roman"/>
          <w:kern w:val="0"/>
          <w:sz w:val="32"/>
          <w:szCs w:val="32"/>
        </w:rPr>
      </w:pPr>
    </w:p>
    <w:p>
      <w:pPr>
        <w:jc w:val="left"/>
        <w:rPr>
          <w:rFonts w:hint="default" w:ascii="Times New Roman" w:hAnsi="Times New Roman" w:eastAsia="仿宋_GB2312" w:cs="Times New Roman"/>
          <w:kern w:val="0"/>
          <w:sz w:val="32"/>
          <w:szCs w:val="32"/>
          <w:lang w:val="en-US" w:eastAsia="zh-CN"/>
        </w:rPr>
      </w:pPr>
      <w:bookmarkStart w:id="5" w:name="_GoBack"/>
      <w:bookmarkEnd w:id="5"/>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F54A575E"/>
    <w:multiLevelType w:val="singleLevel"/>
    <w:tmpl w:val="F54A575E"/>
    <w:lvl w:ilvl="0" w:tentative="0">
      <w:start w:val="2"/>
      <w:numFmt w:val="chineseCounting"/>
      <w:suff w:val="nothing"/>
      <w:lvlText w:val="%1、"/>
      <w:lvlJc w:val="left"/>
      <w:rPr>
        <w:rFonts w:hint="eastAsia"/>
      </w:rPr>
    </w:lvl>
  </w:abstractNum>
  <w:abstractNum w:abstractNumId="3">
    <w:nsid w:val="2171AF31"/>
    <w:multiLevelType w:val="singleLevel"/>
    <w:tmpl w:val="2171AF31"/>
    <w:lvl w:ilvl="0" w:tentative="0">
      <w:start w:val="1"/>
      <w:numFmt w:val="decimal"/>
      <w:suff w:val="nothing"/>
      <w:lvlText w:val="（%1）"/>
      <w:lvlJc w:val="left"/>
      <w:pPr>
        <w:ind w:left="420" w:leftChars="0" w:firstLine="0" w:firstLineChars="0"/>
      </w:pPr>
    </w:lvl>
  </w:abstractNum>
  <w:abstractNum w:abstractNumId="4">
    <w:nsid w:val="27086EBB"/>
    <w:multiLevelType w:val="singleLevel"/>
    <w:tmpl w:val="27086EBB"/>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737565"/>
    <w:rsid w:val="02E0291A"/>
    <w:rsid w:val="03B30A67"/>
    <w:rsid w:val="04E54546"/>
    <w:rsid w:val="05097AD0"/>
    <w:rsid w:val="057C705C"/>
    <w:rsid w:val="05992762"/>
    <w:rsid w:val="07B0770E"/>
    <w:rsid w:val="087F6C43"/>
    <w:rsid w:val="0942143F"/>
    <w:rsid w:val="09D77079"/>
    <w:rsid w:val="0D100297"/>
    <w:rsid w:val="0D202B45"/>
    <w:rsid w:val="0F8D4C87"/>
    <w:rsid w:val="10505FAA"/>
    <w:rsid w:val="105F7E7E"/>
    <w:rsid w:val="11621964"/>
    <w:rsid w:val="11E56B5B"/>
    <w:rsid w:val="125C77AB"/>
    <w:rsid w:val="14CB726E"/>
    <w:rsid w:val="17E92249"/>
    <w:rsid w:val="18D304F1"/>
    <w:rsid w:val="199C670E"/>
    <w:rsid w:val="19EE1986"/>
    <w:rsid w:val="19F32577"/>
    <w:rsid w:val="19F45B80"/>
    <w:rsid w:val="1B0C078D"/>
    <w:rsid w:val="1B2B31E2"/>
    <w:rsid w:val="1B4C295A"/>
    <w:rsid w:val="1B973C63"/>
    <w:rsid w:val="1BA1001E"/>
    <w:rsid w:val="1C204A0A"/>
    <w:rsid w:val="1D2821E4"/>
    <w:rsid w:val="1D317259"/>
    <w:rsid w:val="1E664F5B"/>
    <w:rsid w:val="1EB34BE1"/>
    <w:rsid w:val="215E639F"/>
    <w:rsid w:val="21EC3183"/>
    <w:rsid w:val="225E72CD"/>
    <w:rsid w:val="23A74938"/>
    <w:rsid w:val="246E2F77"/>
    <w:rsid w:val="254B4E2B"/>
    <w:rsid w:val="269746D1"/>
    <w:rsid w:val="283D7C94"/>
    <w:rsid w:val="29480E03"/>
    <w:rsid w:val="2983634D"/>
    <w:rsid w:val="29DE193E"/>
    <w:rsid w:val="29F205DF"/>
    <w:rsid w:val="2B2F79F3"/>
    <w:rsid w:val="2BB02055"/>
    <w:rsid w:val="2C575A56"/>
    <w:rsid w:val="2F257714"/>
    <w:rsid w:val="2F3275E5"/>
    <w:rsid w:val="30AA08EF"/>
    <w:rsid w:val="30D23D1C"/>
    <w:rsid w:val="31221CF5"/>
    <w:rsid w:val="31400178"/>
    <w:rsid w:val="321E3342"/>
    <w:rsid w:val="32575F21"/>
    <w:rsid w:val="327759C8"/>
    <w:rsid w:val="33185FE3"/>
    <w:rsid w:val="34EE2E36"/>
    <w:rsid w:val="36777241"/>
    <w:rsid w:val="36C97417"/>
    <w:rsid w:val="371E78D5"/>
    <w:rsid w:val="38655B8F"/>
    <w:rsid w:val="38A951DB"/>
    <w:rsid w:val="38B31605"/>
    <w:rsid w:val="39003F4F"/>
    <w:rsid w:val="3B070843"/>
    <w:rsid w:val="3C07002B"/>
    <w:rsid w:val="3CDB61EF"/>
    <w:rsid w:val="3D0D152A"/>
    <w:rsid w:val="3DF62756"/>
    <w:rsid w:val="3F1B7587"/>
    <w:rsid w:val="3F764027"/>
    <w:rsid w:val="41E57B4F"/>
    <w:rsid w:val="432F26F6"/>
    <w:rsid w:val="43880F63"/>
    <w:rsid w:val="441C5A6F"/>
    <w:rsid w:val="4447497A"/>
    <w:rsid w:val="44C44FCC"/>
    <w:rsid w:val="44CC7369"/>
    <w:rsid w:val="457F5108"/>
    <w:rsid w:val="46951B6B"/>
    <w:rsid w:val="474755DB"/>
    <w:rsid w:val="478425FC"/>
    <w:rsid w:val="49A34401"/>
    <w:rsid w:val="4A3E30AB"/>
    <w:rsid w:val="4AC14DAC"/>
    <w:rsid w:val="4D154C85"/>
    <w:rsid w:val="4EB35ECE"/>
    <w:rsid w:val="508F4E24"/>
    <w:rsid w:val="51461E90"/>
    <w:rsid w:val="51463753"/>
    <w:rsid w:val="52553A93"/>
    <w:rsid w:val="53521F8B"/>
    <w:rsid w:val="53E22F47"/>
    <w:rsid w:val="54490493"/>
    <w:rsid w:val="54522FF8"/>
    <w:rsid w:val="54FB4AFB"/>
    <w:rsid w:val="55013F6B"/>
    <w:rsid w:val="55450629"/>
    <w:rsid w:val="56692963"/>
    <w:rsid w:val="568B0F48"/>
    <w:rsid w:val="5786217B"/>
    <w:rsid w:val="579937F8"/>
    <w:rsid w:val="591A684F"/>
    <w:rsid w:val="59337A15"/>
    <w:rsid w:val="59810274"/>
    <w:rsid w:val="5CA96A00"/>
    <w:rsid w:val="5CF730BC"/>
    <w:rsid w:val="5E5F0DCE"/>
    <w:rsid w:val="5FA40A7B"/>
    <w:rsid w:val="5FD56D29"/>
    <w:rsid w:val="5FEC7F3F"/>
    <w:rsid w:val="60F74BC3"/>
    <w:rsid w:val="614C243E"/>
    <w:rsid w:val="617D3BF8"/>
    <w:rsid w:val="61841F6A"/>
    <w:rsid w:val="623007A9"/>
    <w:rsid w:val="637D7558"/>
    <w:rsid w:val="644F19AC"/>
    <w:rsid w:val="65363AED"/>
    <w:rsid w:val="65AA4920"/>
    <w:rsid w:val="65E31D0B"/>
    <w:rsid w:val="67686034"/>
    <w:rsid w:val="67694F1E"/>
    <w:rsid w:val="69597934"/>
    <w:rsid w:val="6AB36545"/>
    <w:rsid w:val="6B964DDC"/>
    <w:rsid w:val="6BB519A0"/>
    <w:rsid w:val="6C783074"/>
    <w:rsid w:val="6D9E65C6"/>
    <w:rsid w:val="6DA81947"/>
    <w:rsid w:val="6E53498E"/>
    <w:rsid w:val="6EB66DE2"/>
    <w:rsid w:val="6ED3075F"/>
    <w:rsid w:val="6F2A2D4B"/>
    <w:rsid w:val="6F8A0C1E"/>
    <w:rsid w:val="703F45D4"/>
    <w:rsid w:val="715D6546"/>
    <w:rsid w:val="71BE069E"/>
    <w:rsid w:val="73166260"/>
    <w:rsid w:val="737F240C"/>
    <w:rsid w:val="73953409"/>
    <w:rsid w:val="73E069A3"/>
    <w:rsid w:val="76E200C9"/>
    <w:rsid w:val="78104AA8"/>
    <w:rsid w:val="78624696"/>
    <w:rsid w:val="78AF520D"/>
    <w:rsid w:val="78E257C5"/>
    <w:rsid w:val="794B35BE"/>
    <w:rsid w:val="7A440B8C"/>
    <w:rsid w:val="7B0A3A31"/>
    <w:rsid w:val="7B3360ED"/>
    <w:rsid w:val="7BDF037E"/>
    <w:rsid w:val="7BF50948"/>
    <w:rsid w:val="7CDD3F56"/>
    <w:rsid w:val="7CE66A78"/>
    <w:rsid w:val="7D23564C"/>
    <w:rsid w:val="7D5E062D"/>
    <w:rsid w:val="7DF76CD8"/>
    <w:rsid w:val="7F055953"/>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192.83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文化旅游体育与传媒支出</c:v>
                </c:pt>
                <c:pt idx="2">
                  <c:v>社会保障和就业支出</c:v>
                </c:pt>
                <c:pt idx="3">
                  <c:v>住房保障支出</c:v>
                </c:pt>
                <c:pt idx="4">
                  <c:v>其他支出</c:v>
                </c:pt>
              </c:strCache>
            </c:strRef>
          </c:cat>
          <c:val>
            <c:numRef>
              <c:f>Sheet1!$B$2:$B$6</c:f>
              <c:numCache>
                <c:formatCode>General</c:formatCode>
                <c:ptCount val="5"/>
                <c:pt idx="0">
                  <c:v>0</c:v>
                </c:pt>
                <c:pt idx="1">
                  <c:v>502.99</c:v>
                </c:pt>
                <c:pt idx="2">
                  <c:v>12.22</c:v>
                </c:pt>
                <c:pt idx="3">
                  <c:v>9.13</c:v>
                </c:pt>
                <c:pt idx="4">
                  <c:v>22.66</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文化旅游体育与传媒支出</c:v>
                </c:pt>
                <c:pt idx="2">
                  <c:v>社会保障和就业支出</c:v>
                </c:pt>
                <c:pt idx="3">
                  <c:v>住房保障支出</c:v>
                </c:pt>
                <c:pt idx="4">
                  <c:v>其他支出</c:v>
                </c:pt>
              </c:strCache>
            </c:strRef>
          </c:cat>
          <c:val>
            <c:numRef>
              <c:f>Sheet1!$C$2:$C$6</c:f>
              <c:numCache>
                <c:formatCode>General</c:formatCode>
                <c:ptCount val="5"/>
                <c:pt idx="0">
                  <c:v>1.55</c:v>
                </c:pt>
                <c:pt idx="1">
                  <c:v>154.5</c:v>
                </c:pt>
                <c:pt idx="2">
                  <c:v>11.89</c:v>
                </c:pt>
                <c:pt idx="3">
                  <c:v>8.72</c:v>
                </c:pt>
                <c:pt idx="4">
                  <c:v>16.17</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1.55</c:v>
                </c:pt>
                <c:pt idx="1">
                  <c:v>1.55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文化旅游体育与传媒支出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2070199</c:v>
                </c:pt>
                <c:pt idx="1">
                  <c:v>2070204</c:v>
                </c:pt>
                <c:pt idx="2">
                  <c:v>2070205</c:v>
                </c:pt>
                <c:pt idx="3">
                  <c:v>2070299</c:v>
                </c:pt>
                <c:pt idx="4">
                  <c:v>207x</c:v>
                </c:pt>
              </c:strCache>
            </c:strRef>
          </c:cat>
          <c:val>
            <c:numRef>
              <c:f>Sheet1!$B$2:$B$6</c:f>
              <c:numCache>
                <c:formatCode>General</c:formatCode>
                <c:ptCount val="5"/>
                <c:pt idx="0">
                  <c:v>14.17</c:v>
                </c:pt>
                <c:pt idx="1">
                  <c:v>55.36</c:v>
                </c:pt>
                <c:pt idx="2">
                  <c:v>14.25</c:v>
                </c:pt>
                <c:pt idx="3">
                  <c:v>70.72</c:v>
                </c:pt>
                <c:pt idx="4">
                  <c:v>154.5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11.89</c:v>
                </c:pt>
                <c:pt idx="1">
                  <c:v>11.89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8.72</c:v>
                </c:pt>
                <c:pt idx="1">
                  <c:v>8.72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16.17</c:v>
                </c:pt>
                <c:pt idx="1">
                  <c:v>16.17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35.51</c:v>
                </c:pt>
                <c:pt idx="1">
                  <c:v>2.42</c:v>
                </c:pt>
                <c:pt idx="2">
                  <c:v>8.4</c:v>
                </c:pt>
                <c:pt idx="3">
                  <c:v>1.4</c:v>
                </c:pt>
                <c:pt idx="4">
                  <c:v>14.91</c:v>
                </c:pt>
                <c:pt idx="5">
                  <c:v>11.89</c:v>
                </c:pt>
                <c:pt idx="6">
                  <c:v>0</c:v>
                </c:pt>
                <c:pt idx="7">
                  <c:v>4.96</c:v>
                </c:pt>
                <c:pt idx="8">
                  <c:v>0</c:v>
                </c:pt>
                <c:pt idx="9">
                  <c:v>0.36</c:v>
                </c:pt>
                <c:pt idx="10">
                  <c:v>8.72</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0.7</c:v>
                </c:pt>
                <c:pt idx="1">
                  <c:v>0.59</c:v>
                </c:pt>
                <c:pt idx="2">
                  <c:v>0</c:v>
                </c:pt>
                <c:pt idx="3">
                  <c:v>0</c:v>
                </c:pt>
                <c:pt idx="4">
                  <c:v>0.02</c:v>
                </c:pt>
                <c:pt idx="5">
                  <c:v>0</c:v>
                </c:pt>
                <c:pt idx="6">
                  <c:v>0</c:v>
                </c:pt>
                <c:pt idx="7">
                  <c:v>0</c:v>
                </c:pt>
                <c:pt idx="8">
                  <c:v>0</c:v>
                </c:pt>
                <c:pt idx="9">
                  <c:v>0</c:v>
                </c:pt>
                <c:pt idx="10">
                  <c:v>0</c:v>
                </c:pt>
                <c:pt idx="11">
                  <c:v>0.06</c:v>
                </c:pt>
                <c:pt idx="12">
                  <c:v>0</c:v>
                </c:pt>
                <c:pt idx="13">
                  <c:v>0</c:v>
                </c:pt>
                <c:pt idx="14">
                  <c:v>0</c:v>
                </c:pt>
                <c:pt idx="15">
                  <c:v>0</c:v>
                </c:pt>
                <c:pt idx="16">
                  <c:v>0</c:v>
                </c:pt>
                <c:pt idx="17">
                  <c:v>0</c:v>
                </c:pt>
                <c:pt idx="18">
                  <c:v>0</c:v>
                </c:pt>
                <c:pt idx="19">
                  <c:v>0</c:v>
                </c:pt>
                <c:pt idx="20">
                  <c:v>0</c:v>
                </c:pt>
                <c:pt idx="21">
                  <c:v>1.55</c:v>
                </c:pt>
                <c:pt idx="22">
                  <c:v>0</c:v>
                </c:pt>
                <c:pt idx="23">
                  <c:v>0.5</c:v>
                </c:pt>
                <c:pt idx="24">
                  <c:v>0</c:v>
                </c:pt>
                <c:pt idx="25">
                  <c:v>0</c:v>
                </c:pt>
                <c:pt idx="26">
                  <c:v>0.46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3</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2023-11-27T10:04:12Z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