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中国共产党环江毛南族自治县委员会</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党校2022年度部门决算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8日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中国共产党环江毛南族自治县委员会党校</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中国共产党环江毛南族自治县委员会党校</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中国共产党环江毛南族自治县委员会党校</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中国共产党环江毛南族自治县委员会党校</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根据中央和自治区、河池市对干部队伍建设的要求和自治县干部教育培训规划，发挥对党员领导干部及后备干部、理论干部等培训轮训主渠道的作用，有计划的培训乡科级党员干部、村（社区）“两委”负责人、农村党员代表、新经济组织的骨干党员、少数民族干部、妇女干部、青年干部、乡（镇）党校教师和管理人员等。</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2.承担对政府系统科级领导干部及其后备干部等国家公务员的培训、轮训；围绕政府工作中的重大问题，开展教学科研活动。</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3.承担对统战系统管理的非中共党员干部、后备干部、民主党派和无党派人士等的培训、轮训；围绕统战工作中的重大问题，开展教学科研活动。</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4.承办自治县党委、自治县人民政府举办的专题研讨班，研讨上级党委、政府提出的重大理论和方针政策。</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5.围绕国际国内出现的新情况新问题开展科学研究，承担党委和政府下达的调研任务，推进理论创新。</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6.针对改革开放和社会主义现代化建设进程中的重大理论和现实问题，开展马克思主义中国化最新成果的理论宣传和党的路线、方针、政策的宣传。</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在做好主体班教学的基础上，按照中央有关政策和国家有关高等教育的法规和办法，开展与区内外高校联办干部学历教育；积极参与县直有关部门拓展适应经济社会发展需要、促进干部素质能力提高的多种形式的干部培训。</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8.督查、协调、指导乡（镇）党校教学和管理体制改革。</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9.与县直部门共同挖掘、培植干部教育现场教学基地。</w:t>
      </w:r>
    </w:p>
    <w:p>
      <w:pPr>
        <w:widowControl/>
        <w:spacing w:line="384" w:lineRule="atLeast"/>
        <w:ind w:firstLine="555"/>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10.完成自治县党委、自治县人民政府交办的其他工作。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我部门没有下属单位，按照部门决算编报要求，单独编制本部门决算。</w:t>
      </w:r>
    </w:p>
    <w:p>
      <w:pPr>
        <w:widowControl/>
        <w:spacing w:line="384" w:lineRule="atLeast"/>
        <w:jc w:val="left"/>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val="en-US" w:eastAsia="zh-CN" w:bidi="ar-SA"/>
        </w:rPr>
        <w:t>中共环江县委党校是正科级参照公务员法管理的事业单位，有四个内设机构，分别是办公室、后勤管理股、教务室及理论研究室。人员编制总数为16人，财政全额拨款的事业编制16人。其中，参照公务员法管理的职位8人，非参照公务员法管理的职位8人。2022年底实有编内在职人员13人（其中参公在职6人，事业在职7人），退休人员11人。无编外在职人员。</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720" w:right="720" w:bottom="720" w:left="720" w:header="851" w:footer="992" w:gutter="0"/>
          <w:cols w:space="425" w:num="1"/>
          <w:docGrid w:type="lines" w:linePitch="312" w:charSpace="0"/>
        </w:sectPr>
      </w:pPr>
    </w:p>
    <w:p>
      <w:pPr>
        <w:ind w:firstLine="960" w:firstLineChars="3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中国共产党环江毛南族自治县委员会党校</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242.95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242.95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进修及培训</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干部教育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242.95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216.23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26.72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进修及培训</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2050802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干部教育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142.35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26.72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169.07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16.06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33.66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242.95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242.95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242.95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242.95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216.23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26.72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进修及培训</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2050802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干部教育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26.72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207.49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6.52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eastAsia="zh-CN"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年度没有政府性基金预算财政拨款收入，也没有政府性基金预算财政拨款安排的支出，故本表无数据</w:t>
            </w:r>
            <w:r>
              <w:rPr>
                <w:rFonts w:hint="eastAsia" w:ascii="宋体" w:hAnsi="宋体" w:eastAsia="宋体" w:cs="宋体"/>
                <w:color w:val="000000" w:themeColor="text1"/>
                <w:kern w:val="0"/>
                <w:sz w:val="22"/>
                <w:szCs w:val="22"/>
                <w:highlight w:val="none"/>
                <w:lang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中国共产党环江毛南族自治县委员会党校</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0.80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0.80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0.80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0.80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中国共产党环江毛南族自治县委员会党校</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242.95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增加28.32</w:t>
      </w:r>
      <w:r>
        <w:rPr>
          <w:rFonts w:hint="eastAsia" w:ascii="仿宋" w:hAnsi="仿宋" w:eastAsia="仿宋" w:cs="仿宋"/>
          <w:sz w:val="32"/>
          <w:szCs w:val="32"/>
          <w:highlight w:val="none"/>
        </w:rPr>
        <w:t>万元，</w:t>
      </w:r>
      <w:r>
        <w:rPr>
          <w:rFonts w:ascii="仿宋" w:hAnsi="仿宋" w:eastAsia="仿宋" w:cs="仿宋"/>
          <w:sz w:val="32"/>
          <w:u w:color="auto"/>
        </w:rPr>
        <w:t>增长13.19%</w:t>
      </w:r>
      <w:r>
        <w:rPr>
          <w:rFonts w:hint="eastAsia" w:ascii="仿宋" w:hAnsi="仿宋" w:eastAsia="仿宋" w:cs="仿宋"/>
          <w:sz w:val="32"/>
          <w:szCs w:val="32"/>
          <w:highlight w:val="none"/>
        </w:rPr>
        <w:t>，其中本年收入</w:t>
      </w:r>
      <w:r>
        <w:rPr>
          <w:rFonts w:ascii="仿宋" w:hAnsi="仿宋" w:eastAsia="仿宋" w:cs="仿宋"/>
          <w:sz w:val="32"/>
          <w:u w:color="auto"/>
        </w:rPr>
        <w:t>242.95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242.95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增加28.32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增长13.19%</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人员增加，工作奖金津补贴、办公经费等方面收入按需增加。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7.附属单位上缴收入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8.其他收入</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万元,为预算单位在“财政拨款收入”“事业收入”“经营收入”之外取得的收入。较2021年度决算数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9.使用非财政拨款结余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000000" w:themeColor="text1"/>
          <w:sz w:val="32"/>
          <w:u w:color="auto"/>
          <w14:textFill>
            <w14:solidFill>
              <w14:schemeClr w14:val="tx1"/>
            </w14:solidFill>
          </w14:textFill>
        </w:rPr>
        <w:t>增加0.00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10.上年结转和结余</w:t>
      </w:r>
      <w:r>
        <w:rPr>
          <w:rFonts w:ascii="仿宋" w:hAnsi="仿宋" w:eastAsia="仿宋" w:cs="仿宋"/>
          <w:color w:val="000000" w:themeColor="text1"/>
          <w:sz w:val="32"/>
          <w:u w:color="auto"/>
          <w14:textFill>
            <w14:solidFill>
              <w14:schemeClr w14:val="tx1"/>
            </w14:solidFill>
          </w14:textFill>
        </w:rPr>
        <w:t>0.00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万元，为以前年度支出预算因客观条件变化未执行完毕、结转到本年度</w:t>
      </w:r>
      <w:r>
        <w:rPr>
          <w:rFonts w:hint="eastAsia" w:ascii="仿宋" w:hAnsi="仿宋" w:eastAsia="仿宋" w:cs="仿宋"/>
          <w:kern w:val="2"/>
          <w:sz w:val="32"/>
          <w:szCs w:val="32"/>
          <w:highlight w:val="none"/>
          <w:lang w:val="en-US" w:eastAsia="zh-CN" w:bidi="ar"/>
        </w:rPr>
        <w:t>按有关规定继续使用的资金。较2021年度决算数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89500" cy="281051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242.95</w:t>
      </w:r>
      <w:r>
        <w:rPr>
          <w:rFonts w:hint="eastAsia" w:ascii="仿宋" w:hAnsi="仿宋" w:eastAsia="仿宋" w:cs="仿宋"/>
          <w:sz w:val="32"/>
          <w:szCs w:val="32"/>
          <w:highlight w:val="none"/>
        </w:rPr>
        <w:t>万元，其中本年支出</w:t>
      </w:r>
      <w:r>
        <w:rPr>
          <w:rFonts w:ascii="仿宋" w:hAnsi="仿宋" w:eastAsia="仿宋" w:cs="仿宋"/>
          <w:sz w:val="32"/>
          <w:u w:color="auto"/>
        </w:rPr>
        <w:t>242.95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增加28.32</w:t>
      </w:r>
      <w:r>
        <w:rPr>
          <w:rFonts w:hint="eastAsia" w:ascii="仿宋" w:hAnsi="仿宋" w:eastAsia="仿宋" w:cs="仿宋"/>
          <w:sz w:val="32"/>
          <w:szCs w:val="32"/>
          <w:highlight w:val="none"/>
        </w:rPr>
        <w:t>万元，</w:t>
      </w:r>
      <w:r>
        <w:rPr>
          <w:rFonts w:ascii="仿宋" w:hAnsi="仿宋" w:eastAsia="仿宋" w:cs="仿宋"/>
          <w:sz w:val="32"/>
          <w:u w:color="auto"/>
        </w:rPr>
        <w:t>增长13.19%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2.74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：工会经费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主要原因是：2022年工会经费列入</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169.07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部门所属事业</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单位人员工资、日常运转方面的支出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增加24.65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增长17.07%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主要原因是：人员增加，该方面支出增加。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21.42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增长14.48%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基本养老保险缴费支出增加。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16.06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lang w:val="en-US" w:eastAsia="zh-CN" w:bidi="ar"/>
        </w:rPr>
        <w:t>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增长14.47%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住房公积金支出增加。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33.6</w:t>
      </w:r>
      <w:r>
        <w:rPr>
          <w:rFonts w:hint="eastAsia" w:ascii="仿宋" w:hAnsi="仿宋" w:eastAsia="仿宋" w:cs="仿宋"/>
          <w:color w:val="auto"/>
          <w:sz w:val="32"/>
          <w:szCs w:val="32"/>
          <w:highlight w:val="none"/>
          <w:lang w:bidi="ar"/>
        </w:rPr>
        <w:t>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发放奖励性补贴和伙食补助费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减少3.82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下降10.19%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主要原因是：2021年单位绩效考评获一等奖，2022年绩效考评获二等奖。</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年末结转和结</w:t>
      </w:r>
      <w:r>
        <w:rPr>
          <w:rFonts w:hint="eastAsia" w:ascii="仿宋" w:hAnsi="仿宋" w:eastAsia="仿宋" w:cs="仿宋"/>
          <w:color w:val="auto"/>
          <w:sz w:val="32"/>
          <w:szCs w:val="32"/>
          <w:highlight w:val="none"/>
        </w:rPr>
        <w:t>余</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37075" cy="265112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中国共产党环江毛南族自治县委员会党校2022年度一般公共预算财政拨款支出</w:t>
      </w:r>
      <w:r>
        <w:rPr>
          <w:rFonts w:ascii="仿宋" w:hAnsi="仿宋" w:eastAsia="仿宋" w:cs="仿宋"/>
          <w:sz w:val="32"/>
          <w:u w:color="auto"/>
        </w:rPr>
        <w:t>242.95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增加28.32</w:t>
      </w:r>
      <w:r>
        <w:rPr>
          <w:rFonts w:hint="eastAsia" w:ascii="仿宋" w:hAnsi="仿宋" w:eastAsia="仿宋" w:cs="仿宋"/>
          <w:sz w:val="32"/>
          <w:szCs w:val="32"/>
          <w:highlight w:val="none"/>
        </w:rPr>
        <w:t>万元，</w:t>
      </w:r>
      <w:r>
        <w:rPr>
          <w:rFonts w:ascii="仿宋" w:hAnsi="仿宋" w:eastAsia="仿宋" w:cs="仿宋"/>
          <w:sz w:val="32"/>
          <w:u w:color="auto"/>
        </w:rPr>
        <w:t>增长13.19%</w:t>
      </w:r>
      <w:r>
        <w:rPr>
          <w:rFonts w:hint="eastAsia" w:ascii="仿宋" w:hAnsi="仿宋" w:eastAsia="仿宋" w:cs="仿宋"/>
          <w:sz w:val="32"/>
          <w:szCs w:val="32"/>
          <w:highlight w:val="none"/>
        </w:rPr>
        <w:t>。其中：基本支出</w:t>
      </w:r>
      <w:r>
        <w:rPr>
          <w:rFonts w:ascii="仿宋" w:hAnsi="仿宋" w:eastAsia="仿宋" w:cs="仿宋"/>
          <w:sz w:val="32"/>
          <w:u w:color="auto"/>
        </w:rPr>
        <w:t>216.23</w:t>
      </w:r>
      <w:r>
        <w:rPr>
          <w:rFonts w:hint="eastAsia" w:ascii="仿宋" w:hAnsi="仿宋" w:eastAsia="仿宋" w:cs="仿宋"/>
          <w:sz w:val="32"/>
          <w:szCs w:val="32"/>
          <w:highlight w:val="none"/>
        </w:rPr>
        <w:t>万元，项目支出</w:t>
      </w:r>
      <w:r>
        <w:rPr>
          <w:rFonts w:ascii="仿宋" w:hAnsi="仿宋" w:eastAsia="仿宋" w:cs="仿宋"/>
          <w:sz w:val="32"/>
          <w:u w:color="auto"/>
        </w:rPr>
        <w:t>26.72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中国共产党环江毛南族自治县委员会党校2022年度一般公共预算财政拨款支出年初预算为</w:t>
      </w:r>
      <w:r>
        <w:rPr>
          <w:rFonts w:ascii="仿宋" w:hAnsi="仿宋" w:eastAsia="仿宋" w:cs="仿宋"/>
          <w:sz w:val="32"/>
          <w:u w:color="auto"/>
        </w:rPr>
        <w:t>190.85</w:t>
      </w:r>
      <w:r>
        <w:rPr>
          <w:rFonts w:hint="eastAsia" w:ascii="仿宋" w:hAnsi="仿宋" w:eastAsia="仿宋" w:cs="仿宋"/>
          <w:sz w:val="32"/>
          <w:szCs w:val="32"/>
          <w:highlight w:val="none"/>
        </w:rPr>
        <w:t>万元，支出决算为</w:t>
      </w:r>
      <w:r>
        <w:rPr>
          <w:rFonts w:ascii="仿宋" w:hAnsi="仿宋" w:eastAsia="仿宋" w:cs="仿宋"/>
          <w:sz w:val="32"/>
          <w:u w:color="auto"/>
        </w:rPr>
        <w:t>242.95</w:t>
      </w:r>
      <w:r>
        <w:rPr>
          <w:rFonts w:hint="eastAsia" w:ascii="仿宋" w:hAnsi="仿宋" w:eastAsia="仿宋" w:cs="仿宋"/>
          <w:sz w:val="32"/>
          <w:szCs w:val="32"/>
          <w:highlight w:val="none"/>
        </w:rPr>
        <w:t>万元，完成年初预算的</w:t>
      </w:r>
      <w:r>
        <w:rPr>
          <w:rFonts w:ascii="仿宋" w:hAnsi="仿宋" w:eastAsia="仿宋" w:cs="仿宋"/>
          <w:sz w:val="32"/>
          <w:u w:color="auto"/>
        </w:rPr>
        <w:t>127.30%</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2.74</w:t>
      </w:r>
      <w:r>
        <w:rPr>
          <w:rFonts w:hint="eastAsia" w:ascii="仿宋" w:hAnsi="仿宋" w:eastAsia="仿宋"/>
          <w:sz w:val="32"/>
          <w:szCs w:val="32"/>
          <w:highlight w:val="none"/>
        </w:rPr>
        <w:t>万元，支出决算为</w:t>
      </w:r>
      <w:r>
        <w:rPr>
          <w:rFonts w:ascii="仿宋" w:hAnsi="仿宋" w:eastAsia="仿宋"/>
          <w:sz w:val="32"/>
          <w:szCs w:val="32"/>
          <w:highlight w:val="none"/>
        </w:rPr>
        <w:t>2.74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严格按照预算制度执行经费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严格按照预算制度执行经费</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149.69</w:t>
      </w:r>
      <w:r>
        <w:rPr>
          <w:rFonts w:hint="eastAsia" w:ascii="仿宋" w:hAnsi="仿宋" w:eastAsia="仿宋"/>
          <w:sz w:val="32"/>
          <w:szCs w:val="32"/>
          <w:highlight w:val="none"/>
        </w:rPr>
        <w:t>万元，支出决算为</w:t>
      </w:r>
      <w:r>
        <w:rPr>
          <w:rFonts w:ascii="仿宋" w:hAnsi="仿宋" w:eastAsia="仿宋"/>
          <w:sz w:val="32"/>
          <w:szCs w:val="32"/>
          <w:highlight w:val="none"/>
        </w:rPr>
        <w:t>169.07</w:t>
      </w:r>
      <w:r>
        <w:rPr>
          <w:rFonts w:hint="eastAsia" w:ascii="仿宋" w:hAnsi="仿宋" w:eastAsia="仿宋"/>
          <w:sz w:val="32"/>
          <w:szCs w:val="32"/>
          <w:highlight w:val="none"/>
        </w:rPr>
        <w:t>万元，完成年初预算的</w:t>
      </w:r>
      <w:r>
        <w:rPr>
          <w:rFonts w:ascii="仿宋" w:hAnsi="仿宋" w:eastAsia="仿宋"/>
          <w:sz w:val="32"/>
          <w:szCs w:val="32"/>
          <w:highlight w:val="none"/>
        </w:rPr>
        <w:t>112.95%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人员增资等方面造成实际支出大于预算数。</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2050802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干部教育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112.95%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工作奖金津补贴、办公经费、离退休费等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人员增资等方面造成实际支出大于预算数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169.07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工作奖金津补贴、办公经费、离退休费等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人员增资等方面造成实际支出大于预算数</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86965"/>
            <wp:effectExtent l="4445" t="4445" r="16510" b="889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21.95</w:t>
      </w:r>
      <w:r>
        <w:rPr>
          <w:rFonts w:hint="eastAsia" w:ascii="仿宋" w:hAnsi="仿宋" w:eastAsia="仿宋"/>
          <w:sz w:val="32"/>
          <w:szCs w:val="32"/>
          <w:highlight w:val="none"/>
        </w:rPr>
        <w:t>万元，支出决算为</w:t>
      </w:r>
      <w:r>
        <w:rPr>
          <w:rFonts w:ascii="仿宋" w:hAnsi="仿宋" w:eastAsia="仿宋"/>
          <w:sz w:val="32"/>
          <w:szCs w:val="32"/>
          <w:highlight w:val="none"/>
        </w:rPr>
        <w:t>21.42</w:t>
      </w:r>
      <w:r>
        <w:rPr>
          <w:rFonts w:hint="eastAsia" w:ascii="仿宋" w:hAnsi="仿宋" w:eastAsia="仿宋"/>
          <w:sz w:val="32"/>
          <w:szCs w:val="32"/>
          <w:highlight w:val="none"/>
        </w:rPr>
        <w:t>万元，完成年初预算的</w:t>
      </w:r>
      <w:r>
        <w:rPr>
          <w:rFonts w:ascii="仿宋" w:hAnsi="仿宋" w:eastAsia="仿宋"/>
          <w:sz w:val="32"/>
          <w:szCs w:val="32"/>
          <w:highlight w:val="none"/>
        </w:rPr>
        <w:t>97.59%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人员变动造成差异。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97.59%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人员变动造成差异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人员变动造成差异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3459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16.47</w:t>
      </w:r>
      <w:r>
        <w:rPr>
          <w:rFonts w:hint="eastAsia" w:ascii="仿宋" w:hAnsi="仿宋" w:eastAsia="仿宋"/>
          <w:sz w:val="32"/>
          <w:szCs w:val="32"/>
          <w:highlight w:val="none"/>
        </w:rPr>
        <w:t>万元，支出决算为</w:t>
      </w:r>
      <w:r>
        <w:rPr>
          <w:rFonts w:ascii="仿宋" w:hAnsi="仿宋" w:eastAsia="仿宋"/>
          <w:sz w:val="32"/>
          <w:szCs w:val="32"/>
          <w:highlight w:val="none"/>
        </w:rPr>
        <w:t>16.06</w:t>
      </w:r>
      <w:r>
        <w:rPr>
          <w:rFonts w:hint="eastAsia" w:ascii="仿宋" w:hAnsi="仿宋" w:eastAsia="仿宋"/>
          <w:sz w:val="32"/>
          <w:szCs w:val="32"/>
          <w:highlight w:val="none"/>
        </w:rPr>
        <w:t>万元，完成年初预算的</w:t>
      </w:r>
      <w:r>
        <w:rPr>
          <w:rFonts w:ascii="仿宋" w:hAnsi="仿宋" w:eastAsia="仿宋"/>
          <w:sz w:val="32"/>
          <w:szCs w:val="32"/>
          <w:highlight w:val="none"/>
        </w:rPr>
        <w:t>97.51%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人员变动造成差异。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人员变动造成差异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16.47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人员变动造成差异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33.66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rPr>
        <w:t>其他支出</w:t>
      </w:r>
      <w:r>
        <w:rPr>
          <w:rFonts w:hint="eastAsia" w:ascii="仿宋" w:hAnsi="仿宋" w:eastAsia="仿宋"/>
          <w:color w:val="auto"/>
          <w:sz w:val="32"/>
          <w:szCs w:val="32"/>
          <w:highlight w:val="none"/>
          <w:lang w:eastAsia="zh-CN"/>
        </w:rPr>
        <w:t>用于</w:t>
      </w:r>
      <w:r>
        <w:rPr>
          <w:rFonts w:hint="eastAsia" w:ascii="仿宋" w:hAnsi="仿宋" w:eastAsia="仿宋" w:cs="仿宋"/>
          <w:color w:val="auto"/>
          <w:kern w:val="2"/>
          <w:sz w:val="32"/>
          <w:szCs w:val="32"/>
          <w:highlight w:val="none"/>
          <w:lang w:val="en-US" w:eastAsia="zh-CN" w:bidi="ar"/>
        </w:rPr>
        <w:t>发放奖励性补贴与伙食补助费，年初未预算该支出。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发放奖励性补贴与伙食补助费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发放奖励性补贴与伙食补助费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年初未预算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中国共产党环江毛南族自治县委员会党校2022年度一般公共预算财政拨款基本支出</w:t>
      </w:r>
      <w:r>
        <w:rPr>
          <w:rFonts w:ascii="仿宋" w:hAnsi="仿宋" w:eastAsia="仿宋" w:cs="仿宋"/>
          <w:sz w:val="32"/>
          <w:u w:color="auto"/>
        </w:rPr>
        <w:t>216.23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209.71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6.52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207.49万元，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130.13%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：人员增加，人员</w:t>
      </w:r>
      <w:r>
        <w:rPr>
          <w:rFonts w:hint="eastAsia" w:ascii="仿宋" w:hAnsi="仿宋" w:eastAsia="仿宋" w:cs="仿宋"/>
          <w:sz w:val="32"/>
          <w:szCs w:val="32"/>
          <w:highlight w:val="none"/>
        </w:rPr>
        <w:t>工资福利支出</w:t>
      </w:r>
      <w:r>
        <w:rPr>
          <w:rFonts w:hint="eastAsia" w:ascii="仿宋" w:hAnsi="仿宋" w:eastAsia="仿宋" w:cs="仿宋"/>
          <w:color w:val="auto"/>
          <w:kern w:val="2"/>
          <w:sz w:val="32"/>
          <w:szCs w:val="32"/>
          <w:highlight w:val="none"/>
          <w:lang w:val="en-US" w:eastAsia="zh-CN" w:bidi="ar"/>
        </w:rPr>
        <w:t>增多。</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67.29万元，30102津贴补贴29.64万元，30103奖金46.56万元，30106伙食补助费2.37万元，30107绩效工资14.73万元，30108机关事业单位基本养老保险缴费21.42万元，30110职工基本医疗保险缴费8.80万元，30112其他社会保障缴费0.63万元，30113住房公积金16.06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6.52万元，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54.79%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主要原因是：预决算数据统计口径不一致，决算数包含</w:t>
      </w:r>
      <w:r>
        <w:rPr>
          <w:rFonts w:hint="eastAsia" w:ascii="仿宋" w:hAnsi="仿宋" w:eastAsia="仿宋" w:cs="仿宋"/>
          <w:sz w:val="32"/>
          <w:szCs w:val="32"/>
          <w:highlight w:val="none"/>
          <w:lang w:val="en-US" w:eastAsia="zh-CN"/>
        </w:rPr>
        <w:t>办公费、水费、电费和工会经费等，预算数</w:t>
      </w:r>
      <w:r>
        <w:rPr>
          <w:rFonts w:hint="eastAsia" w:ascii="仿宋" w:hAnsi="仿宋" w:eastAsia="仿宋" w:cs="仿宋"/>
          <w:sz w:val="32"/>
          <w:szCs w:val="32"/>
          <w:highlight w:val="none"/>
          <w:lang w:eastAsia="zh-CN"/>
        </w:rPr>
        <w:t>包含工会经费、定额商品和服务支出（公用经费）、公务交通补贴和机关公务移动通信补贴。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30201办公费1.19万元，30205水费0.52万元，30206电费0.04万元，30207邮电费1.13万元，30213维修（护）费0.22万元，30214租赁费0.09万元，30228工会经费2.74万元，30299其他商品和服务支出0.59万元。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0606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对个人和家庭的补助</w:t>
      </w:r>
      <w:r>
        <w:rPr>
          <w:rFonts w:ascii="仿宋" w:hAnsi="仿宋" w:eastAsia="仿宋" w:cs="仿宋"/>
          <w:sz w:val="32"/>
          <w:u w:color="auto"/>
        </w:rPr>
        <w:t>2.22万元，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24.03%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是：预决算数据统计口径不一致，</w:t>
      </w:r>
      <w:r>
        <w:rPr>
          <w:rFonts w:hint="eastAsia" w:ascii="仿宋" w:hAnsi="仿宋" w:eastAsia="仿宋" w:cs="仿宋"/>
          <w:color w:val="auto"/>
          <w:sz w:val="32"/>
          <w:szCs w:val="32"/>
          <w:highlight w:val="none"/>
          <w:lang w:eastAsia="zh-CN"/>
        </w:rPr>
        <w:t>决算数</w:t>
      </w:r>
      <w:r>
        <w:rPr>
          <w:rFonts w:hint="eastAsia" w:ascii="仿宋" w:hAnsi="仿宋" w:eastAsia="仿宋" w:cs="仿宋"/>
          <w:color w:val="auto"/>
          <w:sz w:val="32"/>
          <w:u w:color="auto"/>
          <w:lang w:eastAsia="zh-CN"/>
        </w:rPr>
        <w:t>包含</w:t>
      </w:r>
      <w:r>
        <w:rPr>
          <w:rFonts w:hint="eastAsia" w:ascii="仿宋" w:hAnsi="仿宋" w:eastAsia="仿宋" w:cs="仿宋"/>
          <w:color w:val="auto"/>
          <w:kern w:val="2"/>
          <w:sz w:val="32"/>
          <w:szCs w:val="32"/>
          <w:highlight w:val="none"/>
          <w:lang w:val="en-US" w:eastAsia="zh-CN" w:bidi="ar"/>
        </w:rPr>
        <w:t>遗属生活补助和独生子女保健费（奖励金），</w:t>
      </w:r>
      <w:r>
        <w:rPr>
          <w:rFonts w:hint="default" w:ascii="仿宋_GB2312" w:hAnsi="微软雅黑" w:eastAsia="仿宋_GB2312" w:cs="仿宋_GB2312"/>
          <w:i w:val="0"/>
          <w:iCs w:val="0"/>
          <w:caps w:val="0"/>
          <w:color w:val="auto"/>
          <w:spacing w:val="0"/>
          <w:sz w:val="31"/>
          <w:szCs w:val="31"/>
          <w:highlight w:val="none"/>
          <w:shd w:val="clear" w:color="auto" w:fill="FFFFFF"/>
        </w:rPr>
        <w:t>预算</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数</w:t>
      </w:r>
      <w:r>
        <w:rPr>
          <w:rFonts w:hint="eastAsia" w:ascii="仿宋" w:hAnsi="仿宋" w:eastAsia="仿宋" w:cs="仿宋"/>
          <w:color w:val="auto"/>
          <w:sz w:val="32"/>
          <w:szCs w:val="32"/>
          <w:highlight w:val="none"/>
          <w:lang w:eastAsia="zh-CN"/>
        </w:rPr>
        <w:t>包含</w:t>
      </w:r>
      <w:r>
        <w:rPr>
          <w:rFonts w:hint="eastAsia" w:ascii="仿宋" w:hAnsi="仿宋" w:eastAsia="仿宋" w:cs="仿宋"/>
          <w:color w:val="auto"/>
          <w:kern w:val="2"/>
          <w:sz w:val="32"/>
          <w:szCs w:val="32"/>
          <w:highlight w:val="none"/>
          <w:lang w:val="en-US" w:eastAsia="zh-CN" w:bidi="ar"/>
        </w:rPr>
        <w:t>改革前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获得荣誉改革后退休人员退休补助、离退休人员生活补助、遗属生活补</w:t>
      </w:r>
      <w:r>
        <w:rPr>
          <w:rFonts w:hint="eastAsia" w:ascii="仿宋" w:hAnsi="仿宋" w:eastAsia="仿宋" w:cs="仿宋"/>
          <w:sz w:val="32"/>
          <w:szCs w:val="32"/>
          <w:highlight w:val="none"/>
        </w:rPr>
        <w:t>助</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lang w:val="en-US" w:eastAsia="zh-CN"/>
        </w:rPr>
        <w:t>独生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子女保健费（奖励金）。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30305生活补助2.21万元，30309奖励金0.01万元。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257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_GB2312" w:hAnsi="Times New Roman" w:eastAsia="仿宋_GB2312" w:cs="Times New Roman"/>
          <w:color w:val="auto"/>
          <w:sz w:val="32"/>
          <w:szCs w:val="32"/>
        </w:rPr>
        <w:t>中国共产党环江毛南族自治县委员会党校</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color w:val="auto"/>
          <w:sz w:val="32"/>
          <w:szCs w:val="32"/>
          <w:highlight w:val="none"/>
        </w:rPr>
        <w:t>、2022年度国有资本经营预算支出决算情况</w:t>
      </w:r>
    </w:p>
    <w:p>
      <w:pPr>
        <w:ind w:firstLine="640" w:firstLineChars="200"/>
        <w:jc w:val="left"/>
        <w:rPr>
          <w:rFonts w:hint="default" w:ascii="仿宋" w:hAnsi="仿宋" w:eastAsia="仿宋" w:cs="仿宋"/>
          <w:color w:val="auto"/>
          <w:sz w:val="32"/>
          <w:szCs w:val="32"/>
          <w:highlight w:val="none"/>
          <w:lang w:val="en-US"/>
        </w:rPr>
      </w:pPr>
      <w:bookmarkStart w:id="4" w:name="PO_part3A5B1C1DiffReason1"/>
      <w:r>
        <w:rPr>
          <w:rFonts w:hint="eastAsia" w:ascii="仿宋_GB2312" w:hAnsi="Times New Roman" w:eastAsia="仿宋_GB2312" w:cs="Times New Roman"/>
          <w:color w:val="auto"/>
          <w:sz w:val="32"/>
          <w:szCs w:val="32"/>
        </w:rPr>
        <w:t>中国共产党环江毛南族自治县委员会党校</w:t>
      </w:r>
      <w:r>
        <w:rPr>
          <w:rFonts w:ascii="仿宋_GB2312" w:hAnsi="仿宋_GB2312" w:eastAsia="仿宋_GB2312" w:cs="仿宋_GB2312"/>
          <w:color w:val="auto"/>
          <w:sz w:val="32"/>
          <w:u w:color="auto"/>
        </w:rPr>
        <w:t>没有国有资本经营预算收入，也没有国有资本经营预算收入</w:t>
      </w:r>
      <w:bookmarkEnd w:id="4"/>
      <w:r>
        <w:rPr>
          <w:rFonts w:hint="eastAsia" w:ascii="仿宋_GB2312" w:hAnsi="Times New Roman" w:eastAsia="仿宋_GB2312" w:cs="Times New Roman"/>
          <w:color w:val="auto"/>
          <w:sz w:val="32"/>
          <w:szCs w:val="32"/>
          <w:lang w:val="en-US" w:eastAsia="zh-CN"/>
        </w:rPr>
        <w:t>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0.80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增加0.69</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lang w:eastAsia="zh-CN"/>
        </w:rPr>
        <w:t>节约过紧日子，控制</w:t>
      </w:r>
      <w:r>
        <w:rPr>
          <w:rFonts w:hint="eastAsia" w:ascii="仿宋" w:hAnsi="仿宋" w:eastAsia="仿宋" w:cs="仿宋"/>
          <w:sz w:val="32"/>
          <w:szCs w:val="32"/>
          <w:highlight w:val="none"/>
        </w:rPr>
        <w:t>“三公”经费支出</w:t>
      </w:r>
      <w:r>
        <w:rPr>
          <w:rFonts w:hint="eastAsia" w:ascii="仿宋" w:hAnsi="仿宋" w:eastAsia="仿宋" w:cs="仿宋"/>
          <w:bCs/>
          <w:kern w:val="0"/>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0.80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原因是：本单位没有</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本单位没有</w:t>
      </w:r>
      <w:r>
        <w:rPr>
          <w:rFonts w:hint="eastAsia" w:ascii="仿宋" w:hAnsi="仿宋" w:eastAsia="仿宋" w:cs="仿宋"/>
          <w:sz w:val="32"/>
          <w:szCs w:val="32"/>
          <w:highlight w:val="none"/>
        </w:rPr>
        <w:t>因公出国（境）</w:t>
      </w:r>
      <w:r>
        <w:rPr>
          <w:rFonts w:hint="eastAsia" w:ascii="仿宋" w:hAnsi="仿宋" w:eastAsia="仿宋" w:cs="仿宋"/>
          <w:sz w:val="32"/>
          <w:szCs w:val="32"/>
          <w:highlight w:val="none"/>
          <w:lang w:eastAsia="zh-CN"/>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本单位没有</w:t>
      </w:r>
      <w:r>
        <w:rPr>
          <w:rFonts w:hint="eastAsia" w:ascii="仿宋" w:hAnsi="仿宋" w:eastAsia="仿宋" w:cs="仿宋"/>
          <w:sz w:val="32"/>
          <w:szCs w:val="32"/>
          <w:highlight w:val="none"/>
        </w:rPr>
        <w:t>公务用车运行维护支出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w:t>
      </w:r>
      <w:r>
        <w:rPr>
          <w:rFonts w:ascii="仿宋" w:hAnsi="仿宋" w:eastAsia="仿宋" w:cs="仿宋"/>
          <w:sz w:val="32"/>
          <w:u w:color="auto"/>
        </w:rPr>
        <w:t>中国共产党环江毛南族自治县委员会党校</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non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0.80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增加0.69</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bCs/>
          <w:color w:val="auto"/>
          <w:kern w:val="0"/>
          <w:sz w:val="32"/>
          <w:szCs w:val="32"/>
          <w:lang w:eastAsia="zh-CN"/>
        </w:rPr>
        <w:t>节</w:t>
      </w:r>
      <w:r>
        <w:rPr>
          <w:rFonts w:hint="eastAsia" w:ascii="仿宋" w:hAnsi="仿宋" w:eastAsia="仿宋" w:cs="仿宋"/>
          <w:bCs/>
          <w:kern w:val="0"/>
          <w:sz w:val="32"/>
          <w:szCs w:val="32"/>
          <w:lang w:eastAsia="zh-CN"/>
        </w:rPr>
        <w:t>约过紧日子，控制</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10</w:t>
      </w:r>
      <w:r>
        <w:rPr>
          <w:rFonts w:hint="eastAsia" w:ascii="仿宋" w:hAnsi="仿宋" w:eastAsia="仿宋" w:cs="仿宋"/>
          <w:sz w:val="32"/>
          <w:szCs w:val="32"/>
          <w:highlight w:val="none"/>
        </w:rPr>
        <w:t>次，人次</w:t>
      </w:r>
      <w:r>
        <w:rPr>
          <w:rFonts w:ascii="仿宋" w:hAnsi="仿宋" w:eastAsia="仿宋" w:cs="仿宋"/>
          <w:sz w:val="32"/>
          <w:szCs w:val="32"/>
          <w:highlight w:val="none"/>
        </w:rPr>
        <w:t>70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（一）机关运行经费支出情况说明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6.52</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减少5.38</w:t>
      </w:r>
      <w:r>
        <w:rPr>
          <w:rFonts w:hint="eastAsia" w:ascii="仿宋" w:hAnsi="仿宋" w:eastAsia="仿宋" w:cs="仿宋"/>
          <w:sz w:val="32"/>
          <w:szCs w:val="32"/>
          <w:highlight w:val="none"/>
        </w:rPr>
        <w:t>万元，</w:t>
      </w:r>
      <w:r>
        <w:rPr>
          <w:rFonts w:ascii="仿宋" w:hAnsi="仿宋" w:eastAsia="仿宋" w:cs="仿宋"/>
          <w:sz w:val="32"/>
          <w:szCs w:val="32"/>
          <w:highlight w:val="none"/>
        </w:rPr>
        <w:t>下降45.21%</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少4.75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ascii="仿宋" w:hAnsi="仿宋" w:eastAsia="仿宋" w:cs="仿宋"/>
          <w:color w:val="auto"/>
          <w:sz w:val="32"/>
          <w:szCs w:val="32"/>
          <w:highlight w:val="none"/>
        </w:rPr>
        <w:t>42.15%</w:t>
      </w:r>
      <w:r>
        <w:rPr>
          <w:rFonts w:hint="eastAsia" w:ascii="仿宋" w:hAnsi="仿宋" w:eastAsia="仿宋" w:cs="仿宋"/>
          <w:color w:val="auto"/>
          <w:sz w:val="32"/>
          <w:szCs w:val="32"/>
          <w:highlight w:val="none"/>
        </w:rPr>
        <w:t>。原因是：①</w:t>
      </w:r>
      <w:r>
        <w:rPr>
          <w:rFonts w:hint="eastAsia" w:ascii="仿宋" w:hAnsi="仿宋" w:eastAsia="仿宋" w:cs="仿宋"/>
          <w:color w:val="auto"/>
          <w:sz w:val="32"/>
          <w:szCs w:val="32"/>
          <w:highlight w:val="none"/>
          <w:lang w:eastAsia="zh-CN"/>
        </w:rPr>
        <w:t>预决算数据统计口径不一致。决算数</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包含</w:t>
      </w:r>
      <w:r>
        <w:rPr>
          <w:rFonts w:hint="eastAsia" w:ascii="仿宋" w:hAnsi="仿宋" w:eastAsia="仿宋" w:cs="仿宋"/>
          <w:sz w:val="32"/>
          <w:szCs w:val="32"/>
          <w:highlight w:val="none"/>
          <w:lang w:val="en-US" w:eastAsia="zh-CN"/>
        </w:rPr>
        <w:t>办公费、水费、电费和工会经费等，预算数</w:t>
      </w:r>
      <w:r>
        <w:rPr>
          <w:rFonts w:hint="eastAsia" w:ascii="仿宋" w:hAnsi="仿宋" w:eastAsia="仿宋" w:cs="仿宋"/>
          <w:sz w:val="32"/>
          <w:szCs w:val="32"/>
          <w:highlight w:val="none"/>
          <w:lang w:eastAsia="zh-CN"/>
        </w:rPr>
        <w:t>包含工会经费、定额商品和服务支出（公用经费）、公务交通补贴和机关公务移动通信补贴。②</w:t>
      </w:r>
      <w:r>
        <w:rPr>
          <w:rFonts w:hint="eastAsia" w:ascii="仿宋" w:hAnsi="仿宋" w:eastAsia="仿宋" w:cs="仿宋"/>
          <w:sz w:val="32"/>
          <w:szCs w:val="32"/>
          <w:highlight w:val="none"/>
          <w:lang w:val="en-US" w:eastAsia="zh-CN"/>
        </w:rPr>
        <w:t>2022年</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少</w:t>
      </w:r>
      <w:r>
        <w:rPr>
          <w:rFonts w:ascii="仿宋" w:hAnsi="仿宋" w:eastAsia="仿宋" w:cs="仿宋"/>
          <w:color w:val="auto"/>
          <w:sz w:val="32"/>
          <w:szCs w:val="32"/>
          <w:highlight w:val="none"/>
        </w:rPr>
        <w:t>4.75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差旅费减少3.96万元、</w:t>
      </w:r>
      <w:r>
        <w:rPr>
          <w:rFonts w:hint="eastAsia" w:ascii="仿宋" w:hAnsi="仿宋" w:eastAsia="仿宋" w:cs="仿宋"/>
          <w:color w:val="auto"/>
          <w:sz w:val="32"/>
          <w:szCs w:val="32"/>
          <w:highlight w:val="none"/>
          <w:lang w:eastAsia="zh-CN"/>
        </w:rPr>
        <w:t>办公费减少</w:t>
      </w:r>
      <w:r>
        <w:rPr>
          <w:rFonts w:hint="eastAsia" w:ascii="仿宋" w:hAnsi="仿宋" w:eastAsia="仿宋" w:cs="仿宋"/>
          <w:color w:val="auto"/>
          <w:sz w:val="32"/>
          <w:szCs w:val="32"/>
          <w:highlight w:val="none"/>
          <w:lang w:val="en-US" w:eastAsia="zh-CN"/>
        </w:rPr>
        <w:t>2.37万元</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维修（护）费减少</w:t>
      </w:r>
      <w:r>
        <w:rPr>
          <w:rFonts w:hint="eastAsia" w:ascii="仿宋" w:hAnsi="仿宋" w:eastAsia="仿宋" w:cs="仿宋"/>
          <w:color w:val="auto"/>
          <w:sz w:val="32"/>
          <w:szCs w:val="32"/>
          <w:highlight w:val="none"/>
          <w:lang w:val="en-US" w:eastAsia="zh-CN"/>
        </w:rPr>
        <w:t>1.55万元、工会经费增加2.74万元等。</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auto"/>
          <w:sz w:val="32"/>
          <w:szCs w:val="32"/>
        </w:rPr>
        <w:t>。其中，一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29.98</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000000" w:themeColor="text1"/>
          <w:sz w:val="32"/>
          <w:szCs w:val="32"/>
          <w14:textFill>
            <w14:solidFill>
              <w14:schemeClr w14:val="tx1"/>
            </w14:solidFill>
          </w14:textFill>
        </w:rPr>
        <w:t>组织对“党校常规管理业务经费”等</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29.98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6个项目指标均得90分，评</w:t>
      </w:r>
      <w:r>
        <w:rPr>
          <w:rFonts w:hint="eastAsia" w:ascii="仿宋_GB2312" w:hAnsi="仿宋_GB2312" w:eastAsia="仿宋_GB2312" w:cs="仿宋_GB2312"/>
          <w:color w:val="auto"/>
          <w:kern w:val="0"/>
          <w:sz w:val="32"/>
          <w:szCs w:val="32"/>
          <w:highlight w:val="none"/>
          <w:u w:val="none"/>
        </w:rPr>
        <w:t>价效果</w:t>
      </w:r>
      <w:r>
        <w:rPr>
          <w:rFonts w:hint="eastAsia" w:ascii="仿宋_GB2312" w:hAnsi="仿宋_GB2312" w:eastAsia="仿宋_GB2312" w:cs="仿宋_GB2312"/>
          <w:color w:val="auto"/>
          <w:kern w:val="0"/>
          <w:sz w:val="32"/>
          <w:szCs w:val="32"/>
          <w:highlight w:val="none"/>
          <w:u w:val="none"/>
          <w:lang w:eastAsia="zh-CN"/>
        </w:rPr>
        <w:t>良好</w:t>
      </w:r>
      <w:r>
        <w:rPr>
          <w:rFonts w:hint="eastAsia" w:ascii="仿宋_GB2312" w:hAnsi="仿宋_GB2312" w:eastAsia="仿宋_GB2312" w:cs="仿宋_GB2312"/>
          <w:color w:val="auto"/>
          <w:kern w:val="0"/>
          <w:sz w:val="32"/>
          <w:szCs w:val="32"/>
          <w:highlight w:val="none"/>
          <w:u w:val="none"/>
        </w:rPr>
        <w:t>，达到了预期</w:t>
      </w:r>
      <w:r>
        <w:rPr>
          <w:rFonts w:hint="eastAsia" w:ascii="仿宋_GB2312" w:hAnsi="仿宋_GB2312" w:eastAsia="仿宋_GB2312" w:cs="仿宋_GB2312"/>
          <w:color w:val="auto"/>
          <w:sz w:val="32"/>
          <w:szCs w:val="32"/>
          <w:highlight w:val="none"/>
          <w:u w:val="none"/>
        </w:rPr>
        <w:t>目标</w:t>
      </w:r>
      <w:r>
        <w:rPr>
          <w:rFonts w:hint="eastAsia" w:ascii="仿宋_GB2312" w:hAnsi="仿宋_GB2312" w:eastAsia="仿宋_GB2312" w:cs="仿宋_GB2312"/>
          <w:color w:val="auto"/>
          <w:sz w:val="32"/>
          <w:szCs w:val="32"/>
          <w:highlight w:val="none"/>
          <w:u w:val="none"/>
          <w:lang w:eastAsia="zh-CN"/>
        </w:rPr>
        <w:t>。</w:t>
      </w:r>
      <w:r>
        <w:rPr>
          <w:rFonts w:hint="eastAsia" w:ascii="仿宋" w:hAnsi="仿宋" w:eastAsia="仿宋" w:cs="仿宋"/>
          <w:color w:val="auto"/>
          <w:sz w:val="32"/>
          <w:szCs w:val="32"/>
        </w:rPr>
        <w:t>校园基础设施、教学及办公设备、管理制度、安全卫生等方面存在的短板进</w:t>
      </w:r>
      <w:r>
        <w:rPr>
          <w:rFonts w:hint="eastAsia" w:ascii="仿宋" w:hAnsi="仿宋" w:eastAsia="仿宋" w:cs="仿宋"/>
          <w:color w:val="auto"/>
          <w:sz w:val="32"/>
          <w:szCs w:val="32"/>
          <w:lang w:eastAsia="zh-CN"/>
        </w:rPr>
        <w:t>得到</w:t>
      </w:r>
      <w:r>
        <w:rPr>
          <w:rFonts w:hint="eastAsia" w:ascii="仿宋" w:hAnsi="仿宋" w:eastAsia="仿宋" w:cs="仿宋"/>
          <w:color w:val="auto"/>
          <w:sz w:val="32"/>
          <w:szCs w:val="32"/>
        </w:rPr>
        <w:t>完善和建设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师资培训、科学研究、教学业务、教师进修调研、开展扶贫工作等业务顺利开展</w:t>
      </w:r>
      <w:r>
        <w:rPr>
          <w:rFonts w:hint="eastAsia" w:ascii="仿宋" w:hAnsi="仿宋" w:eastAsia="仿宋" w:cs="仿宋"/>
          <w:color w:val="auto"/>
          <w:sz w:val="32"/>
          <w:szCs w:val="32"/>
        </w:rPr>
        <w:t>。</w:t>
      </w:r>
    </w:p>
    <w:p>
      <w:pPr>
        <w:ind w:firstLine="640" w:firstLineChars="200"/>
        <w:jc w:val="left"/>
        <w:rPr>
          <w:rFonts w:hint="eastAsia" w:ascii="仿宋_GB2312" w:hAnsi="仿宋_GB2312" w:eastAsia="仿宋_GB2312" w:cs="仿宋_GB2312"/>
          <w:color w:val="000000"/>
          <w:sz w:val="32"/>
          <w:szCs w:val="32"/>
          <w:highlight w:val="none"/>
          <w:u w:val="none"/>
          <w:lang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242.95</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hAnsi="仿宋_GB2312" w:eastAsia="仿宋_GB2312" w:cs="仿宋_GB2312"/>
          <w:color w:val="000000"/>
          <w:sz w:val="32"/>
          <w:szCs w:val="32"/>
          <w:highlight w:val="none"/>
          <w:u w:val="none"/>
        </w:rPr>
        <w:t>本部门各单位能认真履行职责，做好统筹协调、各类重要工作文稿起草、重要会议服务、督查、机要、保密、信息、后勤服务、幼儿保育教育、自治区党委及各厅局领导机关文件资料的印刷等工作；工作经费及时落实到位，保证了各项工作的按时、有序开展；业务管理和财务管理制度比较健全，并能得到贯彻执行，</w:t>
      </w:r>
      <w:r>
        <w:rPr>
          <w:rFonts w:hint="eastAsia" w:ascii="仿宋_GB2312" w:hAnsi="仿宋_GB2312" w:eastAsia="仿宋_GB2312" w:cs="仿宋_GB2312"/>
          <w:color w:val="000000"/>
          <w:kern w:val="0"/>
          <w:sz w:val="32"/>
          <w:szCs w:val="32"/>
          <w:highlight w:val="none"/>
          <w:u w:val="none"/>
        </w:rPr>
        <w:t>整体支出绩效评价效果较好，达到了预期</w:t>
      </w:r>
      <w:r>
        <w:rPr>
          <w:rFonts w:hint="eastAsia" w:ascii="仿宋_GB2312" w:hAnsi="仿宋_GB2312" w:eastAsia="仿宋_GB2312" w:cs="仿宋_GB2312"/>
          <w:color w:val="000000"/>
          <w:sz w:val="32"/>
          <w:szCs w:val="32"/>
          <w:highlight w:val="none"/>
          <w:u w:val="none"/>
        </w:rPr>
        <w:t>目标</w:t>
      </w:r>
      <w:r>
        <w:rPr>
          <w:rFonts w:hint="eastAsia" w:ascii="仿宋_GB2312" w:hAnsi="仿宋_GB2312" w:eastAsia="仿宋_GB2312" w:cs="仿宋_GB2312"/>
          <w:color w:val="000000"/>
          <w:sz w:val="32"/>
          <w:szCs w:val="32"/>
          <w:highlight w:val="none"/>
          <w:u w:val="none"/>
          <w:lang w:eastAsia="zh-CN"/>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我部门根据年初设定的绩效目标，①干部培训水电费项目自评得分为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分。发现的主要问题及原因：干部培训水电费</w:t>
      </w:r>
      <w:r>
        <w:rPr>
          <w:rFonts w:hint="eastAsia" w:ascii="仿宋" w:hAnsi="仿宋" w:eastAsia="仿宋" w:cs="仿宋"/>
          <w:color w:val="000000" w:themeColor="text1"/>
          <w:sz w:val="32"/>
          <w:szCs w:val="32"/>
          <w:lang w:eastAsia="zh-CN"/>
          <w14:textFill>
            <w14:solidFill>
              <w14:schemeClr w14:val="tx1"/>
            </w14:solidFill>
          </w14:textFill>
        </w:rPr>
        <w:t>项目预算金额与实际水电费发生支出金额不相符，</w:t>
      </w:r>
      <w:r>
        <w:rPr>
          <w:rFonts w:hint="eastAsia" w:ascii="仿宋" w:hAnsi="仿宋" w:eastAsia="仿宋" w:cs="仿宋"/>
          <w:color w:val="000000" w:themeColor="text1"/>
          <w:sz w:val="32"/>
          <w:szCs w:val="32"/>
          <w14:textFill>
            <w14:solidFill>
              <w14:schemeClr w14:val="tx1"/>
            </w14:solidFill>
          </w14:textFill>
        </w:rPr>
        <w:t>干部培训水电费</w:t>
      </w:r>
      <w:r>
        <w:rPr>
          <w:rFonts w:hint="eastAsia" w:ascii="仿宋" w:hAnsi="仿宋" w:eastAsia="仿宋" w:cs="仿宋"/>
          <w:color w:val="000000" w:themeColor="text1"/>
          <w:sz w:val="32"/>
          <w:szCs w:val="32"/>
          <w:lang w:eastAsia="zh-CN"/>
          <w14:textFill>
            <w14:solidFill>
              <w14:schemeClr w14:val="tx1"/>
            </w14:solidFill>
          </w14:textFill>
        </w:rPr>
        <w:t>项目年初预算数制定不合理。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注重项目的科学合理安排，严格预算编制，提高资金使用效率。②党校常规管理业务经费项目自评得分为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。③党员组织经费项目自评得分为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。④奖励性补贴项目自评得分为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。⑤党校追加业务经费项目自评得分为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。⑥环江县委党校评估验收建设项目经费目自评得分为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p>
    <w:p>
      <w:pPr>
        <w:jc w:val="both"/>
        <w:rPr>
          <w:rFonts w:hint="eastAsia" w:ascii="黑体" w:hAnsi="黑体" w:eastAsia="黑体" w:cs="黑体"/>
          <w:sz w:val="32"/>
          <w:szCs w:val="32"/>
          <w:highlight w:val="none"/>
        </w:rPr>
      </w:pPr>
      <w:bookmarkStart w:id="6" w:name="_GoBack"/>
      <w:bookmarkEnd w:id="6"/>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97A1D"/>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D5FC6"/>
    <w:rsid w:val="01234E98"/>
    <w:rsid w:val="015F1951"/>
    <w:rsid w:val="01C43576"/>
    <w:rsid w:val="01F11ABC"/>
    <w:rsid w:val="020C171D"/>
    <w:rsid w:val="0216715F"/>
    <w:rsid w:val="02E0291A"/>
    <w:rsid w:val="02E226C9"/>
    <w:rsid w:val="036F7D2F"/>
    <w:rsid w:val="042D4C6A"/>
    <w:rsid w:val="045F50B9"/>
    <w:rsid w:val="04B019C0"/>
    <w:rsid w:val="04E54546"/>
    <w:rsid w:val="05992762"/>
    <w:rsid w:val="05E73C3B"/>
    <w:rsid w:val="06CC51B2"/>
    <w:rsid w:val="07067916"/>
    <w:rsid w:val="07534192"/>
    <w:rsid w:val="07B0770E"/>
    <w:rsid w:val="07FC3326"/>
    <w:rsid w:val="08182C56"/>
    <w:rsid w:val="092D4D1C"/>
    <w:rsid w:val="0942143F"/>
    <w:rsid w:val="09EE1557"/>
    <w:rsid w:val="0A611896"/>
    <w:rsid w:val="0AC15133"/>
    <w:rsid w:val="0B1B4548"/>
    <w:rsid w:val="0B2C27CD"/>
    <w:rsid w:val="0B8E5780"/>
    <w:rsid w:val="0C331791"/>
    <w:rsid w:val="0D100297"/>
    <w:rsid w:val="0D202B45"/>
    <w:rsid w:val="0E160A2D"/>
    <w:rsid w:val="0E7A2CD0"/>
    <w:rsid w:val="0F14764B"/>
    <w:rsid w:val="0F8D4C87"/>
    <w:rsid w:val="10505FAA"/>
    <w:rsid w:val="105F7E7E"/>
    <w:rsid w:val="11E56B5B"/>
    <w:rsid w:val="125C77AB"/>
    <w:rsid w:val="130C6ECC"/>
    <w:rsid w:val="135B5D51"/>
    <w:rsid w:val="14CB726E"/>
    <w:rsid w:val="151B24AF"/>
    <w:rsid w:val="1549557C"/>
    <w:rsid w:val="15C00A3E"/>
    <w:rsid w:val="1606592F"/>
    <w:rsid w:val="166978E3"/>
    <w:rsid w:val="16A61C36"/>
    <w:rsid w:val="17DA0D2E"/>
    <w:rsid w:val="17E92249"/>
    <w:rsid w:val="186C3B20"/>
    <w:rsid w:val="18D304F1"/>
    <w:rsid w:val="19181A3A"/>
    <w:rsid w:val="19F32577"/>
    <w:rsid w:val="19F45B80"/>
    <w:rsid w:val="1A1D50D7"/>
    <w:rsid w:val="1B0C078D"/>
    <w:rsid w:val="1B2B31E2"/>
    <w:rsid w:val="1B4C295A"/>
    <w:rsid w:val="1B973C63"/>
    <w:rsid w:val="1BA1001E"/>
    <w:rsid w:val="1BE10BC8"/>
    <w:rsid w:val="1C07688A"/>
    <w:rsid w:val="1C4A27F6"/>
    <w:rsid w:val="1C4F6C7E"/>
    <w:rsid w:val="1C702A36"/>
    <w:rsid w:val="1C723D3B"/>
    <w:rsid w:val="1C89778E"/>
    <w:rsid w:val="1C931CF1"/>
    <w:rsid w:val="1CEE3304"/>
    <w:rsid w:val="1D317259"/>
    <w:rsid w:val="1DDC550B"/>
    <w:rsid w:val="1E512F4B"/>
    <w:rsid w:val="1E664F5B"/>
    <w:rsid w:val="1E744A11"/>
    <w:rsid w:val="1EB34BE1"/>
    <w:rsid w:val="1EB64E6E"/>
    <w:rsid w:val="1F0A017C"/>
    <w:rsid w:val="1FF00B97"/>
    <w:rsid w:val="205A0DA2"/>
    <w:rsid w:val="205F6F32"/>
    <w:rsid w:val="215E639F"/>
    <w:rsid w:val="21EC3183"/>
    <w:rsid w:val="22214E8B"/>
    <w:rsid w:val="225E72CD"/>
    <w:rsid w:val="24032E22"/>
    <w:rsid w:val="2466767A"/>
    <w:rsid w:val="246E2F77"/>
    <w:rsid w:val="254B4E2B"/>
    <w:rsid w:val="25B33FF6"/>
    <w:rsid w:val="275F60A7"/>
    <w:rsid w:val="276A4438"/>
    <w:rsid w:val="279D1605"/>
    <w:rsid w:val="280F0449"/>
    <w:rsid w:val="283D7C94"/>
    <w:rsid w:val="29480E03"/>
    <w:rsid w:val="2983634D"/>
    <w:rsid w:val="29CD16A4"/>
    <w:rsid w:val="2A3E73D9"/>
    <w:rsid w:val="2A9113E2"/>
    <w:rsid w:val="2AA50082"/>
    <w:rsid w:val="2AED757D"/>
    <w:rsid w:val="2B863EAA"/>
    <w:rsid w:val="2BB02055"/>
    <w:rsid w:val="2BC32A58"/>
    <w:rsid w:val="2BE30D8F"/>
    <w:rsid w:val="2C2220D9"/>
    <w:rsid w:val="2C252AFD"/>
    <w:rsid w:val="2C575A56"/>
    <w:rsid w:val="2D914B0D"/>
    <w:rsid w:val="2E3F536B"/>
    <w:rsid w:val="2EED7A8D"/>
    <w:rsid w:val="2EF31996"/>
    <w:rsid w:val="2F257714"/>
    <w:rsid w:val="2F3275E5"/>
    <w:rsid w:val="2FAF42C8"/>
    <w:rsid w:val="2FC20D6A"/>
    <w:rsid w:val="3012656A"/>
    <w:rsid w:val="305E0BE8"/>
    <w:rsid w:val="306B247C"/>
    <w:rsid w:val="30AA08EF"/>
    <w:rsid w:val="30D23D1C"/>
    <w:rsid w:val="31221CF5"/>
    <w:rsid w:val="31400178"/>
    <w:rsid w:val="31A237FE"/>
    <w:rsid w:val="31CD6840"/>
    <w:rsid w:val="321E3342"/>
    <w:rsid w:val="325A7729"/>
    <w:rsid w:val="327759C8"/>
    <w:rsid w:val="32A77828"/>
    <w:rsid w:val="32D1646E"/>
    <w:rsid w:val="32FB14B1"/>
    <w:rsid w:val="33185FE3"/>
    <w:rsid w:val="34792FA7"/>
    <w:rsid w:val="34CA1AAC"/>
    <w:rsid w:val="34EE2E36"/>
    <w:rsid w:val="360062A6"/>
    <w:rsid w:val="36777241"/>
    <w:rsid w:val="36F75539"/>
    <w:rsid w:val="371E78D5"/>
    <w:rsid w:val="38774730"/>
    <w:rsid w:val="38A951DB"/>
    <w:rsid w:val="38B31605"/>
    <w:rsid w:val="38F1355F"/>
    <w:rsid w:val="39003F4F"/>
    <w:rsid w:val="390B4FA4"/>
    <w:rsid w:val="39F32D23"/>
    <w:rsid w:val="3A1C60E6"/>
    <w:rsid w:val="3A6D4BEB"/>
    <w:rsid w:val="3B1C5C89"/>
    <w:rsid w:val="3BB37481"/>
    <w:rsid w:val="3BFB30F8"/>
    <w:rsid w:val="3C07002B"/>
    <w:rsid w:val="3C204232"/>
    <w:rsid w:val="3CBF08B8"/>
    <w:rsid w:val="3D0D152A"/>
    <w:rsid w:val="3D880301"/>
    <w:rsid w:val="3DD2747B"/>
    <w:rsid w:val="3DF62756"/>
    <w:rsid w:val="3E9F334C"/>
    <w:rsid w:val="3F1B7587"/>
    <w:rsid w:val="3F8A45CE"/>
    <w:rsid w:val="412368EE"/>
    <w:rsid w:val="41D50910"/>
    <w:rsid w:val="41E57B4F"/>
    <w:rsid w:val="432F26F6"/>
    <w:rsid w:val="433517D1"/>
    <w:rsid w:val="43592C8A"/>
    <w:rsid w:val="43880F63"/>
    <w:rsid w:val="441C5A6F"/>
    <w:rsid w:val="44241459"/>
    <w:rsid w:val="44516AA5"/>
    <w:rsid w:val="449E3321"/>
    <w:rsid w:val="44C44FCC"/>
    <w:rsid w:val="44CC7369"/>
    <w:rsid w:val="44D82202"/>
    <w:rsid w:val="457F5108"/>
    <w:rsid w:val="45FE41E2"/>
    <w:rsid w:val="46947F59"/>
    <w:rsid w:val="46951B6B"/>
    <w:rsid w:val="46C07B24"/>
    <w:rsid w:val="472055BF"/>
    <w:rsid w:val="47342061"/>
    <w:rsid w:val="474422FB"/>
    <w:rsid w:val="47B303B1"/>
    <w:rsid w:val="48154BD2"/>
    <w:rsid w:val="48C536F1"/>
    <w:rsid w:val="49A068D7"/>
    <w:rsid w:val="49A34401"/>
    <w:rsid w:val="49AE366E"/>
    <w:rsid w:val="4A144698"/>
    <w:rsid w:val="4A3E30AB"/>
    <w:rsid w:val="4A562B83"/>
    <w:rsid w:val="4AC14DAC"/>
    <w:rsid w:val="4BAD3134"/>
    <w:rsid w:val="4BF957B2"/>
    <w:rsid w:val="4C2B7286"/>
    <w:rsid w:val="4C4039A8"/>
    <w:rsid w:val="4C5216C4"/>
    <w:rsid w:val="4D154C85"/>
    <w:rsid w:val="4E79234E"/>
    <w:rsid w:val="4E8B5AEB"/>
    <w:rsid w:val="4EB35ECE"/>
    <w:rsid w:val="500F7E65"/>
    <w:rsid w:val="50280D8F"/>
    <w:rsid w:val="505450D7"/>
    <w:rsid w:val="508F4E24"/>
    <w:rsid w:val="50D90BB3"/>
    <w:rsid w:val="51461E90"/>
    <w:rsid w:val="51463753"/>
    <w:rsid w:val="52553A93"/>
    <w:rsid w:val="525C0D2F"/>
    <w:rsid w:val="52925986"/>
    <w:rsid w:val="53521F8B"/>
    <w:rsid w:val="53E22F47"/>
    <w:rsid w:val="54040192"/>
    <w:rsid w:val="54522FF8"/>
    <w:rsid w:val="545455E7"/>
    <w:rsid w:val="549902D9"/>
    <w:rsid w:val="54FF3501"/>
    <w:rsid w:val="55450629"/>
    <w:rsid w:val="559B1181"/>
    <w:rsid w:val="559C6C03"/>
    <w:rsid w:val="563325F9"/>
    <w:rsid w:val="56692963"/>
    <w:rsid w:val="568B0F48"/>
    <w:rsid w:val="56B20949"/>
    <w:rsid w:val="56C675EA"/>
    <w:rsid w:val="5750174C"/>
    <w:rsid w:val="5786217B"/>
    <w:rsid w:val="578B3EAF"/>
    <w:rsid w:val="57923D07"/>
    <w:rsid w:val="57AA6963"/>
    <w:rsid w:val="59337A15"/>
    <w:rsid w:val="59810274"/>
    <w:rsid w:val="5A20736C"/>
    <w:rsid w:val="5A4B01B0"/>
    <w:rsid w:val="5B705D94"/>
    <w:rsid w:val="5B7D1826"/>
    <w:rsid w:val="5BB2427F"/>
    <w:rsid w:val="5C4B3179"/>
    <w:rsid w:val="5CA96A00"/>
    <w:rsid w:val="5CB06720"/>
    <w:rsid w:val="5CF730BC"/>
    <w:rsid w:val="5E1D3074"/>
    <w:rsid w:val="5E5F0DCE"/>
    <w:rsid w:val="5E9268B6"/>
    <w:rsid w:val="5FA40A7B"/>
    <w:rsid w:val="5FA91901"/>
    <w:rsid w:val="5FD56D29"/>
    <w:rsid w:val="5FEC7F3F"/>
    <w:rsid w:val="6013352F"/>
    <w:rsid w:val="60F74BC3"/>
    <w:rsid w:val="616F7F68"/>
    <w:rsid w:val="61724770"/>
    <w:rsid w:val="617D3BF8"/>
    <w:rsid w:val="61841F6A"/>
    <w:rsid w:val="623007A9"/>
    <w:rsid w:val="62470050"/>
    <w:rsid w:val="62C04412"/>
    <w:rsid w:val="62DD39C2"/>
    <w:rsid w:val="637D7558"/>
    <w:rsid w:val="643F18F7"/>
    <w:rsid w:val="644F19AC"/>
    <w:rsid w:val="65AA4920"/>
    <w:rsid w:val="65E31D0B"/>
    <w:rsid w:val="65F8295A"/>
    <w:rsid w:val="65FC5ADD"/>
    <w:rsid w:val="663C4348"/>
    <w:rsid w:val="67694F1E"/>
    <w:rsid w:val="676C5123"/>
    <w:rsid w:val="67AD54A4"/>
    <w:rsid w:val="680B10C1"/>
    <w:rsid w:val="68407AB5"/>
    <w:rsid w:val="69475245"/>
    <w:rsid w:val="69597934"/>
    <w:rsid w:val="6B433D86"/>
    <w:rsid w:val="6B437609"/>
    <w:rsid w:val="6B964DDC"/>
    <w:rsid w:val="6BFB265E"/>
    <w:rsid w:val="6C0B5D4D"/>
    <w:rsid w:val="6C783074"/>
    <w:rsid w:val="6D9E65C6"/>
    <w:rsid w:val="6DA81947"/>
    <w:rsid w:val="6E596897"/>
    <w:rsid w:val="6E690201"/>
    <w:rsid w:val="6E827A5B"/>
    <w:rsid w:val="6EB66DE2"/>
    <w:rsid w:val="6ED3075F"/>
    <w:rsid w:val="6F0F0944"/>
    <w:rsid w:val="6F2A2D4B"/>
    <w:rsid w:val="6F33787F"/>
    <w:rsid w:val="6F8A0C1E"/>
    <w:rsid w:val="6FA220B1"/>
    <w:rsid w:val="6FF7503E"/>
    <w:rsid w:val="703F45D4"/>
    <w:rsid w:val="71236D2A"/>
    <w:rsid w:val="715D6546"/>
    <w:rsid w:val="717C2C3C"/>
    <w:rsid w:val="71BE069E"/>
    <w:rsid w:val="71E103E2"/>
    <w:rsid w:val="722F5F63"/>
    <w:rsid w:val="72587127"/>
    <w:rsid w:val="72C20D55"/>
    <w:rsid w:val="733A771A"/>
    <w:rsid w:val="73953409"/>
    <w:rsid w:val="73E069A3"/>
    <w:rsid w:val="74CB0B2C"/>
    <w:rsid w:val="750E2B18"/>
    <w:rsid w:val="758A32AE"/>
    <w:rsid w:val="767C6572"/>
    <w:rsid w:val="76FB0145"/>
    <w:rsid w:val="77086156"/>
    <w:rsid w:val="771741F2"/>
    <w:rsid w:val="77910638"/>
    <w:rsid w:val="77B030EB"/>
    <w:rsid w:val="77D323A7"/>
    <w:rsid w:val="78104AA8"/>
    <w:rsid w:val="78E257C5"/>
    <w:rsid w:val="791B013F"/>
    <w:rsid w:val="794B35BE"/>
    <w:rsid w:val="797D4961"/>
    <w:rsid w:val="7A9863B2"/>
    <w:rsid w:val="7B0A3A31"/>
    <w:rsid w:val="7B3360ED"/>
    <w:rsid w:val="7BDF037E"/>
    <w:rsid w:val="7BE414E6"/>
    <w:rsid w:val="7BF50948"/>
    <w:rsid w:val="7CE66A78"/>
    <w:rsid w:val="7D23564C"/>
    <w:rsid w:val="7D5E062D"/>
    <w:rsid w:val="7DF612B7"/>
    <w:rsid w:val="7DF76CD8"/>
    <w:rsid w:val="7E9868C2"/>
    <w:rsid w:val="7F695C26"/>
    <w:rsid w:val="7FCF62D3"/>
    <w:rsid w:val="7FE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242.95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2.21</c:v>
                </c:pt>
                <c:pt idx="5">
                  <c:v>0</c:v>
                </c:pt>
                <c:pt idx="6">
                  <c:v>0</c:v>
                </c:pt>
                <c:pt idx="7">
                  <c:v>0</c:v>
                </c:pt>
                <c:pt idx="8">
                  <c:v>0.01</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144.42</c:v>
                </c:pt>
                <c:pt idx="2">
                  <c:v>18.71</c:v>
                </c:pt>
                <c:pt idx="3">
                  <c:v>14.03</c:v>
                </c:pt>
                <c:pt idx="4">
                  <c:v>37.48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2.74</c:v>
                </c:pt>
                <c:pt idx="1">
                  <c:v>169.07</c:v>
                </c:pt>
                <c:pt idx="2">
                  <c:v>21.42</c:v>
                </c:pt>
                <c:pt idx="3">
                  <c:v>16.06</c:v>
                </c:pt>
                <c:pt idx="4">
                  <c:v>33.66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2.74</c:v>
                </c:pt>
                <c:pt idx="1">
                  <c:v>2.74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2050802</c:v>
                </c:pt>
                <c:pt idx="1">
                  <c:v>205x</c:v>
                </c:pt>
              </c:strCache>
            </c:strRef>
          </c:cat>
          <c:val>
            <c:numRef>
              <c:f>Sheet1!$B$2:$B$3</c:f>
              <c:numCache>
                <c:formatCode>General</c:formatCode>
                <c:ptCount val="2"/>
                <c:pt idx="0">
                  <c:v>169.07</c:v>
                </c:pt>
                <c:pt idx="1">
                  <c:v>169.07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21.42</c:v>
                </c:pt>
                <c:pt idx="1">
                  <c:v>21.42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16.06</c:v>
                </c:pt>
                <c:pt idx="1">
                  <c:v>16.06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33.66</c:v>
                </c:pt>
                <c:pt idx="1">
                  <c:v>33.66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67.29</c:v>
                </c:pt>
                <c:pt idx="1">
                  <c:v>29.64</c:v>
                </c:pt>
                <c:pt idx="2">
                  <c:v>46.56</c:v>
                </c:pt>
                <c:pt idx="3">
                  <c:v>2.37</c:v>
                </c:pt>
                <c:pt idx="4">
                  <c:v>14.73</c:v>
                </c:pt>
                <c:pt idx="5">
                  <c:v>21.42</c:v>
                </c:pt>
                <c:pt idx="6">
                  <c:v>0</c:v>
                </c:pt>
                <c:pt idx="7">
                  <c:v>8.8</c:v>
                </c:pt>
                <c:pt idx="8">
                  <c:v>0</c:v>
                </c:pt>
                <c:pt idx="9">
                  <c:v>0.63</c:v>
                </c:pt>
                <c:pt idx="10">
                  <c:v>16.06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1.19</c:v>
                </c:pt>
                <c:pt idx="1">
                  <c:v>0</c:v>
                </c:pt>
                <c:pt idx="2">
                  <c:v>0</c:v>
                </c:pt>
                <c:pt idx="3">
                  <c:v>0</c:v>
                </c:pt>
                <c:pt idx="4">
                  <c:v>0.52</c:v>
                </c:pt>
                <c:pt idx="5">
                  <c:v>0.04</c:v>
                </c:pt>
                <c:pt idx="6">
                  <c:v>1.13</c:v>
                </c:pt>
                <c:pt idx="7">
                  <c:v>0</c:v>
                </c:pt>
                <c:pt idx="8">
                  <c:v>0</c:v>
                </c:pt>
                <c:pt idx="9">
                  <c:v>0</c:v>
                </c:pt>
                <c:pt idx="10">
                  <c:v>0</c:v>
                </c:pt>
                <c:pt idx="11">
                  <c:v>0.22</c:v>
                </c:pt>
                <c:pt idx="12">
                  <c:v>0.09</c:v>
                </c:pt>
                <c:pt idx="13">
                  <c:v>0</c:v>
                </c:pt>
                <c:pt idx="14">
                  <c:v>0</c:v>
                </c:pt>
                <c:pt idx="15">
                  <c:v>0</c:v>
                </c:pt>
                <c:pt idx="16">
                  <c:v>0</c:v>
                </c:pt>
                <c:pt idx="17">
                  <c:v>0</c:v>
                </c:pt>
                <c:pt idx="18">
                  <c:v>0</c:v>
                </c:pt>
                <c:pt idx="19">
                  <c:v>0</c:v>
                </c:pt>
                <c:pt idx="20">
                  <c:v>0</c:v>
                </c:pt>
                <c:pt idx="21">
                  <c:v>2.74</c:v>
                </c:pt>
                <c:pt idx="22">
                  <c:v>0</c:v>
                </c:pt>
                <c:pt idx="23">
                  <c:v>0</c:v>
                </c:pt>
                <c:pt idx="24">
                  <c:v>0</c:v>
                </c:pt>
                <c:pt idx="25">
                  <c:v>0</c:v>
                </c:pt>
                <c:pt idx="26">
                  <c:v>0.59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413</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2023-11-21T06:35:00Z</cp:lastPrinted>
  <dcterms:modified xsi:type="dcterms:W3CDTF">2023-11-28T00:46:44Z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BAC96A45213A427F973364F29D2FB93D</vt:lpwstr>
  </property>
</Properties>
</file>