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lang w:val="en-US" w:eastAsia="zh-CN"/>
        </w:rPr>
        <w:t>中共环江毛南族自治县委员会宣传部</w:t>
      </w:r>
      <w:r>
        <w:rPr>
          <w:rFonts w:hint="eastAsia" w:ascii="方正小标宋简体" w:hAnsi="方正小标宋简体" w:eastAsia="方正小标宋简体" w:cs="方正小标宋简体"/>
          <w:b w:val="0"/>
          <w:bCs w:val="0"/>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
          <w:bCs/>
          <w:sz w:val="36"/>
          <w:szCs w:val="36"/>
          <w:highlight w:val="none"/>
        </w:rPr>
        <w:t>第一部分：</w:t>
      </w:r>
      <w:r>
        <w:rPr>
          <w:rFonts w:hint="eastAsia" w:ascii="方正小标宋简体" w:hAnsi="方正小标宋简体" w:eastAsia="方正小标宋简体" w:cs="方正小标宋简体"/>
          <w:b/>
          <w:sz w:val="36"/>
          <w:szCs w:val="36"/>
          <w:u w:color="auto"/>
          <w:lang w:eastAsia="zh-CN"/>
        </w:rPr>
        <w:t>单位</w:t>
      </w:r>
      <w:r>
        <w:rPr>
          <w:rFonts w:hint="eastAsia" w:ascii="方正小标宋简体" w:hAnsi="方正小标宋简体" w:eastAsia="方正小标宋简体" w:cs="方正小标宋简体"/>
          <w:b/>
          <w:bCs/>
          <w:sz w:val="36"/>
          <w:szCs w:val="36"/>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（一）负责指导全县理论学习、理论研究、理论宣传和哲学社会科学规划工作，并在理论研究、理论宣传政策等方面实施指导。联系县社科联，并在工作上实施指导。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（二）负责对党的路线、方针、政策和上级党委重大决策的宣传及社会宣传工作。引导社会舆论，协调新闻、出版等部门的工作。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（三）负责从宏观上指导文化艺术和精神产品生产的管理工作，并在政治方向和方针、政策方面实施指导。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负责规划、部署全县的宣传思想工作、国防教育以及社会主义精神文明建设工作；督促检查各乡（镇）、各部门贯彻落实中央、自治区党委、市委和自治县党委关于加强和改进未成年人思想道德建设工作情况；组织协调全县各有关部门做好未成年人思想道德建设工作；推荐、宣传先进典型，会同有关部门研究和改进思想政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（五）制订培训规划，并组织对乡镇宣传干部和有关宣传文化系统干部的培训；联系宣传文化系统的知识分子，配合有关部门做好人才培养工作。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（六）负责管理、组织、协调、指导全县对外宣传、互联网络新闻宣传和新闻发布工作，负责制订全县对外宣传工作以及互联网络新闻宣传工作政策和工作部署。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（七）贯彻宣传文化事业发展的指导方针；指导、协调全县新闻出版广播影视业和宣传文化事业改革和发展工作；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（八）负责指导、审查宣传口各专业技术职务的评定工作，负责全县政工专业技术职务的评定。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（九）负责组织全县重点党报党刊的征订发行工作。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0" w:firstLineChars="200"/>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color="auto" w:fill="FFFFFF"/>
        </w:rPr>
        <w:t>（十）承办自治县党委和市委宣传部交办的其他任务</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本单位下设8个股室，</w:t>
      </w:r>
      <w:r>
        <w:rPr>
          <w:rFonts w:hint="eastAsia" w:ascii="仿宋_GB2312" w:hAnsi="仿宋_GB2312" w:eastAsia="仿宋_GB2312" w:cs="仿宋_GB2312"/>
          <w:sz w:val="32"/>
          <w:szCs w:val="32"/>
        </w:rPr>
        <w:t>实有财政供养人数</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其中在职在编人员</w:t>
      </w:r>
      <w:r>
        <w:rPr>
          <w:rFonts w:hint="eastAsia" w:ascii="仿宋_GB2312" w:hAnsi="仿宋_GB2312" w:eastAsia="仿宋_GB2312" w:cs="仿宋_GB2312"/>
          <w:sz w:val="32"/>
          <w:szCs w:val="32"/>
        </w:rPr>
        <w:t>总数为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人，离退休人员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人（其中离休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另有</w:t>
      </w:r>
      <w:r>
        <w:rPr>
          <w:rFonts w:hint="eastAsia" w:ascii="仿宋_GB2312" w:hAnsi="仿宋_GB2312" w:eastAsia="仿宋_GB2312" w:cs="仿宋_GB2312"/>
          <w:sz w:val="32"/>
          <w:szCs w:val="32"/>
        </w:rPr>
        <w:t>编外</w:t>
      </w:r>
      <w:r>
        <w:rPr>
          <w:rFonts w:hint="eastAsia" w:ascii="仿宋_GB2312" w:hAnsi="仿宋_GB2312" w:eastAsia="仿宋_GB2312" w:cs="仿宋_GB2312"/>
          <w:sz w:val="32"/>
          <w:szCs w:val="32"/>
          <w:lang w:val="en-US" w:eastAsia="zh-CN"/>
        </w:rPr>
        <w:t>在岗6</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按照部门决算编报要求，单独编制本部门决算。</w:t>
      </w:r>
    </w:p>
    <w:p>
      <w:pPr>
        <w:jc w:val="center"/>
        <w:rPr>
          <w:rFonts w:hint="eastAsia" w:ascii="仿宋_GB2312" w:hAnsi="仿宋_GB2312" w:eastAsia="仿宋_GB2312" w:cs="仿宋_GB2312"/>
          <w:sz w:val="32"/>
          <w:szCs w:val="32"/>
          <w:highlight w:val="none"/>
          <w:lang w:val="en-US" w:eastAsia="zh-CN"/>
        </w:rPr>
      </w:pPr>
    </w:p>
    <w:p>
      <w:pPr>
        <w:jc w:val="center"/>
        <w:rPr>
          <w:rFonts w:hint="eastAsia" w:ascii="仿宋_GB2312" w:hAnsi="仿宋_GB2312" w:eastAsia="仿宋_GB2312" w:cs="仿宋_GB2312"/>
          <w:sz w:val="32"/>
          <w:szCs w:val="32"/>
          <w:highlight w:val="none"/>
          <w:lang w:val="en-US" w:eastAsia="zh-CN"/>
        </w:rPr>
      </w:pPr>
    </w:p>
    <w:p>
      <w:pPr>
        <w:jc w:val="center"/>
        <w:rPr>
          <w:rFonts w:hint="eastAsia" w:ascii="仿宋_GB2312" w:hAnsi="仿宋_GB2312" w:eastAsia="仿宋_GB2312" w:cs="仿宋_GB2312"/>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984" w:right="1531" w:bottom="1417" w:left="1531" w:header="851" w:footer="992" w:gutter="0"/>
          <w:pgNumType w:fmt="decimal"/>
          <w:cols w:space="425" w:num="1"/>
          <w:docGrid w:type="lines" w:linePitch="312" w:charSpace="0"/>
        </w:sectPr>
      </w:pPr>
    </w:p>
    <w:p>
      <w:pPr>
        <w:ind w:firstLine="1080" w:firstLineChars="300"/>
        <w:jc w:val="both"/>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第二部分：</w:t>
      </w:r>
      <w:r>
        <w:rPr>
          <w:rFonts w:hint="eastAsia" w:ascii="方正小标宋简体" w:hAnsi="方正小标宋简体" w:eastAsia="方正小标宋简体" w:cs="方正小标宋简体"/>
          <w:sz w:val="36"/>
          <w:szCs w:val="36"/>
          <w:highlight w:val="none"/>
          <w:lang w:val="en-US" w:eastAsia="zh-CN"/>
        </w:rPr>
        <w:t>中共环江毛南族自治县委员会宣传部</w:t>
      </w:r>
      <w:r>
        <w:rPr>
          <w:rFonts w:hint="eastAsia" w:ascii="方正小标宋简体" w:hAnsi="方正小标宋简体" w:eastAsia="方正小标宋简体" w:cs="方正小标宋简体"/>
          <w:sz w:val="36"/>
          <w:szCs w:val="36"/>
          <w:highlight w:val="none"/>
        </w:rPr>
        <w:t>2022年度部门决算报表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0"/>
        <w:gridCol w:w="799"/>
        <w:gridCol w:w="1334"/>
        <w:gridCol w:w="4281"/>
        <w:gridCol w:w="799"/>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表一：收支决算总表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2"/>
        <w:gridCol w:w="222"/>
        <w:gridCol w:w="222"/>
        <w:gridCol w:w="3745"/>
        <w:gridCol w:w="1053"/>
        <w:gridCol w:w="1053"/>
        <w:gridCol w:w="635"/>
        <w:gridCol w:w="635"/>
        <w:gridCol w:w="635"/>
        <w:gridCol w:w="635"/>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表二：收入决算表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2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1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37"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2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1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15"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4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9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9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9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9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1"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15"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15"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1,124.60</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1,124.60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875.83</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875.83</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510.12</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510.12</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国家电影事业发展专项资金安排的支出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其他国家电影事业发展专项资金支出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仿宋" w:hAnsi="仿宋" w:eastAsia="仿宋" w:cs="仿宋"/>
          <w:sz w:val="24"/>
          <w:highlight w:val="none"/>
        </w:rPr>
      </w:pPr>
      <w:r>
        <w:rPr>
          <w:rFonts w:ascii="仿宋" w:hAnsi="仿宋" w:eastAsia="仿宋" w:cs="仿宋"/>
          <w:sz w:val="24"/>
          <w:highlight w:val="none"/>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01"/>
        <w:gridCol w:w="222"/>
        <w:gridCol w:w="222"/>
        <w:gridCol w:w="3942"/>
        <w:gridCol w:w="1100"/>
        <w:gridCol w:w="880"/>
        <w:gridCol w:w="880"/>
        <w:gridCol w:w="658"/>
        <w:gridCol w:w="658"/>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表三：支出决算表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7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8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6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8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8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4"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82"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82"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1,124.60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344.14</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780.46</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231.87</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648.14</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875.83</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227.69</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648.14</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510.12</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218.14</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291.97</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356.17</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国家电影事业发展专项资金安排的支出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其他国家电影事业发展专项资金支出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9"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2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3"/>
        <w:gridCol w:w="482"/>
        <w:gridCol w:w="1379"/>
        <w:gridCol w:w="3149"/>
        <w:gridCol w:w="482"/>
        <w:gridCol w:w="998"/>
        <w:gridCol w:w="1379"/>
        <w:gridCol w:w="1252"/>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表四：财政拨款收入支出决算总表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1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1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7"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12"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210"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0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0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30"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5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4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10"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2"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1,121.60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129.32</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1,121.60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11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1,124.60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1,121.60</w:t>
            </w:r>
          </w:p>
        </w:tc>
        <w:tc>
          <w:tcPr>
            <w:tcW w:w="45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55"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hint="eastAsia" w:ascii="仿宋" w:hAnsi="仿宋" w:eastAsia="仿宋" w:cs="仿宋"/>
          <w:sz w:val="24"/>
          <w:highlight w:val="none"/>
        </w:rPr>
      </w:pPr>
      <w:r>
        <w:rPr>
          <w:rFonts w:ascii="仿宋" w:hAnsi="仿宋" w:eastAsia="仿宋" w:cs="仿宋"/>
          <w:sz w:val="24"/>
          <w:highlight w:val="none"/>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4"/>
        <w:gridCol w:w="261"/>
        <w:gridCol w:w="261"/>
        <w:gridCol w:w="4666"/>
        <w:gridCol w:w="1298"/>
        <w:gridCol w:w="1038"/>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30"/>
                <w:szCs w:val="30"/>
                <w:u w:val="none"/>
                <w:lang w:val="en-US" w:eastAsia="zh-CN" w:bidi="ar"/>
              </w:rPr>
            </w:pPr>
            <w:r>
              <w:rPr>
                <w:rFonts w:hint="eastAsia" w:ascii="仿宋" w:hAnsi="仿宋" w:eastAsia="仿宋" w:cs="仿宋"/>
                <w:sz w:val="24"/>
                <w:highlight w:val="none"/>
              </w:rPr>
              <w:t>表五：一般公共预算财政拨款支出决算表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9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4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00"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99"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45"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7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85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00"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00"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1,121.60</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344.14</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231.87</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875.83</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227.69</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510.12</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218.14</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129.32</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4"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3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59.21</w:t>
            </w:r>
          </w:p>
        </w:tc>
        <w:tc>
          <w:tcPr>
            <w:tcW w:w="6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 w:hAnsi="仿宋" w:eastAsia="仿宋" w:cs="仿宋"/>
          <w:sz w:val="24"/>
          <w:highlight w:val="none"/>
        </w:rPr>
      </w:pPr>
      <w:r>
        <w:rPr>
          <w:rFonts w:ascii="仿宋" w:hAnsi="仿宋" w:eastAsia="仿宋" w:cs="仿宋"/>
          <w:sz w:val="24"/>
          <w:highlight w:val="none"/>
        </w:rPr>
        <w:br w:type="page"/>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3"/>
        <w:gridCol w:w="2540"/>
        <w:gridCol w:w="681"/>
        <w:gridCol w:w="603"/>
        <w:gridCol w:w="1766"/>
        <w:gridCol w:w="603"/>
        <w:gridCol w:w="603"/>
        <w:gridCol w:w="3160"/>
        <w:gridCol w:w="1104"/>
        <w:gridCol w:w="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4744" w:type="pct"/>
            <w:gridSpan w:val="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表六：一般公共预算财政拨款基本支出决算</w:t>
            </w:r>
            <w:r>
              <w:rPr>
                <w:rFonts w:hint="eastAsia" w:ascii="仿宋" w:hAnsi="仿宋" w:eastAsia="仿宋" w:cs="仿宋"/>
                <w:sz w:val="24"/>
                <w:highlight w:val="none"/>
                <w:lang w:val="en-US" w:eastAsia="zh-CN"/>
              </w:rPr>
              <w:t>明细</w:t>
            </w:r>
            <w:r>
              <w:rPr>
                <w:rFonts w:hint="eastAsia" w:ascii="仿宋" w:hAnsi="仿宋" w:eastAsia="仿宋" w:cs="仿宋"/>
                <w:sz w:val="24"/>
                <w:highlight w:val="none"/>
              </w:rPr>
              <w:t>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0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8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99"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2644"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7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0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3"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306.66</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83.71</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31.92</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81.59</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33.59</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78"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0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1"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pct"/>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1"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312.19</w:t>
            </w:r>
          </w:p>
        </w:tc>
        <w:tc>
          <w:tcPr>
            <w:tcW w:w="2274"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44"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c>
          <w:tcPr>
            <w:tcW w:w="2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222"/>
        <w:gridCol w:w="223"/>
        <w:gridCol w:w="3956"/>
        <w:gridCol w:w="762"/>
        <w:gridCol w:w="841"/>
        <w:gridCol w:w="841"/>
        <w:gridCol w:w="844"/>
        <w:gridCol w:w="847"/>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1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68"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894"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7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7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95"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7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7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7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9"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6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6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7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7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w:t>
            </w:r>
          </w:p>
        </w:tc>
        <w:tc>
          <w:tcPr>
            <w:tcW w:w="1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国家电影事业发展专项资金安排的支出</w:t>
            </w:r>
          </w:p>
        </w:tc>
        <w:tc>
          <w:tcPr>
            <w:tcW w:w="2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1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其他国家电影事业发展专项资金支出</w:t>
            </w:r>
          </w:p>
        </w:tc>
        <w:tc>
          <w:tcPr>
            <w:tcW w:w="2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某某单位</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本部门2022年度没有国有资本经营预算财政拨款收入，也没有国有资本经营预算财政拨款安排的支出，故本表无数据。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876"/>
        <w:gridCol w:w="656"/>
        <w:gridCol w:w="656"/>
        <w:gridCol w:w="656"/>
        <w:gridCol w:w="656"/>
        <w:gridCol w:w="656"/>
        <w:gridCol w:w="876"/>
        <w:gridCol w:w="656"/>
        <w:gridCol w:w="656"/>
        <w:gridCol w:w="656"/>
        <w:gridCol w:w="3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44"/>
                <w:szCs w:val="44"/>
                <w:u w:val="none"/>
                <w:lang w:val="en-US" w:eastAsia="zh-CN"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3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16"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部门：广西河池市环江毛南族自治县宣传部</w:t>
            </w:r>
          </w:p>
        </w:tc>
        <w:tc>
          <w:tcPr>
            <w:tcW w:w="3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51"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48"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94"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23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3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94"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6"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3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8"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4" w:type="pct"/>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6"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1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ind w:left="1600" w:hanging="1800" w:hangingChars="500"/>
        <w:jc w:val="left"/>
        <w:rPr>
          <w:rFonts w:hint="eastAsia" w:ascii="方正小标宋简体" w:hAnsi="方正小标宋简体" w:eastAsia="方正小标宋简体" w:cs="方正小标宋简体"/>
          <w:sz w:val="36"/>
          <w:szCs w:val="36"/>
          <w:u w:color="auto"/>
          <w:lang w:val="en-US" w:eastAsia="zh-CN"/>
        </w:rPr>
      </w:pPr>
      <w:r>
        <w:rPr>
          <w:rFonts w:hint="eastAsia" w:ascii="方正小标宋简体" w:hAnsi="方正小标宋简体" w:eastAsia="方正小标宋简体" w:cs="方正小标宋简体"/>
          <w:sz w:val="36"/>
          <w:szCs w:val="36"/>
          <w:highlight w:val="none"/>
        </w:rPr>
        <w:t>第三部分：</w:t>
      </w:r>
      <w:r>
        <w:rPr>
          <w:rFonts w:hint="eastAsia" w:ascii="方正小标宋简体" w:hAnsi="方正小标宋简体" w:eastAsia="方正小标宋简体" w:cs="方正小标宋简体"/>
          <w:sz w:val="36"/>
          <w:szCs w:val="36"/>
          <w:u w:color="auto"/>
          <w:lang w:val="en-US" w:eastAsia="zh-CN"/>
        </w:rPr>
        <w:t>中共环江毛南族自治县委员会宣传部</w:t>
      </w:r>
    </w:p>
    <w:p>
      <w:pPr>
        <w:ind w:left="1795" w:leftChars="855" w:firstLine="0" w:firstLineChars="0"/>
        <w:jc w:val="left"/>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2022年度部门决算情况说明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1124.6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增加96.09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1124.6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1121.6</w:t>
      </w:r>
      <w:r>
        <w:rPr>
          <w:rFonts w:hint="eastAsia" w:ascii="仿宋" w:hAnsi="仿宋" w:eastAsia="仿宋" w:cs="仿宋"/>
          <w:kern w:val="2"/>
          <w:sz w:val="32"/>
          <w:szCs w:val="32"/>
          <w:highlight w:val="none"/>
          <w:lang w:val="en-US" w:eastAsia="zh-CN" w:bidi="ar"/>
        </w:rPr>
        <w:t>万元，为自治县本级财政当年拨付的资金。较2021年度决算数</w:t>
      </w:r>
      <w:r>
        <w:rPr>
          <w:rFonts w:hint="eastAsia" w:ascii="仿宋" w:hAnsi="仿宋" w:eastAsia="仿宋" w:cs="仿宋"/>
          <w:sz w:val="32"/>
          <w:u w:color="auto"/>
          <w:lang w:val="en-US" w:eastAsia="zh-CN"/>
        </w:rPr>
        <w:t>增加93.09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主要原因：农家书屋图书更新补充经费从自治区党委宣传部下放至县级支出，完成村级文化服务中心覆盖工程建设并行成资金支出。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国家电影事业发展专项资金</w:t>
      </w:r>
      <w:r>
        <w:rPr>
          <w:rFonts w:hint="eastAsia" w:ascii="仿宋" w:hAnsi="仿宋" w:eastAsia="仿宋" w:cs="仿宋"/>
          <w:kern w:val="2"/>
          <w:sz w:val="32"/>
          <w:szCs w:val="32"/>
          <w:highlight w:val="none"/>
          <w:lang w:val="en-US" w:eastAsia="zh-CN" w:bidi="ar"/>
        </w:rPr>
        <w:t>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10</w:t>
      </w:r>
      <w:r>
        <w:rPr>
          <w:rFonts w:ascii="仿宋" w:hAnsi="仿宋" w:eastAsia="仿宋" w:cs="仿宋"/>
          <w:sz w:val="32"/>
          <w:u w:color="auto"/>
        </w:rPr>
        <w:t>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主要原因：国家电影事业发展专项资金增加对地方影院在疫情期间放映公益宣传片以及影院运营方面的补贴。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万元，此项为上级部门当年拨付的资金。较2021年度决算数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6.经营收入0.00万,此项为事业单位在业务活动之外开展非独立核算经营活动取得的收入。较2021年度决算数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万元,此项为预算单位在“财政拨款收入”“事业收入”“经营收入”之外取得的收入。较2021年度决算数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30.2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主要原因：按照财政部门要求，未使用完的指标在年底全部进行回收，不再进行年底结转。</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75225" cy="2810510"/>
            <wp:effectExtent l="4445" t="4445" r="1143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1124.6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1124.6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增加96.09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880.01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单位履行职责所需人员经费、办公经费，以及开展宣传业务工作项目经费支出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增加61.33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增长7.49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主要原因是：村级文化服务中心建设资金支出增加，宣传业务经费增加以及人员经费支出增加。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136.61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电影公司安置补偿款，以及农家书屋补充更新经费等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增长39.1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增加40.1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主要原因是：原先由自治区统一采购的农家书屋图书更新经费转交给地方自行采购并支付相关资金。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u w:color="auto"/>
          <w:lang w:val="en-US" w:eastAsia="zh-CN"/>
        </w:rPr>
        <w:t>社会保障和就业</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30.26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单位职工社保缴费支出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增加5.15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增加20.51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主要原因是：社保缴费基数调整，缴费人数相较上年增加了两人。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在职在编干部职工住房公积金缴费支出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增加1.24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增加5.75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主要原因是：缴费人数相较上年增加了两人。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59.21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单位干部职工奖励性补贴发放以及餐补发放</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6.43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9.79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主要原因是：奖励性补贴发放金额较上一年度有所降低。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eastAsia" w:ascii="仿宋_GB2312" w:hAnsi="微软雅黑" w:eastAsia="仿宋_GB2312" w:cs="仿宋_GB2312"/>
          <w:i w:val="0"/>
          <w:iCs w:val="0"/>
          <w:caps w:val="0"/>
          <w:color w:val="000000"/>
          <w:spacing w:val="0"/>
          <w:sz w:val="32"/>
          <w:szCs w:val="32"/>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：本单位无相关方面资金。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val="en-US" w:eastAsia="zh-CN"/>
        </w:rPr>
        <w:t>减少0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主要原因是：按照财政部门要求，未使用完的指标在年底全部进行回收，不再进行年底结转。</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1121.6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增加93.09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增长9.34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334.14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777.46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u w:color="auto"/>
          <w:lang w:val="en-US" w:eastAsia="zh-CN"/>
        </w:rPr>
        <w:t>854.99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1121.6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131.18</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796.35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880.01</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10.5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原因是：年内完成的村文化服务中心覆盖项目为年中追加预算资金，不在年初预算之列</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272.12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510.12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187.46%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单位行政运行以及全县党报党刊征订</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全县党报党刊</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由宣传部统一征地并支付相关经费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其他宣传事务支出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365.71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开展宣传业务工作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部分项目已实施，未达到支付条件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财政补助干部职工工会缴费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此项经费支出与年初预算相符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880.01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单位开展宣传业务人员经费以及项目经费支出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年底决算数与调整预算数相符，未出现无预算开支现象</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33.45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30.26</w:t>
      </w:r>
      <w:r>
        <w:rPr>
          <w:rFonts w:hint="eastAsia" w:ascii="仿宋" w:hAnsi="仿宋" w:eastAsia="仿宋"/>
          <w:sz w:val="32"/>
          <w:szCs w:val="32"/>
          <w:highlight w:val="none"/>
        </w:rPr>
        <w:t>万元，完成年初预算的</w:t>
      </w:r>
      <w:r>
        <w:rPr>
          <w:rFonts w:ascii="仿宋" w:hAnsi="仿宋" w:eastAsia="仿宋"/>
          <w:sz w:val="32"/>
          <w:szCs w:val="32"/>
          <w:highlight w:val="none"/>
        </w:rPr>
        <w:t>97.03%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有人员退休，相关支出减少</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000000"/>
                <w:kern w:val="0"/>
                <w:sz w:val="20"/>
                <w:szCs w:val="20"/>
                <w:lang w:bidi="ar"/>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90.46%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单位干部职基本养老保险支出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有人员退休，相关支出减少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单位干部职基本养老保险支出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有人员退休，相关支出减少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住房公积金</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25.18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22.81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90.59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有人员退休，相关支出减少。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90.59%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单位在职在编干部住房公积金缴费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有人员退休，相关支出减少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单位在职在编干部住房公积金缴费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有人员退休，相关支出减少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文化旅游体育与传媒支出</w:t>
      </w:r>
      <w:r>
        <w:rPr>
          <w:rFonts w:ascii="仿宋" w:hAnsi="仿宋" w:eastAsia="仿宋"/>
          <w:sz w:val="32"/>
          <w:u w:color="auto"/>
        </w:rPr>
        <w:t>（2</w:t>
      </w:r>
      <w:r>
        <w:rPr>
          <w:rFonts w:hint="eastAsia" w:ascii="仿宋" w:hAnsi="仿宋" w:eastAsia="仿宋"/>
          <w:sz w:val="32"/>
          <w:u w:color="auto"/>
          <w:lang w:val="en-US" w:eastAsia="zh-CN"/>
        </w:rPr>
        <w:t>07</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132.32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电影公司补助项目、农家书屋图书更新项目为年中追加，未列入年初预算当中，已按年中追加项目完成相关手续办理。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农家书屋图书更新经费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电影公司安置补偿款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电影公司安置补偿款、农家书屋图书更新经费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59.21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此项目为年中追加项目，未纳入年初预算。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干部职工奖励性补贴发放、餐补发放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干部职工奖励性补贴发放、餐补发放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344.14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312.18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31.96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306.66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13.89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比年初预算金额增加。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主要原因是：年中聘用人员增加，以及追加了奖励性补贴发放以及餐补发放资金。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83.71万元，30102津贴补贴31.92万元，30103奖金81.59万元，30106伙食补助费3.93万元，30107绩效工资14.58万元，30108机关事业单位基本养老保险缴费33.59万元，30110职工基本医疗保险缴费13.81万元，30111公务员医疗补助缴费0万元，30112其他社会保障缴费4.2万元，30113住房公积金22.81万元，30199其他工资福利支出16.53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31.96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131.9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比年初预算金额增加。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主要原因是：年中增加临时活动等工作任务，导致相关业务经费增加。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2.19万元，，30206电费0.83万元，30205水费0.07万元30207邮电费2.93万元，30211差旅费8.3万元，30213维修（护）费0.17万元，30215会议费1.46万元，30216培训费0.22万元，30217公务接待费0.75万元，30228工会经费4.18万元，30239其他交通费用10.85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支出</w:t>
      </w:r>
      <w:r>
        <w:rPr>
          <w:rFonts w:hint="eastAsia" w:ascii="仿宋" w:hAnsi="仿宋" w:eastAsia="仿宋" w:cs="仿宋"/>
          <w:sz w:val="32"/>
          <w:u w:color="auto"/>
          <w:lang w:val="en-US" w:eastAsia="zh-CN"/>
        </w:rPr>
        <w:t>5.53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122.89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比年初预算增加。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主要原因是：有两位同志到龄退休，退休人员经费增加。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30301离休费0万元，30302退休费4.78万元，30305生活补助0.7万元。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主要原因是：本单位无债务利息及费用支出。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393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此项支出为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国家电影事业发展专项资金对地方影院在疫情期间放映公益宣传片以及影院运营方面的补贴。</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_GB2312" w:hAnsi="Times New Roman" w:eastAsia="仿宋_GB2312" w:cs="Times New Roman"/>
          <w:color w:val="000000" w:themeColor="text1"/>
          <w:sz w:val="32"/>
          <w:szCs w:val="32"/>
          <w14:textFill>
            <w14:solidFill>
              <w14:schemeClr w14:val="tx1"/>
            </w14:solidFill>
          </w14:textFill>
        </w:rPr>
      </w:pPr>
      <w:bookmarkStart w:id="2" w:name="PO_part3A5B1C1DiffReason1"/>
      <w:r>
        <w:rPr>
          <w:rFonts w:hint="eastAsia" w:ascii="仿宋" w:hAnsi="仿宋" w:eastAsia="仿宋" w:cs="仿宋"/>
          <w:sz w:val="32"/>
          <w:szCs w:val="32"/>
          <w:highlight w:val="none"/>
          <w:lang w:val="en-US" w:eastAsia="zh-CN"/>
        </w:rPr>
        <w:t>中共环江毛南族自治县委员会宣传部</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2"/>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_GB2312" w:hAnsi="仿宋_GB2312" w:eastAsia="仿宋_GB2312" w:cs="仿宋_GB2312"/>
          <w:sz w:val="32"/>
          <w:szCs w:val="32"/>
          <w:highlight w:val="none"/>
        </w:rPr>
        <w:t>2022年度一般公共预算财政拨款安排的“三公”经费支出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83.33</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szCs w:val="32"/>
          <w:highlight w:val="none"/>
          <w:lang w:val="en-US" w:eastAsia="zh-CN"/>
        </w:rPr>
        <w:t>减少0.15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rPr>
        <w:t>认真贯彻落实中央“八项规定”精神和厉行节约要求，严控和压缩“三公”经费相关支</w:t>
      </w:r>
      <w:r>
        <w:rPr>
          <w:rFonts w:hint="eastAsia" w:ascii="仿宋_GB2312" w:hAnsi="仿宋_GB2312" w:eastAsia="仿宋_GB2312" w:cs="仿宋_GB2312"/>
          <w:bCs/>
          <w:kern w:val="0"/>
          <w:sz w:val="32"/>
          <w:szCs w:val="32"/>
        </w:rPr>
        <w:t>出。</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其中：因公出国（境）费支出决算0.00</w:t>
      </w:r>
      <w:r>
        <w:rPr>
          <w:rFonts w:hint="eastAsia" w:ascii="仿宋_GB2312" w:hAnsi="仿宋_GB2312" w:eastAsia="仿宋_GB2312" w:cs="仿宋_GB2312"/>
          <w:sz w:val="32"/>
          <w:szCs w:val="32"/>
          <w:highlight w:val="none"/>
        </w:rPr>
        <w:t>万元，公务用车购置及运行费支出决算0.00万元，公务接待费支出决算</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无。</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本部门无公务用车购置。</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及所属单位开支财政拨款的公务用车保有量为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0.75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83.33</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减少0.15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rPr>
        <w:t>认真贯彻落实中央“八项规定”精神和厉行节约要求，严控和压缩“三公”经费相关支</w:t>
      </w:r>
      <w:r>
        <w:rPr>
          <w:rFonts w:hint="eastAsia" w:ascii="仿宋_GB2312" w:hAnsi="仿宋_GB2312" w:eastAsia="仿宋_GB2312" w:cs="仿宋_GB2312"/>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96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31.96</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13.53</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减少26.65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下降45.47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党学办撤销，相关办公经费下降</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其余股室认真贯彻</w:t>
      </w:r>
      <w:r>
        <w:rPr>
          <w:rFonts w:hint="eastAsia" w:ascii="仿宋" w:hAnsi="仿宋" w:eastAsia="仿宋" w:cs="仿宋"/>
          <w:color w:val="000000" w:themeColor="text1"/>
          <w:sz w:val="32"/>
          <w:szCs w:val="32"/>
          <w:highlight w:val="none"/>
          <w14:textFill>
            <w14:solidFill>
              <w14:schemeClr w14:val="tx1"/>
            </w14:solidFill>
          </w14:textFill>
        </w:rPr>
        <w:t>落实过紧日子要求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压减</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基本办公经费</w:t>
      </w:r>
      <w:r>
        <w:rPr>
          <w:rFonts w:hint="eastAsia" w:ascii="仿宋" w:hAnsi="仿宋" w:eastAsia="仿宋" w:cs="仿宋"/>
          <w:color w:val="000000" w:themeColor="text1"/>
          <w:sz w:val="32"/>
          <w:szCs w:val="32"/>
          <w:highlight w:val="none"/>
          <w14:textFill>
            <w14:solidFill>
              <w14:schemeClr w14:val="tx1"/>
            </w14:solidFill>
          </w14:textFill>
        </w:rPr>
        <w:t>支出。</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23.48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23.48</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23.48</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23.48</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533.8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68.4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国家电影事业发展专项资金项目等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经</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媒体合作经费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533.8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所实施的项目支出金额大，涉及面广，重点保障民生资金落实等情况。其中仅媒体合作费项目因客观原因，预算执行率为82.53%，其余两个项目在实施过程中，资金均能按时拨付，对全年的工作起到很好的促进作用，推动各项任务目标在年内能够圆满完成</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经</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1121.6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本年各项工作经费都在年初实现了经费预算保障，支出金额已达到年初预算要求，年中临时增加的工作任务，均能够按照财政部门要求进行预算调整以及年中项目预算绩效追加，通过实施单位整体支出绩效评价，对单位履职尽责以及相关项目资金的使用，起到很好的监督和保障作用</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党报党刊征订经费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项目实施过程中未出现目标任务偏离或经费无保障等问题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电影公司安置补偿款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项目实施过程中未出现目标任务偏离或经费无保障等问题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媒体合作经费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96.25</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项目安排预算之后，前期准备工作不足，影响合同签订和履约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项目验收条件较多，进度缓慢，影响资金拨付进度</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做好年初规划和前期筹备工作，在年初即启动合作计划并确定合作内容，完成签约，实施合作加快项目实施推进</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加强业务人员培训，做好材料验收与检查工作，提高验收效率，加强资金管理，尽快完成资金拨付，达到年初既定目标</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4" w:name="_GoBack"/>
      <w:bookmarkEnd w:id="4"/>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984" w:right="1531" w:bottom="1417" w:left="1531"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34C1F93"/>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7FA2D39"/>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C8553A"/>
    <w:rsid w:val="4F8F33AA"/>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D3A301F"/>
    <w:rsid w:val="5E5F0DCE"/>
    <w:rsid w:val="5E6B5871"/>
    <w:rsid w:val="5FA40A7B"/>
    <w:rsid w:val="5FD56D29"/>
    <w:rsid w:val="5FEC7F3F"/>
    <w:rsid w:val="60F74BC3"/>
    <w:rsid w:val="617D3BF8"/>
    <w:rsid w:val="61841F6A"/>
    <w:rsid w:val="623007A9"/>
    <w:rsid w:val="637D7558"/>
    <w:rsid w:val="644F19AC"/>
    <w:rsid w:val="65AA4920"/>
    <w:rsid w:val="67694F1E"/>
    <w:rsid w:val="69597934"/>
    <w:rsid w:val="6B964DDC"/>
    <w:rsid w:val="6C783074"/>
    <w:rsid w:val="6D9E65C6"/>
    <w:rsid w:val="6DA81947"/>
    <w:rsid w:val="6EB66DE2"/>
    <w:rsid w:val="6ED3075F"/>
    <w:rsid w:val="6F2A2D4B"/>
    <w:rsid w:val="6F2F4D08"/>
    <w:rsid w:val="6F8A0C1E"/>
    <w:rsid w:val="703F45D4"/>
    <w:rsid w:val="715D6546"/>
    <w:rsid w:val="71BE069E"/>
    <w:rsid w:val="73953409"/>
    <w:rsid w:val="73E069A3"/>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4.78</c:v>
                </c:pt>
                <c:pt idx="2">
                  <c:v>0</c:v>
                </c:pt>
                <c:pt idx="3">
                  <c:v>0</c:v>
                </c:pt>
                <c:pt idx="4">
                  <c:v>0.7</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818.68</c:v>
                </c:pt>
                <c:pt idx="1">
                  <c:v>97.51</c:v>
                </c:pt>
                <c:pt idx="2">
                  <c:v>25.11</c:v>
                </c:pt>
                <c:pt idx="3">
                  <c:v>21.57</c:v>
                </c:pt>
                <c:pt idx="4">
                  <c:v>65.64</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880.01</c:v>
                </c:pt>
                <c:pt idx="1">
                  <c:v>136.61</c:v>
                </c:pt>
                <c:pt idx="2">
                  <c:v>30.26</c:v>
                </c:pt>
                <c:pt idx="3">
                  <c:v>22.81</c:v>
                </c:pt>
                <c:pt idx="4">
                  <c:v>59.21</c:v>
                </c:pt>
              </c:numCache>
            </c:numRef>
          </c:val>
        </c:ser>
        <c:dLbls>
          <c:showLegendKey val="0"/>
          <c:showVal val="1"/>
          <c:showCatName val="0"/>
          <c:showSerName val="0"/>
          <c:showPercent val="0"/>
          <c:showBubbleSize val="0"/>
        </c:dLbls>
        <c:gapWidth val="444"/>
        <c:overlap val="-90"/>
        <c:axId val="-172443552"/>
        <c:axId val="-172442464"/>
      </c:barChart>
      <c:catAx>
        <c:axId val="-17244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2013301</c:v>
                </c:pt>
                <c:pt idx="1">
                  <c:v>2013399</c:v>
                </c:pt>
                <c:pt idx="2">
                  <c:v>2012999</c:v>
                </c:pt>
              </c:numCache>
            </c:numRef>
          </c:cat>
          <c:val>
            <c:numRef>
              <c:f>Sheet1!$B$2:$B$4</c:f>
              <c:numCache>
                <c:formatCode>General</c:formatCode>
                <c:ptCount val="3"/>
                <c:pt idx="0">
                  <c:v>510.12</c:v>
                </c:pt>
                <c:pt idx="1">
                  <c:v>365.71</c:v>
                </c:pt>
                <c:pt idx="2">
                  <c:v>4.18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743011210444161"/>
          <c:y val="0.169431279620853"/>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30.26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住房公积金</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22.81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文化旅游体育与传媒</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2070199</c:v>
                </c:pt>
                <c:pt idx="1">
                  <c:v>2079999</c:v>
                </c:pt>
              </c:numCache>
            </c:numRef>
          </c:cat>
          <c:val>
            <c:numRef>
              <c:f>Sheet1!$B$2:$B$3</c:f>
              <c:numCache>
                <c:formatCode>General</c:formatCode>
                <c:ptCount val="2"/>
                <c:pt idx="0">
                  <c:v>39.32</c:v>
                </c:pt>
                <c:pt idx="1">
                  <c:v>90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numCache>
            </c:numRef>
          </c:cat>
          <c:val>
            <c:numRef>
              <c:f>Sheet1!$B$2:$B$3</c:f>
              <c:numCache>
                <c:formatCode>General</c:formatCode>
                <c:ptCount val="2"/>
                <c:pt idx="0">
                  <c:v>59.21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83.71</c:v>
                </c:pt>
                <c:pt idx="1">
                  <c:v>31.92</c:v>
                </c:pt>
                <c:pt idx="2">
                  <c:v>81.59</c:v>
                </c:pt>
                <c:pt idx="3">
                  <c:v>3.93</c:v>
                </c:pt>
                <c:pt idx="4">
                  <c:v>14.58</c:v>
                </c:pt>
                <c:pt idx="5">
                  <c:v>33.59</c:v>
                </c:pt>
                <c:pt idx="6">
                  <c:v>0</c:v>
                </c:pt>
                <c:pt idx="7">
                  <c:v>13.81</c:v>
                </c:pt>
                <c:pt idx="8">
                  <c:v>0</c:v>
                </c:pt>
                <c:pt idx="9">
                  <c:v>4.2</c:v>
                </c:pt>
                <c:pt idx="10">
                  <c:v>22.81</c:v>
                </c:pt>
                <c:pt idx="11">
                  <c:v>0</c:v>
                </c:pt>
                <c:pt idx="12">
                  <c:v>16.53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2.19</c:v>
                </c:pt>
                <c:pt idx="1">
                  <c:v>0</c:v>
                </c:pt>
                <c:pt idx="2">
                  <c:v>0</c:v>
                </c:pt>
                <c:pt idx="3">
                  <c:v>0</c:v>
                </c:pt>
                <c:pt idx="4">
                  <c:v>0.07</c:v>
                </c:pt>
                <c:pt idx="5">
                  <c:v>0.83</c:v>
                </c:pt>
                <c:pt idx="6">
                  <c:v>2.93</c:v>
                </c:pt>
                <c:pt idx="7">
                  <c:v>0</c:v>
                </c:pt>
                <c:pt idx="8">
                  <c:v>0</c:v>
                </c:pt>
                <c:pt idx="9">
                  <c:v>8.3</c:v>
                </c:pt>
                <c:pt idx="10">
                  <c:v>0</c:v>
                </c:pt>
                <c:pt idx="11">
                  <c:v>0.17</c:v>
                </c:pt>
                <c:pt idx="12">
                  <c:v>0</c:v>
                </c:pt>
                <c:pt idx="13">
                  <c:v>1.46</c:v>
                </c:pt>
                <c:pt idx="14">
                  <c:v>0.22</c:v>
                </c:pt>
                <c:pt idx="15">
                  <c:v>0.75</c:v>
                </c:pt>
                <c:pt idx="16">
                  <c:v>0</c:v>
                </c:pt>
                <c:pt idx="17">
                  <c:v>0</c:v>
                </c:pt>
                <c:pt idx="18">
                  <c:v>0</c:v>
                </c:pt>
                <c:pt idx="20">
                  <c:v>0</c:v>
                </c:pt>
                <c:pt idx="21">
                  <c:v>14.18</c:v>
                </c:pt>
                <c:pt idx="22">
                  <c:v>0</c:v>
                </c:pt>
                <c:pt idx="23">
                  <c:v>0</c:v>
                </c:pt>
                <c:pt idx="24">
                  <c:v>10.85</c:v>
                </c:pt>
                <c:pt idx="2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2023-11-15T10:21:00Z</cp:lastPrinted>
  <dcterms:modified xsi:type="dcterms:W3CDTF">2023-11-28T01:00:06Z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