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lang w:eastAsia="zh-CN"/>
        </w:rPr>
      </w:pPr>
      <w:r>
        <w:rPr>
          <w:rFonts w:hint="eastAsia" w:ascii="黑体" w:hAnsi="黑体" w:eastAsia="黑体" w:cs="黑体"/>
          <w:b/>
          <w:bCs/>
          <w:sz w:val="52"/>
          <w:szCs w:val="52"/>
          <w:highlight w:val="none"/>
          <w:lang w:eastAsia="zh-CN"/>
        </w:rPr>
        <w:t>环江毛南族自治县高级中学</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2022年度部门决算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ind w:firstLine="1807" w:firstLineChars="500"/>
        <w:jc w:val="both"/>
        <w:rPr>
          <w:rFonts w:hint="eastAsia" w:ascii="黑体" w:hAnsi="黑体" w:eastAsia="黑体" w:cs="黑体"/>
          <w:b/>
          <w:bCs/>
          <w:sz w:val="36"/>
          <w:szCs w:val="36"/>
          <w:highlight w:val="none"/>
          <w:lang w:eastAsia="zh-CN"/>
        </w:rPr>
      </w:pPr>
      <w:r>
        <w:rPr>
          <w:rFonts w:hint="eastAsia" w:ascii="黑体" w:hAnsi="黑体" w:eastAsia="黑体" w:cs="黑体"/>
          <w:b/>
          <w:bCs/>
          <w:sz w:val="36"/>
          <w:szCs w:val="36"/>
          <w:highlight w:val="none"/>
          <w:lang w:eastAsia="zh-CN"/>
        </w:rPr>
        <w:t>单位负责人：覃</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lang w:eastAsia="zh-CN"/>
        </w:rPr>
        <w:t>治</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lang w:eastAsia="zh-CN"/>
        </w:rPr>
        <w:t>鄢</w:t>
      </w:r>
    </w:p>
    <w:p>
      <w:pPr>
        <w:ind w:firstLine="2530" w:firstLineChars="700"/>
        <w:jc w:val="both"/>
        <w:rPr>
          <w:rFonts w:hint="eastAsia" w:ascii="黑体" w:hAnsi="黑体" w:eastAsia="黑体" w:cs="黑体"/>
          <w:b/>
          <w:bCs/>
          <w:sz w:val="36"/>
          <w:szCs w:val="36"/>
          <w:highlight w:val="none"/>
          <w:lang w:val="en-US" w:eastAsia="zh-CN"/>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r>
        <w:rPr>
          <w:rFonts w:hint="eastAsia" w:ascii="黑体" w:hAnsi="黑体" w:eastAsia="黑体" w:cs="黑体"/>
          <w:b/>
          <w:bCs/>
          <w:sz w:val="36"/>
          <w:szCs w:val="36"/>
          <w:highlight w:val="none"/>
          <w:lang w:val="en-US" w:eastAsia="zh-CN"/>
        </w:rPr>
        <w:t>8日</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hint="eastAsia" w:ascii="黑体" w:hAnsi="黑体" w:eastAsia="黑体" w:cs="黑体"/>
          <w:sz w:val="32"/>
          <w:u w:color="auto"/>
          <w:lang w:eastAsia="zh-CN"/>
        </w:rPr>
        <w:t>环江毛南族自治县高级中学</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环江毛南族自治县高级中学</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表九：一般公共预算财政拨款安排的“三公”经费支出决算表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环江毛南族自治县高级中学</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公共预算财政拨款安排的“三公”经费支出决算情况说明。</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第一部分：环江毛南族自治县高级中学概况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firstLineChars="200"/>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环江毛南族自治县高级中学的主要职能是：</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贯彻执行党和国家的教育方针政策，根据教育法规，依法治校，努力按教育规律办事，全面完成高中教育任务。</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编制本校教育发展规划并检查实施情况，向自治县教育局和上级有关教育部门作出报告。</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坚持以教学为中心，制定《校历》、《周历》，保证教学计划和教学大纲的实施，有目的、有计划的了解教师教学和学生学习情况，引导教师改进教学方法，组织学生开展课外文体、科技活动，发展学生特长。</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在政府和上级教育主管部门的领导下，争取资金改善办学条件，为师生的学习和工作提供优美和谐的环境。</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组织教师学历教育、继续教育以及专业技术人员岗位培训，鼓舞教师积极参加教学研究、提高教学技术，增加学校校际教育教学活动，促进文化交流。</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做好本校毕业会考、高考的考务工作、招生录取工作等。</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学校采用教官驻校协同管理的新模式，教官参与学生成长训练、宿舍整顿、班级团建等活动。</w:t>
      </w:r>
    </w:p>
    <w:p>
      <w:pPr>
        <w:numPr>
          <w:ilvl w:val="0"/>
          <w:numId w:val="1"/>
        </w:numPr>
        <w:jc w:val="left"/>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做好每学期学校资助工作计划，对每一份资助申请进行严格把关，不漏掉任何一位符合资助条件的学生。</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完成自治县教育局和上级有关部门交办的其他工作。</w:t>
      </w:r>
    </w:p>
    <w:p>
      <w:pPr>
        <w:numPr>
          <w:ilvl w:val="0"/>
          <w:numId w:val="0"/>
        </w:numPr>
        <w:jc w:val="left"/>
        <w:rPr>
          <w:rFonts w:hint="eastAsia" w:ascii="仿宋" w:hAnsi="仿宋" w:eastAsia="仿宋" w:cs="仿宋"/>
          <w:sz w:val="32"/>
          <w:szCs w:val="32"/>
        </w:rPr>
      </w:pPr>
      <w:r>
        <w:rPr>
          <w:rFonts w:hint="eastAsia" w:ascii="黑体" w:hAnsi="黑体" w:eastAsia="黑体" w:cs="黑体"/>
          <w:sz w:val="32"/>
          <w:szCs w:val="32"/>
          <w:highlight w:val="none"/>
        </w:rPr>
        <w:t>二、部门决算单位构成</w:t>
      </w:r>
    </w:p>
    <w:p>
      <w:pPr>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我部门没有下属单位，按照部门决算编报要求，单独编制本部门决算。</w:t>
      </w:r>
      <w:r>
        <w:rPr>
          <w:rFonts w:hint="eastAsia" w:ascii="仿宋" w:hAnsi="仿宋" w:eastAsia="仿宋" w:cs="仿宋"/>
          <w:color w:val="auto"/>
          <w:sz w:val="32"/>
          <w:szCs w:val="32"/>
          <w:lang w:eastAsia="zh-CN"/>
        </w:rPr>
        <w:t>部门内设有</w:t>
      </w:r>
      <w:r>
        <w:rPr>
          <w:rFonts w:hint="eastAsia" w:ascii="仿宋" w:hAnsi="仿宋" w:eastAsia="仿宋" w:cs="仿宋"/>
          <w:color w:val="auto"/>
          <w:sz w:val="32"/>
          <w:szCs w:val="32"/>
        </w:rPr>
        <w:t>七个机构，分别为：学校行政办公室、教务处、教研处、总务处、德育处、安全办、资助办。</w:t>
      </w: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hint="eastAsia" w:ascii="黑体" w:hAnsi="黑体" w:eastAsia="黑体" w:cs="黑体"/>
          <w:sz w:val="32"/>
          <w:u w:color="auto"/>
          <w:lang w:eastAsia="zh-CN"/>
        </w:rPr>
        <w:t>环江毛南族自治县高级中学</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blPrEx>
          <w:tblCellMar>
            <w:top w:w="0" w:type="dxa"/>
            <w:left w:w="108" w:type="dxa"/>
            <w:bottom w:w="0" w:type="dxa"/>
            <w:right w:w="108" w:type="dxa"/>
          </w:tblCellMar>
        </w:tblPrEx>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部门：环江毛南族自治县高级中学</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5,687.56</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51.31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199.72</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4,576.60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379.32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leftChars="0" w:right="0" w:rightChars="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282.06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597.99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5,887.27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5,887.27</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5,887.27</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5,887.27</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820"/>
        <w:gridCol w:w="1620"/>
        <w:gridCol w:w="1320"/>
        <w:gridCol w:w="1290"/>
        <w:gridCol w:w="128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blPrEx>
          <w:tblCellMar>
            <w:top w:w="0" w:type="dxa"/>
            <w:left w:w="108" w:type="dxa"/>
            <w:bottom w:w="0" w:type="dxa"/>
            <w:right w:w="108" w:type="dxa"/>
          </w:tblCellMar>
        </w:tblPrEx>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9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719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部门：环江毛南族自治县高级中学</w:t>
            </w:r>
          </w:p>
        </w:tc>
        <w:tc>
          <w:tcPr>
            <w:tcW w:w="129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425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3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29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28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blPrEx>
          <w:tblCellMar>
            <w:top w:w="0" w:type="dxa"/>
            <w:left w:w="108" w:type="dxa"/>
            <w:bottom w:w="0" w:type="dxa"/>
            <w:right w:w="108" w:type="dxa"/>
          </w:tblCellMar>
        </w:tblPrEx>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67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7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67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9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425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3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2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28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425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5,887.27</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5,687.56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199.72</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51.31</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51.31</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51.31</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51.31</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51.31</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51.31</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w:t>
            </w:r>
          </w:p>
        </w:tc>
        <w:tc>
          <w:tcPr>
            <w:tcW w:w="2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教育支出</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4,576.60</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4,376.88</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199.72</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w:t>
            </w:r>
          </w:p>
        </w:tc>
        <w:tc>
          <w:tcPr>
            <w:tcW w:w="2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普通教育</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4,562.56</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4,362.84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199.72</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2050204</w:t>
            </w:r>
          </w:p>
        </w:tc>
        <w:tc>
          <w:tcPr>
            <w:tcW w:w="2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4,313.13</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4,113.41</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199.72</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2050299</w:t>
            </w:r>
          </w:p>
        </w:tc>
        <w:tc>
          <w:tcPr>
            <w:tcW w:w="2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249.43</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249.43</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20509</w:t>
            </w:r>
          </w:p>
        </w:tc>
        <w:tc>
          <w:tcPr>
            <w:tcW w:w="2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14.04</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14.04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2050999</w:t>
            </w:r>
          </w:p>
        </w:tc>
        <w:tc>
          <w:tcPr>
            <w:tcW w:w="2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14.04</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14.04</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379.32</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379.32</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379.32</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379.32</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379.32</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379.32</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282.06</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282.06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282.06</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282.06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282.06</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282.06</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w:t>
            </w:r>
          </w:p>
        </w:tc>
        <w:tc>
          <w:tcPr>
            <w:tcW w:w="2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597.99</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597.99</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22999</w:t>
            </w:r>
          </w:p>
        </w:tc>
        <w:tc>
          <w:tcPr>
            <w:tcW w:w="2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其他支出</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597.99</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597.99</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67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597.99</w:t>
            </w:r>
          </w:p>
        </w:tc>
        <w:tc>
          <w:tcPr>
            <w:tcW w:w="13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597.99</w:t>
            </w:r>
          </w:p>
        </w:tc>
        <w:tc>
          <w:tcPr>
            <w:tcW w:w="129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8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部门：环江毛南族自治县高级中学</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5,887.27</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3,989.65</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1,897.63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51.31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51.31</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4,576.60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2,862.98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1,713.62</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普通教育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4,562.56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2,862.98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1,699.58</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2050204</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4,313.13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2,841.08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1,472.04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2050299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249.43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21.90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227.53</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14.04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2050999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14.04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14.04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379.32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379.32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379.32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379.32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379.32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379.32</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282.06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282.06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282.06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282.06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282.06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282.06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597.99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413.97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184.01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597.99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413.97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184.01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597.99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413.97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184.01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部门：环江毛南族自治县高级中学</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一、一般公共预算财政拨款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5,687.56</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一、一般公共服务支出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51.31</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51.31</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二、政府性基金预算财政拨款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二、外交支出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三、国有资本经营预算财政拨款</w:t>
            </w: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三、国防支出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四、公共安全支出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五、教育支出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4,376.88</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4,376.88</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六、科学技术支出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七、文化旅游体育与传媒支出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八、社会保障和就业支出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379.32</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379.32</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九、卫生健康支出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十、节能环保支出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十一、城乡社区支出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十二、农林水支出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十三、交通运输支出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十四、资源勘探工业信息等支出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十五、商业服务业等支出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十六、金融支出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十七、援助其他地区支出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十八、自然资源海洋气象等支出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50</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19</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十九、住房保障支出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282.06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282.06</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二十、粮油物资储备支出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52</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二十一、国有资本经营预算支出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二十二、灾害防治及应急管理支出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二十三、其他支出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55</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597.99</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597.99</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二十四、债务还本支出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56</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25</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二十五、债务付息支出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57</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221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kern w:val="0"/>
                <w:sz w:val="22"/>
                <w:szCs w:val="22"/>
                <w:highlight w:val="none"/>
                <w:lang w:bidi="ar"/>
              </w:rPr>
            </w:pPr>
          </w:p>
        </w:tc>
        <w:tc>
          <w:tcPr>
            <w:tcW w:w="785"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w:t>
            </w:r>
          </w:p>
        </w:tc>
        <w:tc>
          <w:tcPr>
            <w:tcW w:w="13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kern w:val="0"/>
                <w:sz w:val="22"/>
                <w:szCs w:val="22"/>
                <w:highlight w:val="none"/>
                <w:lang w:bidi="ar"/>
              </w:rPr>
            </w:pPr>
          </w:p>
        </w:tc>
        <w:tc>
          <w:tcPr>
            <w:tcW w:w="23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二十六、抗疫特别国债安排的支出</w:t>
            </w:r>
          </w:p>
        </w:tc>
        <w:tc>
          <w:tcPr>
            <w:tcW w:w="8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58</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5687.56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1"/>
                <w:szCs w:val="21"/>
                <w:u w:val="none"/>
                <w:lang w:val="en-US" w:eastAsia="zh-CN" w:bidi="ar"/>
              </w:rPr>
              <w:t>5,687.56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5,687.56</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5687.56</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108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1"/>
                <w:szCs w:val="21"/>
                <w:u w:val="none"/>
                <w:lang w:val="en-US" w:eastAsia="zh-CN" w:bidi="ar"/>
              </w:rPr>
              <w:t>5,687.56</w:t>
            </w:r>
          </w:p>
        </w:tc>
        <w:tc>
          <w:tcPr>
            <w:tcW w:w="17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5,687.56</w:t>
            </w:r>
          </w:p>
        </w:tc>
        <w:tc>
          <w:tcPr>
            <w:tcW w:w="180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c>
          <w:tcPr>
            <w:tcW w:w="189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部门：环江毛南族自治县高级中学</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5,687.56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3,789.93</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i w:val="0"/>
                <w:iCs w:val="0"/>
                <w:color w:val="000000"/>
                <w:kern w:val="0"/>
                <w:sz w:val="22"/>
                <w:szCs w:val="22"/>
                <w:u w:val="none"/>
                <w:lang w:val="en-US" w:eastAsia="zh-CN" w:bidi="ar"/>
              </w:rPr>
              <w:t>1,897.63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51.31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51.31</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4,376.88</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2,663.27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1,713.62</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普通教育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4,362.84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2,663.27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1,699.58</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2050204</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高中教育</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4,113.41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2,641.37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1,472.04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2050299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其他普通教育支出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249.43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21.90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227.53</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14.04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2050999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其他教育费附加安排的支出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14.04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14.04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379.32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379.32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379.32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379.32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379.32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379.32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282.06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282.06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282.06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282.06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282.06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282.06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597.99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413.97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i w:val="0"/>
                <w:iCs w:val="0"/>
                <w:color w:val="000000"/>
                <w:kern w:val="0"/>
                <w:sz w:val="22"/>
                <w:szCs w:val="22"/>
                <w:u w:val="none"/>
                <w:lang w:val="en-US" w:eastAsia="zh-CN" w:bidi="ar"/>
              </w:rPr>
              <w:t>184.01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597.99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413.97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184.01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597.99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413.97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184.01</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部门：环江毛南族自治县高级中学</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bookmarkStart w:id="0" w:name="OLE_LINK4"/>
            <w:bookmarkStart w:id="1" w:name="OLE_LINK3"/>
            <w:r>
              <w:rPr>
                <w:rFonts w:hint="eastAsia" w:ascii="宋体" w:hAnsi="宋体" w:eastAsia="宋体" w:cs="宋体"/>
                <w:i w:val="0"/>
                <w:iCs w:val="0"/>
                <w:color w:val="000000"/>
                <w:kern w:val="0"/>
                <w:sz w:val="22"/>
                <w:szCs w:val="22"/>
                <w:u w:val="none"/>
                <w:lang w:val="en-US" w:eastAsia="zh-CN" w:bidi="ar"/>
              </w:rPr>
              <w:t>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3,663.87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51.31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1,393.92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99.11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630.75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53.03</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602.08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379.32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178.81</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21.34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282.06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23.45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74.74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13.36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59.39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1.85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51.31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0.15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eastAsia" w:ascii="宋体" w:hAnsi="宋体" w:eastAsia="宋体" w:cs="宋体"/>
                <w:i w:val="0"/>
                <w:iCs w:val="0"/>
                <w:color w:val="000000"/>
                <w:kern w:val="0"/>
                <w:sz w:val="22"/>
                <w:szCs w:val="22"/>
                <w:u w:val="none"/>
                <w:lang w:val="en-US" w:eastAsia="zh-CN"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3,738.62</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rPr>
              <w:t>51.31</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部门：环江毛南族自治县高级中学</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 xml:space="preserve"> </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FF0000"/>
                <w:kern w:val="2"/>
                <w:sz w:val="21"/>
                <w:szCs w:val="21"/>
                <w:lang w:val="en-US" w:eastAsia="zh-CN"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部门：环江毛南族自治县高级中学</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一般公共预算财政拨款安排的“三公”经费支出决算表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eastAsia" w:ascii="Arial" w:hAnsi="Arial" w:eastAsia="宋体" w:cs="Arial"/>
                <w:color w:val="000000"/>
                <w:sz w:val="20"/>
                <w:szCs w:val="20"/>
                <w:highlight w:val="none"/>
                <w:lang w:eastAsia="zh-CN"/>
              </w:rPr>
            </w:pPr>
            <w:r>
              <w:rPr>
                <w:rFonts w:hint="eastAsia" w:ascii="宋体" w:hAnsi="宋体" w:eastAsia="宋体" w:cs="宋体"/>
                <w:color w:val="000000"/>
                <w:kern w:val="0"/>
                <w:sz w:val="20"/>
                <w:szCs w:val="20"/>
                <w:highlight w:val="none"/>
                <w:lang w:bidi="ar"/>
              </w:rPr>
              <w:t>部门：环江毛南族自治县高级中学</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val="en-US" w:eastAsia="zh-CN" w:bidi="ar"/>
              </w:rPr>
            </w:pPr>
            <w:r>
              <w:rPr>
                <w:rFonts w:hint="eastAsia" w:ascii="宋体" w:hAnsi="宋体" w:eastAsia="宋体" w:cs="宋体"/>
                <w:color w:val="000000"/>
                <w:kern w:val="0"/>
                <w:sz w:val="22"/>
                <w:szCs w:val="22"/>
                <w:highlight w:val="none"/>
                <w:lang w:val="en-US" w:eastAsia="zh-CN" w:bidi="ar"/>
              </w:rPr>
              <w:t>0.00</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sz w:val="22"/>
                <w:szCs w:val="22"/>
                <w:highlight w:val="none"/>
              </w:rPr>
              <w:t>0.00</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center"/>
              <w:rPr>
                <w:rFonts w:hint="default"/>
                <w:highlight w:val="none"/>
              </w:rPr>
            </w:pPr>
          </w:p>
          <w:p>
            <w:pPr>
              <w:keepNext w:val="0"/>
              <w:keepLines w:val="0"/>
              <w:suppressLineNumbers w:val="0"/>
              <w:spacing w:before="0" w:beforeAutospacing="0" w:after="0" w:afterAutospacing="0"/>
              <w:ind w:left="0" w:right="0"/>
              <w:jc w:val="center"/>
              <w:rPr>
                <w:rFonts w:hint="default"/>
                <w:highlight w:val="none"/>
              </w:rPr>
            </w:pPr>
            <w:r>
              <w:rPr>
                <w:rFonts w:hint="default"/>
                <w:highlight w:val="none"/>
              </w:rPr>
              <w:t>0.00</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center"/>
              <w:rPr>
                <w:rFonts w:hint="default"/>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auto"/>
                <w:kern w:val="2"/>
                <w:sz w:val="21"/>
                <w:szCs w:val="21"/>
                <w:lang w:val="en-US" w:eastAsia="zh-CN"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年度没有一般公共预算财政拨款“三公”经费收入，也没有一般公共预算财政拨款“三公”经费安排的支出，故本表无数据。</w:t>
            </w: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hint="eastAsia" w:ascii="黑体" w:hAnsi="黑体" w:eastAsia="黑体" w:cs="黑体"/>
          <w:sz w:val="32"/>
          <w:u w:color="auto"/>
          <w:lang w:eastAsia="zh-CN"/>
        </w:rPr>
        <w:t>环江毛南族自治县高级中学</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hint="eastAsia" w:ascii="仿宋" w:hAnsi="仿宋" w:eastAsia="仿宋" w:cs="仿宋"/>
          <w:sz w:val="32"/>
          <w:u w:color="auto"/>
        </w:rPr>
        <w:t>5887.27</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增加了</w:t>
      </w:r>
      <w:r>
        <w:rPr>
          <w:rFonts w:hint="eastAsia" w:ascii="仿宋" w:hAnsi="仿宋" w:eastAsia="仿宋" w:cs="仿宋"/>
          <w:sz w:val="32"/>
          <w:u w:color="auto"/>
          <w:lang w:val="en-US" w:eastAsia="zh-CN"/>
        </w:rPr>
        <w:t>1180.81</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25.09</w:t>
      </w:r>
      <w:r>
        <w:rPr>
          <w:rFonts w:ascii="仿宋" w:hAnsi="仿宋" w:eastAsia="仿宋" w:cs="仿宋"/>
          <w:sz w:val="32"/>
          <w:u w:color="auto"/>
        </w:rPr>
        <w:t>%</w:t>
      </w:r>
      <w:r>
        <w:rPr>
          <w:rFonts w:hint="eastAsia" w:ascii="仿宋" w:hAnsi="仿宋" w:eastAsia="仿宋" w:cs="仿宋"/>
          <w:sz w:val="32"/>
          <w:szCs w:val="32"/>
          <w:highlight w:val="none"/>
        </w:rPr>
        <w:t>，其中本年收入</w:t>
      </w:r>
      <w:r>
        <w:rPr>
          <w:rFonts w:hint="eastAsia" w:ascii="仿宋" w:hAnsi="仿宋" w:eastAsia="仿宋" w:cs="仿宋"/>
          <w:sz w:val="32"/>
          <w:u w:color="auto"/>
        </w:rPr>
        <w:t>5887.2</w:t>
      </w:r>
      <w:r>
        <w:rPr>
          <w:rFonts w:ascii="仿宋" w:hAnsi="仿宋" w:eastAsia="仿宋" w:cs="仿宋"/>
          <w:sz w:val="32"/>
          <w:u w:color="auto"/>
        </w:rPr>
        <w:t>7</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1.一般公共预算财政拨款收入</w:t>
      </w:r>
      <w:r>
        <w:rPr>
          <w:rFonts w:hint="eastAsia" w:ascii="仿宋" w:hAnsi="仿宋" w:eastAsia="仿宋" w:cs="仿宋"/>
          <w:sz w:val="32"/>
          <w:u w:color="auto"/>
        </w:rPr>
        <w:t>5687.56</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河池市</w:t>
      </w:r>
      <w:r>
        <w:rPr>
          <w:rFonts w:hint="eastAsia" w:ascii="仿宋" w:hAnsi="仿宋" w:eastAsia="仿宋" w:cs="仿宋"/>
          <w:kern w:val="2"/>
          <w:sz w:val="32"/>
          <w:szCs w:val="32"/>
          <w:highlight w:val="none"/>
          <w:lang w:val="en-US" w:eastAsia="zh-CN" w:bidi="ar"/>
        </w:rPr>
        <w:t>本级财政当年拨付的资金。较2021年度决算数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1137.49</w:t>
      </w:r>
      <w:r>
        <w:rPr>
          <w:rFonts w:hint="eastAsia" w:ascii="仿宋" w:hAnsi="仿宋" w:eastAsia="仿宋" w:cs="仿宋"/>
          <w:kern w:val="2"/>
          <w:sz w:val="32"/>
          <w:szCs w:val="32"/>
          <w:highlight w:val="none"/>
          <w:lang w:val="en-US" w:eastAsia="zh-CN" w:bidi="ar"/>
        </w:rPr>
        <w:t>万元，</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25</w:t>
      </w:r>
      <w:r>
        <w:rPr>
          <w:rFonts w:ascii="仿宋" w:hAnsi="仿宋" w:eastAsia="仿宋" w:cs="仿宋"/>
          <w:sz w:val="32"/>
          <w:u w:color="auto"/>
        </w:rPr>
        <w:t>%</w:t>
      </w:r>
      <w:r>
        <w:rPr>
          <w:rFonts w:hint="eastAsia" w:ascii="仿宋" w:hAnsi="仿宋" w:eastAsia="仿宋" w:cs="仿宋"/>
          <w:color w:val="auto"/>
          <w:kern w:val="2"/>
          <w:sz w:val="32"/>
          <w:szCs w:val="32"/>
          <w:highlight w:val="none"/>
          <w:lang w:val="en-US" w:eastAsia="zh-CN" w:bidi="ar"/>
        </w:rPr>
        <w:t>，主要原因：上级专款收入增加。</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w w:val="100"/>
          <w:kern w:val="0"/>
          <w:sz w:val="32"/>
          <w:szCs w:val="32"/>
          <w:highlight w:val="none"/>
        </w:rPr>
        <w:t>本部门</w:t>
      </w:r>
      <w:r>
        <w:rPr>
          <w:rFonts w:hint="eastAsia" w:ascii="华文仿宋" w:hAnsi="华文仿宋" w:eastAsia="华文仿宋" w:cs="华文仿宋"/>
          <w:w w:val="100"/>
          <w:kern w:val="0"/>
          <w:sz w:val="32"/>
          <w:szCs w:val="32"/>
        </w:rPr>
        <w:t>无此类收入</w:t>
      </w:r>
      <w:r>
        <w:rPr>
          <w:rFonts w:hint="eastAsia" w:ascii="华文仿宋" w:hAnsi="华文仿宋" w:eastAsia="华文仿宋" w:cs="华文仿宋"/>
          <w:w w:val="100"/>
          <w:kern w:val="0"/>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w w:val="100"/>
          <w:kern w:val="0"/>
          <w:sz w:val="32"/>
          <w:szCs w:val="32"/>
          <w:highlight w:val="none"/>
        </w:rPr>
        <w:t>本部门</w:t>
      </w:r>
      <w:r>
        <w:rPr>
          <w:rFonts w:hint="eastAsia" w:ascii="华文仿宋" w:hAnsi="华文仿宋" w:eastAsia="华文仿宋" w:cs="华文仿宋"/>
          <w:w w:val="100"/>
          <w:kern w:val="0"/>
          <w:sz w:val="32"/>
          <w:szCs w:val="32"/>
        </w:rPr>
        <w:t>无此类收入</w:t>
      </w:r>
      <w:r>
        <w:rPr>
          <w:rFonts w:hint="eastAsia" w:ascii="华文仿宋" w:hAnsi="华文仿宋" w:eastAsia="华文仿宋" w:cs="华文仿宋"/>
          <w:w w:val="100"/>
          <w:kern w:val="0"/>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hint="eastAsia" w:ascii="仿宋" w:hAnsi="仿宋" w:eastAsia="仿宋" w:cs="仿宋"/>
          <w:sz w:val="32"/>
          <w:u w:color="auto"/>
          <w:lang w:val="en-US" w:eastAsia="zh-CN"/>
        </w:rPr>
        <w:t>0</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w w:val="100"/>
          <w:kern w:val="0"/>
          <w:sz w:val="32"/>
          <w:szCs w:val="32"/>
          <w:highlight w:val="none"/>
        </w:rPr>
        <w:t>本部门</w:t>
      </w:r>
      <w:r>
        <w:rPr>
          <w:rFonts w:hint="eastAsia" w:ascii="华文仿宋" w:hAnsi="华文仿宋" w:eastAsia="华文仿宋" w:cs="华文仿宋"/>
          <w:w w:val="100"/>
          <w:kern w:val="0"/>
          <w:sz w:val="32"/>
          <w:szCs w:val="32"/>
        </w:rPr>
        <w:t>无此类收入</w:t>
      </w:r>
      <w:r>
        <w:rPr>
          <w:rFonts w:hint="eastAsia" w:ascii="华文仿宋" w:hAnsi="华文仿宋" w:eastAsia="华文仿宋" w:cs="华文仿宋"/>
          <w:w w:val="100"/>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hint="eastAsia" w:ascii="仿宋" w:hAnsi="仿宋" w:eastAsia="仿宋" w:cs="仿宋"/>
          <w:sz w:val="32"/>
          <w:u w:color="auto"/>
        </w:rPr>
        <w:t>199.72</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43.32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w:t>
      </w:r>
      <w:r>
        <w:rPr>
          <w:rFonts w:hint="eastAsia" w:ascii="仿宋" w:hAnsi="仿宋" w:eastAsia="仿宋" w:cs="仿宋"/>
          <w:sz w:val="32"/>
          <w:u w:color="auto"/>
          <w:lang w:val="en-US" w:eastAsia="zh-CN"/>
        </w:rPr>
        <w:t>27.7</w:t>
      </w:r>
      <w:r>
        <w:rPr>
          <w:rFonts w:ascii="仿宋" w:hAnsi="仿宋" w:eastAsia="仿宋" w:cs="仿宋"/>
          <w:sz w:val="32"/>
          <w:u w:color="auto"/>
        </w:rPr>
        <w:t>%</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本单位开展业务活动次数增加。</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6.</w:t>
      </w:r>
      <w:r>
        <w:rPr>
          <w:rFonts w:hint="eastAsia" w:ascii="仿宋_GB2312" w:hAnsi="仿宋_GB2312" w:eastAsia="仿宋_GB2312" w:cs="仿宋_GB2312"/>
          <w:w w:val="100"/>
          <w:kern w:val="0"/>
          <w:sz w:val="32"/>
          <w:szCs w:val="32"/>
          <w:highlight w:val="none"/>
          <w:lang w:val="en-US" w:eastAsia="zh-CN"/>
        </w:rPr>
        <w:t>经营收入0.00万</w:t>
      </w:r>
      <w:r>
        <w:rPr>
          <w:rFonts w:hint="eastAsia" w:ascii="仿宋" w:hAnsi="仿宋" w:eastAsia="仿宋" w:cs="仿宋"/>
          <w:kern w:val="2"/>
          <w:sz w:val="32"/>
          <w:szCs w:val="32"/>
          <w:highlight w:val="none"/>
          <w:lang w:val="en-US" w:eastAsia="zh-CN" w:bidi="ar"/>
        </w:rPr>
        <w:t>,</w:t>
      </w:r>
      <w:r>
        <w:rPr>
          <w:rFonts w:hint="eastAsia" w:ascii="仿宋_GB2312" w:hAnsi="仿宋_GB2312" w:eastAsia="仿宋_GB2312" w:cs="仿宋_GB2312"/>
          <w:w w:val="100"/>
          <w:kern w:val="0"/>
          <w:sz w:val="32"/>
          <w:szCs w:val="32"/>
          <w:highlight w:val="none"/>
        </w:rPr>
        <w:t>本部门</w:t>
      </w:r>
      <w:r>
        <w:rPr>
          <w:rFonts w:hint="eastAsia" w:ascii="华文仿宋" w:hAnsi="华文仿宋" w:eastAsia="华文仿宋" w:cs="华文仿宋"/>
          <w:w w:val="100"/>
          <w:kern w:val="0"/>
          <w:sz w:val="32"/>
          <w:szCs w:val="32"/>
        </w:rPr>
        <w:t>无此类收入</w:t>
      </w:r>
      <w:r>
        <w:rPr>
          <w:rFonts w:hint="eastAsia" w:ascii="华文仿宋" w:hAnsi="华文仿宋" w:eastAsia="华文仿宋" w:cs="华文仿宋"/>
          <w:w w:val="100"/>
          <w:kern w:val="0"/>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w w:val="100"/>
          <w:kern w:val="0"/>
          <w:sz w:val="32"/>
          <w:szCs w:val="32"/>
          <w:highlight w:val="none"/>
        </w:rPr>
        <w:t>本部门</w:t>
      </w:r>
      <w:r>
        <w:rPr>
          <w:rFonts w:hint="eastAsia" w:ascii="华文仿宋" w:hAnsi="华文仿宋" w:eastAsia="华文仿宋" w:cs="华文仿宋"/>
          <w:w w:val="100"/>
          <w:kern w:val="0"/>
          <w:sz w:val="32"/>
          <w:szCs w:val="32"/>
        </w:rPr>
        <w:t>无此类收入</w:t>
      </w:r>
      <w:r>
        <w:rPr>
          <w:rFonts w:hint="eastAsia" w:ascii="华文仿宋" w:hAnsi="华文仿宋" w:eastAsia="华文仿宋" w:cs="华文仿宋"/>
          <w:w w:val="100"/>
          <w:kern w:val="0"/>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w w:val="100"/>
          <w:kern w:val="0"/>
          <w:sz w:val="32"/>
          <w:szCs w:val="32"/>
          <w:highlight w:val="none"/>
        </w:rPr>
        <w:t>本部门</w:t>
      </w:r>
      <w:r>
        <w:rPr>
          <w:rFonts w:hint="eastAsia" w:ascii="华文仿宋" w:hAnsi="华文仿宋" w:eastAsia="华文仿宋" w:cs="华文仿宋"/>
          <w:w w:val="100"/>
          <w:kern w:val="0"/>
          <w:sz w:val="32"/>
          <w:szCs w:val="32"/>
        </w:rPr>
        <w:t>无此类收入</w:t>
      </w:r>
      <w:r>
        <w:rPr>
          <w:rFonts w:hint="eastAsia" w:ascii="华文仿宋" w:hAnsi="华文仿宋" w:eastAsia="华文仿宋" w:cs="华文仿宋"/>
          <w:w w:val="100"/>
          <w:kern w:val="0"/>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w w:val="100"/>
          <w:kern w:val="0"/>
          <w:sz w:val="32"/>
          <w:szCs w:val="32"/>
          <w:highlight w:val="none"/>
        </w:rPr>
        <w:t>本部门</w:t>
      </w:r>
      <w:r>
        <w:rPr>
          <w:rFonts w:hint="eastAsia" w:ascii="华文仿宋" w:hAnsi="华文仿宋" w:eastAsia="华文仿宋" w:cs="华文仿宋"/>
          <w:w w:val="100"/>
          <w:kern w:val="0"/>
          <w:sz w:val="32"/>
          <w:szCs w:val="32"/>
        </w:rPr>
        <w:t>无此类收入</w:t>
      </w:r>
      <w:r>
        <w:rPr>
          <w:rFonts w:hint="eastAsia" w:ascii="华文仿宋" w:hAnsi="华文仿宋" w:eastAsia="华文仿宋" w:cs="华文仿宋"/>
          <w:w w:val="100"/>
          <w:kern w:val="0"/>
          <w:sz w:val="32"/>
          <w:szCs w:val="32"/>
          <w:lang w:eastAsia="zh-CN"/>
        </w:rPr>
        <w:t>。</w:t>
      </w:r>
    </w:p>
    <w:p>
      <w:pPr>
        <w:keepNext w:val="0"/>
        <w:keepLines w:val="0"/>
        <w:pageBreakBefore w:val="0"/>
        <w:kinsoku/>
        <w:wordWrap/>
        <w:overflowPunct/>
        <w:topLinePunct w:val="0"/>
        <w:autoSpaceDE w:val="0"/>
        <w:autoSpaceDN w:val="0"/>
        <w:bidi w:val="0"/>
        <w:adjustRightInd w:val="0"/>
        <w:spacing w:line="560" w:lineRule="exact"/>
        <w:ind w:firstLine="627" w:firstLineChars="196"/>
        <w:jc w:val="left"/>
        <w:textAlignment w:val="auto"/>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hint="eastAsia" w:ascii="仿宋" w:hAnsi="仿宋" w:eastAsia="仿宋" w:cs="仿宋"/>
          <w:sz w:val="32"/>
          <w:u w:color="auto"/>
          <w:lang w:val="en-US" w:eastAsia="zh-CN"/>
        </w:rPr>
        <w:t>0.00</w:t>
      </w:r>
      <w:r>
        <w:rPr>
          <w:rFonts w:hint="eastAsia" w:ascii="仿宋" w:hAnsi="仿宋" w:eastAsia="仿宋" w:cs="仿宋"/>
          <w:kern w:val="2"/>
          <w:sz w:val="32"/>
          <w:szCs w:val="32"/>
          <w:highlight w:val="none"/>
          <w:lang w:val="en-US" w:eastAsia="zh-CN" w:bidi="ar"/>
        </w:rPr>
        <w:t>万元，</w:t>
      </w:r>
      <w:r>
        <w:rPr>
          <w:rFonts w:hint="eastAsia" w:ascii="仿宋_GB2312" w:hAnsi="仿宋_GB2312" w:eastAsia="仿宋_GB2312" w:cs="仿宋_GB2312"/>
          <w:w w:val="100"/>
          <w:kern w:val="0"/>
          <w:sz w:val="32"/>
          <w:szCs w:val="32"/>
          <w:highlight w:val="none"/>
        </w:rPr>
        <w:t>本部门</w:t>
      </w:r>
      <w:r>
        <w:rPr>
          <w:rFonts w:hint="eastAsia" w:ascii="华文仿宋" w:hAnsi="华文仿宋" w:eastAsia="华文仿宋" w:cs="华文仿宋"/>
          <w:w w:val="100"/>
          <w:kern w:val="0"/>
          <w:sz w:val="32"/>
          <w:szCs w:val="32"/>
        </w:rPr>
        <w:t>无此类收入</w:t>
      </w:r>
      <w:r>
        <w:rPr>
          <w:rFonts w:hint="eastAsia" w:ascii="华文仿宋" w:hAnsi="华文仿宋" w:eastAsia="华文仿宋" w:cs="华文仿宋"/>
          <w:w w:val="100"/>
          <w:kern w:val="0"/>
          <w:sz w:val="32"/>
          <w:szCs w:val="32"/>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5080000" cy="3810000"/>
            <wp:effectExtent l="4445" t="4445" r="5715" b="10795"/>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hint="eastAsia" w:ascii="仿宋" w:hAnsi="仿宋" w:eastAsia="仿宋" w:cs="仿宋"/>
          <w:sz w:val="32"/>
          <w:u w:color="auto"/>
        </w:rPr>
        <w:t>5887.27</w:t>
      </w:r>
      <w:r>
        <w:rPr>
          <w:rFonts w:hint="eastAsia" w:ascii="仿宋" w:hAnsi="仿宋" w:eastAsia="仿宋" w:cs="仿宋"/>
          <w:sz w:val="32"/>
          <w:szCs w:val="32"/>
          <w:highlight w:val="none"/>
        </w:rPr>
        <w:t>万元，其中本年支出</w:t>
      </w:r>
      <w:r>
        <w:rPr>
          <w:rFonts w:hint="eastAsia" w:ascii="仿宋" w:hAnsi="仿宋" w:eastAsia="仿宋" w:cs="仿宋"/>
          <w:sz w:val="32"/>
          <w:u w:color="auto"/>
        </w:rPr>
        <w:t>5887.27</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1017.31</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20.89</w:t>
      </w:r>
      <w:r>
        <w:rPr>
          <w:rFonts w:ascii="仿宋" w:hAnsi="仿宋" w:eastAsia="仿宋" w:cs="仿宋"/>
          <w:sz w:val="32"/>
          <w:u w:color="auto"/>
        </w:rPr>
        <w:t>%</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1.一般公共服务支出（201类）51.31万元，主要用于工会经费。</w:t>
      </w:r>
    </w:p>
    <w:p>
      <w:pPr>
        <w:keepNext w:val="0"/>
        <w:keepLines w:val="0"/>
        <w:widowControl w:val="0"/>
        <w:suppressLineNumbers w:val="0"/>
        <w:spacing w:before="0" w:beforeAutospacing="0" w:after="0" w:afterAutospacing="0"/>
        <w:ind w:left="0" w:right="0" w:firstLine="640" w:firstLineChars="200"/>
        <w:jc w:val="left"/>
        <w:rPr>
          <w:rFonts w:hint="eastAsia" w:ascii="华文仿宋" w:hAnsi="华文仿宋" w:eastAsia="华文仿宋" w:cs="华文仿宋"/>
          <w:color w:val="auto"/>
          <w:kern w:val="0"/>
          <w:sz w:val="32"/>
          <w:szCs w:val="32"/>
          <w:highlight w:val="none"/>
          <w:lang w:val="en-US" w:eastAsia="zh-CN"/>
        </w:rPr>
      </w:pPr>
      <w:r>
        <w:rPr>
          <w:rFonts w:hint="eastAsia" w:ascii="仿宋" w:hAnsi="仿宋" w:eastAsia="仿宋" w:cs="仿宋"/>
          <w:color w:val="auto"/>
          <w:sz w:val="32"/>
          <w:szCs w:val="32"/>
          <w:highlight w:val="none"/>
          <w:lang w:val="en-US" w:eastAsia="zh-CN"/>
        </w:rPr>
        <w:t>2</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教育支出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205</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4576.6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：全校人员工资及为开展教育教学活动的支出</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540.05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13.38</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w:t>
      </w:r>
      <w:r>
        <w:rPr>
          <w:rFonts w:hint="eastAsia" w:ascii="华文仿宋" w:hAnsi="华文仿宋" w:eastAsia="华文仿宋" w:cs="华文仿宋"/>
          <w:color w:val="auto"/>
          <w:kern w:val="0"/>
          <w:sz w:val="32"/>
          <w:szCs w:val="32"/>
          <w:highlight w:val="none"/>
          <w:lang w:val="en-US" w:eastAsia="zh-CN"/>
        </w:rPr>
        <w:t>教育各项收支比上年度均有所增加。</w:t>
      </w:r>
    </w:p>
    <w:p>
      <w:pPr>
        <w:keepNext w:val="0"/>
        <w:keepLines w:val="0"/>
        <w:widowControl w:val="0"/>
        <w:suppressLineNumbers w:val="0"/>
        <w:spacing w:before="0" w:beforeAutospacing="0" w:after="0" w:afterAutospacing="0"/>
        <w:ind w:left="0" w:right="0" w:firstLine="640" w:firstLineChars="200"/>
        <w:jc w:val="left"/>
        <w:rPr>
          <w:rFonts w:hint="eastAsia" w:ascii="华文仿宋" w:hAnsi="华文仿宋" w:eastAsia="华文仿宋" w:cs="华文仿宋"/>
          <w:kern w:val="0"/>
          <w:sz w:val="32"/>
          <w:szCs w:val="32"/>
          <w:lang w:eastAsia="zh-CN"/>
        </w:rPr>
      </w:pPr>
      <w:r>
        <w:rPr>
          <w:rFonts w:hint="eastAsia" w:ascii="仿宋" w:hAnsi="仿宋" w:eastAsia="仿宋" w:cs="仿宋"/>
          <w:color w:val="auto"/>
          <w:sz w:val="32"/>
          <w:szCs w:val="32"/>
          <w:highlight w:val="none"/>
          <w:lang w:val="en-US" w:eastAsia="zh-CN"/>
        </w:rPr>
        <w:t>3</w:t>
      </w:r>
      <w:r>
        <w:rPr>
          <w:rFonts w:ascii="仿宋" w:hAnsi="仿宋" w:eastAsia="仿宋" w:cs="仿宋"/>
          <w:color w:val="auto"/>
          <w:sz w:val="32"/>
          <w:u w:color="auto"/>
        </w:rPr>
        <w:t>.</w:t>
      </w:r>
      <w:r>
        <w:rPr>
          <w:rFonts w:hint="eastAsia" w:ascii="仿宋" w:hAnsi="仿宋" w:eastAsia="仿宋" w:cs="仿宋"/>
          <w:color w:val="auto"/>
          <w:sz w:val="32"/>
          <w:szCs w:val="32"/>
          <w:highlight w:val="none"/>
          <w:lang w:bidi="ar"/>
        </w:rPr>
        <w:t>社会保障和就业支出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208</w:t>
      </w:r>
      <w:r>
        <w:rPr>
          <w:rFonts w:ascii="Calibri" w:hAnsi="Calibri" w:eastAsia="宋体" w:cs="Times New Roman"/>
          <w:color w:val="auto"/>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379.32</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华文仿宋" w:hAnsi="华文仿宋" w:eastAsia="华文仿宋" w:cs="华文仿宋"/>
          <w:color w:val="auto"/>
          <w:kern w:val="0"/>
          <w:sz w:val="32"/>
          <w:szCs w:val="32"/>
          <w:highlight w:val="none"/>
        </w:rPr>
        <w:t>缴纳教职工“五险”</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w:t>
      </w:r>
      <w:r>
        <w:rPr>
          <w:rFonts w:hint="eastAsia" w:ascii="仿宋" w:hAnsi="仿宋" w:eastAsia="仿宋" w:cs="仿宋"/>
          <w:sz w:val="32"/>
          <w:szCs w:val="32"/>
          <w:highlight w:val="none"/>
          <w:lang w:val="en-US" w:eastAsia="zh-CN" w:bidi="ar"/>
        </w:rPr>
        <w:t>4.09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w:t>
      </w:r>
      <w:r>
        <w:rPr>
          <w:rFonts w:hint="eastAsia" w:ascii="仿宋" w:hAnsi="仿宋" w:eastAsia="仿宋" w:cs="仿宋"/>
          <w:sz w:val="32"/>
          <w:szCs w:val="32"/>
          <w:highlight w:val="none"/>
          <w:lang w:val="en-US" w:eastAsia="zh-CN" w:bidi="ar"/>
        </w:rPr>
        <w:t>1.07</w:t>
      </w:r>
      <w:r>
        <w:rPr>
          <w:rFonts w:hint="eastAsia" w:ascii="仿宋" w:hAnsi="仿宋" w:eastAsia="仿宋" w:cs="仿宋"/>
          <w:sz w:val="32"/>
          <w:szCs w:val="32"/>
          <w:highlight w:val="none"/>
          <w:lang w:bidi="ar"/>
        </w:rPr>
        <w:t>%</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退休人员增加，</w:t>
      </w:r>
      <w:r>
        <w:rPr>
          <w:rFonts w:hint="eastAsia" w:ascii="华文仿宋" w:hAnsi="华文仿宋" w:eastAsia="华文仿宋" w:cs="华文仿宋"/>
          <w:kern w:val="0"/>
          <w:sz w:val="32"/>
          <w:szCs w:val="32"/>
          <w:lang w:eastAsia="zh-CN"/>
        </w:rPr>
        <w:t>缴纳</w:t>
      </w:r>
      <w:r>
        <w:rPr>
          <w:rFonts w:hint="eastAsia" w:ascii="华文仿宋" w:hAnsi="华文仿宋" w:eastAsia="华文仿宋" w:cs="华文仿宋"/>
          <w:kern w:val="0"/>
          <w:sz w:val="32"/>
          <w:szCs w:val="32"/>
        </w:rPr>
        <w:t>“五险”比去年有所</w:t>
      </w:r>
      <w:r>
        <w:rPr>
          <w:rFonts w:hint="eastAsia" w:ascii="华文仿宋" w:hAnsi="华文仿宋" w:eastAsia="华文仿宋" w:cs="华文仿宋"/>
          <w:kern w:val="0"/>
          <w:sz w:val="32"/>
          <w:szCs w:val="32"/>
          <w:lang w:eastAsia="zh-CN"/>
        </w:rPr>
        <w:t>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sz w:val="32"/>
          <w:szCs w:val="32"/>
          <w:highlight w:val="none"/>
          <w:lang w:val="en-US" w:eastAsia="zh-CN"/>
        </w:rPr>
        <w:t>4</w:t>
      </w:r>
      <w:r>
        <w:rPr>
          <w:rFonts w:ascii="仿宋" w:hAnsi="仿宋" w:eastAsia="仿宋" w:cs="仿宋"/>
          <w:sz w:val="32"/>
          <w:u w:color="auto"/>
        </w:rPr>
        <w:t>.</w:t>
      </w:r>
      <w:r>
        <w:rPr>
          <w:rFonts w:hint="eastAsia" w:ascii="仿宋" w:hAnsi="仿宋" w:eastAsia="仿宋" w:cs="仿宋"/>
          <w:sz w:val="32"/>
          <w:szCs w:val="32"/>
          <w:highlight w:val="none"/>
          <w:lang w:bidi="ar"/>
        </w:rPr>
        <w:t>卫生健康支出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210</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lang w:eastAsia="zh-CN"/>
          <w14:textFill>
            <w14:solidFill>
              <w14:schemeClr w14:val="tx1"/>
            </w14:solidFill>
          </w14:textFill>
        </w:rPr>
        <w:t>本部门无此类支出。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sz w:val="32"/>
          <w:szCs w:val="32"/>
          <w:highlight w:val="none"/>
          <w:lang w:eastAsia="zh-CN"/>
          <w14:textFill>
            <w14:solidFill>
              <w14:schemeClr w14:val="tx1"/>
            </w14:solidFill>
          </w14:textFill>
        </w:rPr>
      </w:pPr>
      <w:r>
        <w:rPr>
          <w:rFonts w:hint="eastAsia" w:ascii="仿宋" w:hAnsi="仿宋" w:eastAsia="仿宋" w:cs="仿宋"/>
          <w:sz w:val="32"/>
          <w:szCs w:val="32"/>
          <w:highlight w:val="none"/>
          <w:lang w:val="en-US" w:eastAsia="zh-CN"/>
        </w:rPr>
        <w:t>5</w:t>
      </w:r>
      <w:r>
        <w:rPr>
          <w:rFonts w:ascii="仿宋" w:hAnsi="仿宋" w:eastAsia="仿宋" w:cs="仿宋"/>
          <w:sz w:val="32"/>
          <w:u w:color="auto"/>
        </w:rPr>
        <w:t>.</w:t>
      </w:r>
      <w:r>
        <w:rPr>
          <w:rFonts w:hint="eastAsia" w:ascii="仿宋" w:hAnsi="仿宋" w:eastAsia="仿宋" w:cs="仿宋"/>
          <w:sz w:val="32"/>
          <w:szCs w:val="32"/>
          <w:highlight w:val="none"/>
          <w:lang w:bidi="ar"/>
        </w:rPr>
        <w:t>农林水支出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213</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val="en-US" w:eastAsia="zh-CN" w:bidi="ar"/>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lang w:eastAsia="zh-CN"/>
          <w14:textFill>
            <w14:solidFill>
              <w14:schemeClr w14:val="tx1"/>
            </w14:solidFill>
          </w14:textFill>
        </w:rPr>
        <w:t>本部门无此类支出。</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kern w:val="2"/>
          <w:sz w:val="32"/>
          <w:szCs w:val="32"/>
          <w:highlight w:val="none"/>
          <w:lang w:val="en-US" w:eastAsia="zh-CN" w:bidi="ar"/>
        </w:rPr>
      </w:pPr>
      <w:r>
        <w:rPr>
          <w:rFonts w:hint="eastAsia" w:ascii="仿宋" w:hAnsi="仿宋" w:eastAsia="仿宋" w:cs="仿宋"/>
          <w:sz w:val="32"/>
          <w:szCs w:val="32"/>
          <w:highlight w:val="none"/>
          <w:lang w:val="en-US" w:eastAsia="zh-CN"/>
        </w:rPr>
        <w:t>6</w:t>
      </w:r>
      <w:r>
        <w:rPr>
          <w:rFonts w:ascii="仿宋" w:hAnsi="仿宋" w:eastAsia="仿宋" w:cs="仿宋"/>
          <w:sz w:val="32"/>
          <w:u w:color="auto"/>
        </w:rPr>
        <w:t>.</w:t>
      </w:r>
      <w:r>
        <w:rPr>
          <w:rFonts w:hint="eastAsia" w:ascii="仿宋" w:hAnsi="仿宋" w:eastAsia="仿宋" w:cs="仿宋"/>
          <w:color w:val="auto"/>
          <w:sz w:val="32"/>
          <w:szCs w:val="32"/>
          <w:highlight w:val="none"/>
          <w:lang w:bidi="ar"/>
        </w:rPr>
        <w:t>住房保障支出</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bidi="ar"/>
        </w:rPr>
        <w:t>221</w:t>
      </w:r>
      <w:r>
        <w:rPr>
          <w:rFonts w:ascii="Calibri" w:hAnsi="Calibri" w:eastAsia="宋体" w:cs="Times New Roman"/>
          <w:color w:val="auto"/>
          <w:highlight w:val="none"/>
          <w:lang w:bidi="ar"/>
        </w:rPr>
        <w:t xml:space="preserve"> </w:t>
      </w:r>
      <w:r>
        <w:rPr>
          <w:rFonts w:hint="eastAsia" w:ascii="仿宋" w:hAnsi="仿宋" w:eastAsia="仿宋" w:cs="仿宋"/>
          <w:color w:val="auto"/>
          <w:sz w:val="32"/>
          <w:szCs w:val="32"/>
          <w:highlight w:val="none"/>
        </w:rPr>
        <w:t>类）</w:t>
      </w:r>
      <w:r>
        <w:rPr>
          <w:rFonts w:hint="eastAsia" w:ascii="仿宋" w:hAnsi="仿宋" w:eastAsia="仿宋" w:cs="仿宋"/>
          <w:color w:val="auto"/>
          <w:sz w:val="32"/>
          <w:szCs w:val="32"/>
          <w:highlight w:val="none"/>
          <w:lang w:bidi="ar"/>
        </w:rPr>
        <w:t>282.06</w:t>
      </w:r>
      <w:r>
        <w:rPr>
          <w:rFonts w:hint="eastAsia" w:ascii="仿宋" w:hAnsi="仿宋" w:eastAsia="仿宋" w:cs="仿宋"/>
          <w:color w:val="auto"/>
          <w:sz w:val="32"/>
          <w:szCs w:val="32"/>
          <w:highlight w:val="none"/>
        </w:rPr>
        <w:t>万元：主要用于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缴纳教职工公积金</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134.95</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eastAsia="zh-CN" w:bidi="ar"/>
        </w:rPr>
        <w:t>增加</w:t>
      </w:r>
      <w:r>
        <w:rPr>
          <w:rFonts w:hint="eastAsia" w:ascii="仿宋" w:hAnsi="仿宋" w:eastAsia="仿宋" w:cs="仿宋"/>
          <w:color w:val="auto"/>
          <w:sz w:val="32"/>
          <w:szCs w:val="32"/>
          <w:highlight w:val="none"/>
          <w:lang w:val="en-US" w:eastAsia="zh-CN" w:bidi="ar"/>
        </w:rPr>
        <w:t>91.73</w:t>
      </w:r>
      <w:r>
        <w:rPr>
          <w:rFonts w:hint="eastAsia" w:ascii="仿宋" w:hAnsi="仿宋" w:eastAsia="仿宋" w:cs="仿宋"/>
          <w:color w:val="auto"/>
          <w:sz w:val="32"/>
          <w:szCs w:val="32"/>
          <w:highlight w:val="none"/>
          <w:lang w:bidi="ar"/>
        </w:rPr>
        <w:t>%</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主要原因是：缴纳教职工公积金支出有所增加。</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auto"/>
          <w:kern w:val="2"/>
          <w:sz w:val="32"/>
          <w:szCs w:val="32"/>
          <w:highlight w:val="none"/>
          <w:lang w:val="en-US" w:eastAsia="zh-CN" w:bidi="ar"/>
        </w:rPr>
      </w:pPr>
      <w:r>
        <w:rPr>
          <w:rFonts w:hint="eastAsia" w:ascii="仿宋" w:hAnsi="仿宋" w:eastAsia="仿宋" w:cs="仿宋"/>
          <w:color w:val="auto"/>
          <w:kern w:val="2"/>
          <w:sz w:val="32"/>
          <w:szCs w:val="32"/>
          <w:highlight w:val="none"/>
          <w:lang w:val="en-US" w:eastAsia="zh-CN" w:bidi="ar"/>
        </w:rPr>
        <w:t>7.其他支出（229类）597.99万元，主要用于其他性支出。</w:t>
      </w:r>
    </w:p>
    <w:p>
      <w:pPr>
        <w:keepNext w:val="0"/>
        <w:keepLines w:val="0"/>
        <w:widowControl w:val="0"/>
        <w:suppressLineNumbers w:val="0"/>
        <w:spacing w:before="0" w:beforeAutospacing="0" w:after="0" w:afterAutospacing="0"/>
        <w:ind w:left="0" w:right="0" w:firstLine="620" w:firstLineChars="200"/>
        <w:jc w:val="left"/>
        <w:rPr>
          <w:rFonts w:hint="eastAsia" w:ascii="仿宋" w:hAnsi="仿宋" w:eastAsia="仿宋_GB2312" w:cs="仿宋"/>
          <w:sz w:val="32"/>
          <w:szCs w:val="32"/>
          <w:highlight w:val="none"/>
          <w:lang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eastAsia" w:ascii="仿宋_GB2312" w:hAnsi="微软雅黑" w:eastAsia="仿宋_GB2312" w:cs="仿宋_GB2312"/>
          <w:i w:val="0"/>
          <w:iCs w:val="0"/>
          <w:caps w:val="0"/>
          <w:color w:val="000000"/>
          <w:spacing w:val="0"/>
          <w:sz w:val="31"/>
          <w:szCs w:val="31"/>
          <w:highlight w:val="none"/>
          <w:shd w:val="clear" w:color="auto" w:fill="FFFFFF"/>
          <w:lang w:eastAsia="zh-CN"/>
        </w:rPr>
        <w:t>。</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年末结转和结余</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w:t>
      </w:r>
      <w:r>
        <w:rPr>
          <w:rFonts w:hint="eastAsia" w:ascii="仿宋" w:hAnsi="仿宋" w:eastAsia="仿宋" w:cs="仿宋"/>
          <w:sz w:val="32"/>
          <w:u w:color="auto"/>
          <w:lang w:val="en-US" w:eastAsia="zh-CN"/>
        </w:rPr>
        <w:t>0.00</w:t>
      </w:r>
      <w:r>
        <w:rPr>
          <w:rFonts w:hint="eastAsia" w:ascii="仿宋" w:hAnsi="仿宋" w:eastAsia="仿宋" w:cs="仿宋"/>
          <w:sz w:val="32"/>
          <w:szCs w:val="32"/>
          <w:highlight w:val="none"/>
        </w:rPr>
        <w:t>万元，</w:t>
      </w:r>
      <w:r>
        <w:rPr>
          <w:rFonts w:ascii="仿宋" w:hAnsi="仿宋" w:eastAsia="仿宋" w:cs="仿宋"/>
          <w:sz w:val="32"/>
          <w:u w:color="auto"/>
        </w:rPr>
        <w:t>增长</w:t>
      </w:r>
      <w:r>
        <w:rPr>
          <w:rFonts w:hint="eastAsia" w:ascii="仿宋" w:hAnsi="仿宋" w:eastAsia="仿宋" w:cs="仿宋"/>
          <w:sz w:val="32"/>
          <w:u w:color="auto"/>
          <w:lang w:val="en-US" w:eastAsia="zh-CN"/>
        </w:rPr>
        <w:t>0</w:t>
      </w:r>
      <w:r>
        <w:rPr>
          <w:rFonts w:ascii="仿宋" w:hAnsi="仿宋" w:eastAsia="仿宋" w:cs="仿宋"/>
          <w:sz w:val="32"/>
          <w:u w:color="auto"/>
        </w:rPr>
        <w:t>%</w:t>
      </w:r>
      <w:r>
        <w:rPr>
          <w:rFonts w:hint="eastAsia" w:ascii="仿宋" w:hAnsi="仿宋" w:eastAsia="仿宋" w:cs="仿宋"/>
          <w:sz w:val="32"/>
          <w:u w:color="auto"/>
          <w:lang w:eastAsia="zh-CN"/>
        </w:rPr>
        <w:t>。</w:t>
      </w: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537710" cy="2366010"/>
            <wp:effectExtent l="4445" t="4445" r="10795" b="1079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环江毛南族自治县高级中学</w:t>
      </w:r>
      <w:r>
        <w:rPr>
          <w:rFonts w:hint="eastAsia" w:ascii="仿宋" w:hAnsi="仿宋" w:eastAsia="仿宋" w:cs="仿宋"/>
          <w:sz w:val="32"/>
          <w:szCs w:val="32"/>
          <w:highlight w:val="none"/>
        </w:rPr>
        <w:t>2022年度一般公共预算财政拨款支出</w:t>
      </w:r>
      <w:r>
        <w:rPr>
          <w:rFonts w:hint="eastAsia" w:ascii="仿宋" w:hAnsi="仿宋" w:eastAsia="仿宋" w:cs="仿宋"/>
          <w:sz w:val="32"/>
          <w:u w:color="auto"/>
        </w:rPr>
        <w:t>5687.56</w:t>
      </w:r>
      <w:r>
        <w:rPr>
          <w:rFonts w:hint="eastAsia" w:ascii="仿宋" w:hAnsi="仿宋" w:eastAsia="仿宋" w:cs="仿宋"/>
          <w:sz w:val="32"/>
          <w:szCs w:val="32"/>
          <w:highlight w:val="none"/>
        </w:rPr>
        <w:t>万元，较2021年度决算数</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998.45</w:t>
      </w:r>
      <w:r>
        <w:rPr>
          <w:rFonts w:hint="eastAsia" w:ascii="仿宋" w:hAnsi="仿宋" w:eastAsia="仿宋" w:cs="仿宋"/>
          <w:sz w:val="32"/>
          <w:szCs w:val="32"/>
          <w:highlight w:val="none"/>
        </w:rPr>
        <w:t>万元，</w:t>
      </w:r>
      <w:r>
        <w:rPr>
          <w:rFonts w:hint="eastAsia" w:ascii="仿宋" w:hAnsi="仿宋" w:eastAsia="仿宋" w:cs="仿宋"/>
          <w:sz w:val="32"/>
          <w:u w:color="auto"/>
          <w:lang w:eastAsia="zh-CN"/>
        </w:rPr>
        <w:t>增加</w:t>
      </w:r>
      <w:r>
        <w:rPr>
          <w:rFonts w:hint="eastAsia" w:ascii="仿宋" w:hAnsi="仿宋" w:eastAsia="仿宋" w:cs="仿宋"/>
          <w:sz w:val="32"/>
          <w:u w:color="auto"/>
          <w:lang w:val="en-US" w:eastAsia="zh-CN"/>
        </w:rPr>
        <w:t>21.29</w:t>
      </w:r>
      <w:r>
        <w:rPr>
          <w:rFonts w:ascii="仿宋" w:hAnsi="仿宋" w:eastAsia="仿宋" w:cs="仿宋"/>
          <w:sz w:val="32"/>
          <w:u w:color="auto"/>
        </w:rPr>
        <w:t>%</w:t>
      </w:r>
      <w:r>
        <w:rPr>
          <w:rFonts w:hint="eastAsia" w:ascii="仿宋" w:hAnsi="仿宋" w:eastAsia="仿宋" w:cs="仿宋"/>
          <w:sz w:val="32"/>
          <w:szCs w:val="32"/>
          <w:highlight w:val="none"/>
        </w:rPr>
        <w:t>。其中：基本支出</w:t>
      </w:r>
      <w:r>
        <w:rPr>
          <w:rFonts w:hint="eastAsia" w:ascii="仿宋" w:hAnsi="仿宋" w:eastAsia="仿宋" w:cs="仿宋"/>
          <w:sz w:val="32"/>
          <w:u w:color="auto"/>
        </w:rPr>
        <w:t>3789.93</w:t>
      </w:r>
      <w:r>
        <w:rPr>
          <w:rFonts w:hint="eastAsia" w:ascii="仿宋" w:hAnsi="仿宋" w:eastAsia="仿宋" w:cs="仿宋"/>
          <w:sz w:val="32"/>
          <w:szCs w:val="32"/>
          <w:highlight w:val="none"/>
        </w:rPr>
        <w:t>万元，项目支出</w:t>
      </w:r>
      <w:r>
        <w:rPr>
          <w:rFonts w:hint="eastAsia" w:ascii="仿宋" w:hAnsi="仿宋" w:eastAsia="仿宋" w:cs="仿宋"/>
          <w:sz w:val="32"/>
          <w:u w:color="auto"/>
        </w:rPr>
        <w:t>1897.63</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环江毛南族自治县高级中学</w:t>
      </w:r>
      <w:r>
        <w:rPr>
          <w:rFonts w:hint="eastAsia" w:ascii="仿宋" w:hAnsi="仿宋" w:eastAsia="仿宋" w:cs="仿宋"/>
          <w:sz w:val="32"/>
          <w:szCs w:val="32"/>
          <w:highlight w:val="none"/>
        </w:rPr>
        <w:t>2022 年度一般公共预算财政拨款支出年初预算为</w:t>
      </w:r>
      <w:r>
        <w:rPr>
          <w:rFonts w:hint="eastAsia" w:ascii="仿宋" w:hAnsi="仿宋" w:eastAsia="仿宋" w:cs="仿宋"/>
          <w:sz w:val="32"/>
          <w:u w:color="auto"/>
        </w:rPr>
        <w:t>5687.56</w:t>
      </w:r>
      <w:r>
        <w:rPr>
          <w:rFonts w:hint="eastAsia" w:ascii="仿宋" w:hAnsi="仿宋" w:eastAsia="仿宋" w:cs="仿宋"/>
          <w:sz w:val="32"/>
          <w:szCs w:val="32"/>
          <w:highlight w:val="none"/>
        </w:rPr>
        <w:t>万元，支出决算为</w:t>
      </w:r>
      <w:r>
        <w:rPr>
          <w:rFonts w:hint="eastAsia" w:ascii="仿宋" w:hAnsi="仿宋" w:eastAsia="仿宋" w:cs="仿宋"/>
          <w:sz w:val="32"/>
          <w:u w:color="auto"/>
        </w:rPr>
        <w:t>5687.56</w:t>
      </w:r>
      <w:r>
        <w:rPr>
          <w:rFonts w:hint="eastAsia" w:ascii="仿宋" w:hAnsi="仿宋" w:eastAsia="仿宋" w:cs="仿宋"/>
          <w:sz w:val="32"/>
          <w:szCs w:val="32"/>
          <w:highlight w:val="none"/>
        </w:rPr>
        <w:t>万元，完成年初预算的</w:t>
      </w:r>
      <w:r>
        <w:rPr>
          <w:rFonts w:hint="eastAsia" w:ascii="仿宋" w:hAnsi="仿宋" w:eastAsia="仿宋" w:cs="仿宋"/>
          <w:sz w:val="32"/>
          <w:u w:color="auto"/>
          <w:lang w:val="en-US" w:eastAsia="zh-CN"/>
        </w:rPr>
        <w:t>100</w:t>
      </w:r>
      <w:r>
        <w:rPr>
          <w:rFonts w:ascii="仿宋" w:hAnsi="仿宋" w:eastAsia="仿宋" w:cs="仿宋"/>
          <w:sz w:val="32"/>
          <w:u w:color="auto"/>
        </w:rPr>
        <w:t>%</w:t>
      </w:r>
      <w:r>
        <w:rPr>
          <w:rFonts w:hint="eastAsia" w:ascii="仿宋" w:hAnsi="仿宋" w:eastAsia="仿宋" w:cs="仿宋"/>
          <w:sz w:val="32"/>
          <w:szCs w:val="32"/>
          <w:highlight w:val="none"/>
        </w:rPr>
        <w:t>。</w:t>
      </w:r>
      <w:bookmarkStart w:id="3" w:name="OLE_LINK2"/>
      <w:bookmarkEnd w:id="3"/>
    </w:p>
    <w:p>
      <w:pPr>
        <w:numPr>
          <w:ilvl w:val="0"/>
          <w:numId w:val="2"/>
        </w:numPr>
        <w:ind w:firstLine="640" w:firstLineChars="200"/>
        <w:jc w:val="left"/>
        <w:rPr>
          <w:rFonts w:hint="eastAsia" w:ascii="仿宋" w:hAnsi="仿宋" w:eastAsia="仿宋"/>
          <w:color w:val="auto"/>
          <w:sz w:val="32"/>
          <w:szCs w:val="32"/>
          <w:highlight w:val="none"/>
          <w:lang w:val="en-US" w:eastAsia="zh-CN"/>
        </w:rPr>
      </w:pPr>
      <w:r>
        <w:rPr>
          <w:rFonts w:hint="eastAsia" w:ascii="仿宋" w:hAnsi="仿宋" w:eastAsia="仿宋"/>
          <w:color w:val="auto"/>
          <w:sz w:val="32"/>
          <w:szCs w:val="32"/>
          <w:highlight w:val="none"/>
          <w:lang w:val="en-US" w:eastAsia="zh-CN"/>
        </w:rPr>
        <w:t>一般公共服务支出（201类）年初预算为51.31万元，支出决算为51.31万元，完成年初预算的100%。</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default" w:ascii="宋体" w:hAnsi="宋体" w:eastAsia="宋体" w:cs="宋体"/>
                <w:i w:val="0"/>
                <w:iCs w:val="0"/>
                <w:color w:val="auto"/>
                <w:sz w:val="20"/>
                <w:szCs w:val="20"/>
                <w:highlight w:val="none"/>
                <w:u w:val="none"/>
                <w:lang w:val="en-US" w:eastAsia="zh-CN"/>
              </w:rPr>
              <w:t>一般公共服务支出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51.31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51.31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工会经费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auto"/>
                <w:sz w:val="18"/>
                <w:szCs w:val="18"/>
                <w:highlight w:val="none"/>
                <w:u w:val="none"/>
                <w:lang w:val="en-US" w:eastAsia="zh-CN"/>
              </w:rPr>
              <w:t>51.31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auto"/>
                <w:sz w:val="18"/>
                <w:szCs w:val="18"/>
                <w:highlight w:val="none"/>
                <w:u w:val="none"/>
                <w:lang w:val="en-US" w:eastAsia="zh-CN"/>
              </w:rPr>
              <w:t>51.31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both"/>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59100"/>
            <wp:effectExtent l="4445" t="4445" r="16510" b="8255"/>
            <wp:docPr id="5"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jc w:val="left"/>
        <w:rPr>
          <w:rFonts w:hint="eastAsia" w:ascii="仿宋" w:hAnsi="仿宋" w:eastAsia="仿宋" w:cs="仿宋"/>
          <w:sz w:val="32"/>
          <w:szCs w:val="32"/>
          <w:highlight w:val="none"/>
        </w:rPr>
      </w:pPr>
    </w:p>
    <w:p>
      <w:pPr>
        <w:ind w:firstLine="640" w:firstLineChars="200"/>
        <w:jc w:val="left"/>
        <w:rPr>
          <w:rFonts w:hint="eastAsia" w:eastAsia="仿宋"/>
          <w:color w:val="auto"/>
          <w:highlight w:val="none"/>
          <w:lang w:val="en-US" w:eastAsia="zh-CN"/>
        </w:rPr>
      </w:pPr>
      <w:r>
        <w:rPr>
          <w:rFonts w:hint="eastAsia" w:ascii="仿宋" w:hAnsi="仿宋" w:eastAsia="仿宋"/>
          <w:color w:val="auto"/>
          <w:sz w:val="32"/>
          <w:szCs w:val="32"/>
          <w:highlight w:val="none"/>
          <w:lang w:eastAsia="zh-CN"/>
        </w:rPr>
        <w:t>（二）</w:t>
      </w:r>
      <w:r>
        <w:rPr>
          <w:rFonts w:hint="eastAsia" w:ascii="仿宋" w:hAnsi="仿宋" w:eastAsia="仿宋"/>
          <w:color w:val="auto"/>
          <w:sz w:val="32"/>
          <w:szCs w:val="32"/>
          <w:highlight w:val="none"/>
        </w:rPr>
        <w:t>教育支出</w:t>
      </w:r>
      <w:r>
        <w:rPr>
          <w:rFonts w:ascii="仿宋" w:hAnsi="仿宋" w:eastAsia="仿宋"/>
          <w:color w:val="auto"/>
          <w:sz w:val="32"/>
          <w:u w:color="auto"/>
        </w:rPr>
        <w:t>（205</w:t>
      </w:r>
      <w:r>
        <w:rPr>
          <w:rFonts w:hint="eastAsia" w:ascii="仿宋" w:hAnsi="仿宋" w:eastAsia="仿宋"/>
          <w:color w:val="auto"/>
          <w:sz w:val="32"/>
          <w:szCs w:val="32"/>
          <w:highlight w:val="none"/>
        </w:rPr>
        <w:t>类）年初预算为4376.88万元，支出决算为4376.88万元，完成年初预算的</w:t>
      </w:r>
      <w:r>
        <w:rPr>
          <w:rFonts w:hint="eastAsia" w:ascii="仿宋" w:hAnsi="仿宋" w:eastAsia="仿宋"/>
          <w:color w:val="auto"/>
          <w:sz w:val="32"/>
          <w:szCs w:val="32"/>
          <w:highlight w:val="none"/>
          <w:lang w:val="en-US" w:eastAsia="zh-CN"/>
        </w:rPr>
        <w:t>100</w:t>
      </w:r>
      <w:r>
        <w:rPr>
          <w:rFonts w:ascii="仿宋" w:hAnsi="仿宋" w:eastAsia="仿宋"/>
          <w:color w:val="auto"/>
          <w:sz w:val="32"/>
          <w:szCs w:val="32"/>
          <w:highlight w:val="none"/>
        </w:rPr>
        <w:t>%</w:t>
      </w:r>
      <w:r>
        <w:rPr>
          <w:rFonts w:hint="eastAsia" w:ascii="仿宋" w:hAnsi="仿宋" w:eastAsia="仿宋"/>
          <w:color w:val="auto"/>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78"/>
        <w:gridCol w:w="1025"/>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行政运行</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0.00</w:t>
            </w:r>
          </w:p>
        </w:tc>
        <w:tc>
          <w:tcPr>
            <w:tcW w:w="1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其他教育管理事务支出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0.00</w:t>
            </w:r>
          </w:p>
        </w:tc>
        <w:tc>
          <w:tcPr>
            <w:tcW w:w="1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2050204</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高中教育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4113.41</w:t>
            </w:r>
          </w:p>
        </w:tc>
        <w:tc>
          <w:tcPr>
            <w:tcW w:w="8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4113.41</w:t>
            </w:r>
          </w:p>
        </w:tc>
        <w:tc>
          <w:tcPr>
            <w:tcW w:w="1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人员工资及教育教学活动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人员工资及教育教学活动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2050299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其他普通教育支出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249.43</w:t>
            </w:r>
          </w:p>
        </w:tc>
        <w:tc>
          <w:tcPr>
            <w:tcW w:w="8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249.43</w:t>
            </w:r>
          </w:p>
        </w:tc>
        <w:tc>
          <w:tcPr>
            <w:tcW w:w="1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其他教育教学活动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其他教育教学活动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2050302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中等职业教育</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1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2050399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其他职业教育支出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1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2050803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培训支出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0.00</w:t>
            </w:r>
          </w:p>
        </w:tc>
        <w:tc>
          <w:tcPr>
            <w:tcW w:w="1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2050999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其他教育费附加安排的支出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14.04</w:t>
            </w:r>
          </w:p>
        </w:tc>
        <w:tc>
          <w:tcPr>
            <w:tcW w:w="8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14.04</w:t>
            </w:r>
          </w:p>
        </w:tc>
        <w:tc>
          <w:tcPr>
            <w:tcW w:w="1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21"/>
                <w:szCs w:val="21"/>
                <w:highlight w:val="none"/>
                <w:lang w:val="en-US" w:eastAsia="zh-CN"/>
              </w:rPr>
            </w:pPr>
            <w:r>
              <w:rPr>
                <w:rFonts w:hint="eastAsia" w:ascii="仿宋" w:hAnsi="仿宋" w:eastAsia="仿宋" w:cs="仿宋"/>
                <w:color w:val="auto"/>
                <w:sz w:val="21"/>
                <w:szCs w:val="21"/>
                <w:highlight w:val="none"/>
                <w:lang w:val="en-US" w:eastAsia="zh-CN"/>
              </w:rPr>
              <w:t>开展其他教学活动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仿宋" w:hAnsi="仿宋" w:eastAsia="仿宋" w:cs="仿宋"/>
                <w:color w:val="auto"/>
                <w:sz w:val="18"/>
                <w:szCs w:val="18"/>
                <w:highlight w:val="none"/>
                <w:lang w:val="en-US" w:eastAsia="zh-CN"/>
              </w:rPr>
            </w:pPr>
            <w:r>
              <w:rPr>
                <w:rFonts w:hint="eastAsia" w:ascii="仿宋" w:hAnsi="仿宋" w:eastAsia="仿宋" w:cs="仿宋"/>
                <w:color w:val="auto"/>
                <w:sz w:val="21"/>
                <w:szCs w:val="21"/>
                <w:highlight w:val="none"/>
                <w:lang w:val="en-US" w:eastAsia="zh-CN"/>
              </w:rPr>
              <w:t>开展其他教学活动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2059999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其他教育支出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0.00</w:t>
            </w:r>
          </w:p>
        </w:tc>
        <w:tc>
          <w:tcPr>
            <w:tcW w:w="1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highlight w:val="none"/>
                <w:u w:val="none"/>
                <w:lang w:val="en-US" w:eastAsia="zh-CN" w:bidi="ar-SA"/>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left"/>
              <w:textAlignment w:val="center"/>
              <w:rPr>
                <w:rFonts w:hint="eastAsia" w:ascii="宋体" w:hAnsi="宋体" w:eastAsia="宋体" w:cs="宋体"/>
                <w:i w:val="0"/>
                <w:iCs w:val="0"/>
                <w:color w:val="000000"/>
                <w:kern w:val="2"/>
                <w:sz w:val="20"/>
                <w:szCs w:val="20"/>
                <w:highlight w:val="none"/>
                <w:u w:val="none"/>
                <w:lang w:val="en-US" w:eastAsia="zh-CN" w:bidi="ar-SA"/>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8"/>
                <w:szCs w:val="8"/>
                <w:highlight w:val="none"/>
                <w:u w:val="none"/>
                <w:lang w:val="en-US" w:eastAsia="zh-CN" w:bidi="ar-SA"/>
              </w:rPr>
            </w:pPr>
            <w:r>
              <w:rPr>
                <w:rFonts w:hint="eastAsia" w:ascii="仿宋" w:hAnsi="仿宋" w:eastAsia="仿宋"/>
                <w:sz w:val="18"/>
                <w:szCs w:val="18"/>
                <w:highlight w:val="none"/>
              </w:rPr>
              <w:t>4376.88</w:t>
            </w:r>
          </w:p>
        </w:tc>
        <w:tc>
          <w:tcPr>
            <w:tcW w:w="878"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宋体" w:hAnsi="宋体" w:eastAsia="宋体" w:cs="宋体"/>
                <w:i w:val="0"/>
                <w:iCs w:val="0"/>
                <w:color w:val="000000"/>
                <w:kern w:val="2"/>
                <w:sz w:val="8"/>
                <w:szCs w:val="8"/>
                <w:highlight w:val="none"/>
                <w:u w:val="none"/>
                <w:lang w:val="en-US" w:eastAsia="zh-CN" w:bidi="ar-SA"/>
              </w:rPr>
            </w:pPr>
            <w:r>
              <w:rPr>
                <w:rFonts w:hint="eastAsia" w:ascii="仿宋" w:hAnsi="仿宋" w:eastAsia="仿宋"/>
                <w:sz w:val="18"/>
                <w:szCs w:val="18"/>
                <w:highlight w:val="none"/>
              </w:rPr>
              <w:t>4376.88</w:t>
            </w:r>
          </w:p>
        </w:tc>
        <w:tc>
          <w:tcPr>
            <w:tcW w:w="10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宋体" w:hAnsi="宋体" w:eastAsia="宋体" w:cs="宋体"/>
                <w:i w:val="0"/>
                <w:iCs w:val="0"/>
                <w:color w:val="auto"/>
                <w:kern w:val="2"/>
                <w:sz w:val="18"/>
                <w:szCs w:val="18"/>
                <w:highlight w:val="none"/>
                <w:u w:val="none"/>
                <w:lang w:val="en-US" w:eastAsia="zh-CN" w:bidi="ar-SA"/>
              </w:rPr>
            </w:pPr>
          </w:p>
        </w:tc>
      </w:tr>
    </w:tbl>
    <w:p>
      <w:pPr>
        <w:jc w:val="both"/>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25090"/>
            <wp:effectExtent l="4445" t="4445" r="16510" b="184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（三）</w:t>
      </w: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类）年初预算为379.32万元，支出决算为379.32万元，完成年初预算的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379.32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379.32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缴纳教职工‘基本养老保险’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缴纳教职工‘基本养老保险’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2080801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死亡抚恤</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其他社会保障和就业支出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379.32</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379.32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（四）</w:t>
      </w:r>
      <w:r>
        <w:rPr>
          <w:rFonts w:hint="eastAsia" w:ascii="仿宋" w:hAnsi="仿宋" w:eastAsia="仿宋"/>
          <w:sz w:val="32"/>
          <w:szCs w:val="32"/>
          <w:highlight w:val="none"/>
        </w:rPr>
        <w:t>卫生健康支出</w:t>
      </w:r>
      <w:r>
        <w:rPr>
          <w:rFonts w:ascii="仿宋" w:hAnsi="仿宋" w:eastAsia="仿宋"/>
          <w:sz w:val="32"/>
          <w:u w:color="auto"/>
        </w:rPr>
        <w:t>（210</w:t>
      </w:r>
      <w:r>
        <w:rPr>
          <w:rFonts w:hint="eastAsia" w:ascii="仿宋" w:hAnsi="仿宋" w:eastAsia="仿宋"/>
          <w:sz w:val="32"/>
          <w:szCs w:val="32"/>
          <w:highlight w:val="none"/>
        </w:rPr>
        <w:t>类）年初预算为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2101101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行政单位医疗</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2101102</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事业单位医疗</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2101103</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公务员医疗补助</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284980" cy="2863850"/>
            <wp:effectExtent l="4445" t="4445" r="15875" b="825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（五）</w:t>
      </w:r>
      <w:r>
        <w:rPr>
          <w:rFonts w:hint="eastAsia" w:ascii="仿宋" w:hAnsi="仿宋" w:eastAsia="仿宋"/>
          <w:sz w:val="32"/>
          <w:szCs w:val="32"/>
          <w:highlight w:val="none"/>
        </w:rPr>
        <w:t>农林水支出</w:t>
      </w:r>
      <w:r>
        <w:rPr>
          <w:rFonts w:ascii="仿宋" w:hAnsi="仿宋" w:eastAsia="仿宋"/>
          <w:sz w:val="32"/>
          <w:u w:color="auto"/>
        </w:rPr>
        <w:t>（213</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hint="eastAsia" w:ascii="仿宋" w:hAnsi="仿宋" w:eastAsia="仿宋"/>
          <w:sz w:val="32"/>
          <w:szCs w:val="32"/>
          <w:highlight w:val="none"/>
          <w:lang w:val="en-US" w:eastAsia="zh-CN"/>
        </w:rPr>
        <w:t>0.00</w:t>
      </w:r>
      <w:r>
        <w:rPr>
          <w:rFonts w:hint="eastAsia" w:ascii="仿宋" w:hAnsi="仿宋" w:eastAsia="仿宋"/>
          <w:sz w:val="32"/>
          <w:szCs w:val="32"/>
          <w:highlight w:val="none"/>
        </w:rPr>
        <w:t>万元</w:t>
      </w:r>
      <w:r>
        <w:rPr>
          <w:rFonts w:hint="eastAsia" w:ascii="仿宋" w:hAnsi="仿宋" w:eastAsia="仿宋"/>
          <w:sz w:val="32"/>
          <w:szCs w:val="32"/>
          <w:highlight w:val="none"/>
          <w:lang w:eastAsia="zh-CN"/>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3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3"/>
        <w:gridCol w:w="1051"/>
        <w:gridCol w:w="970"/>
        <w:gridCol w:w="786"/>
        <w:gridCol w:w="1071"/>
        <w:gridCol w:w="1742"/>
        <w:gridCol w:w="1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6" w:hRule="atLeast"/>
        </w:trPr>
        <w:tc>
          <w:tcPr>
            <w:tcW w:w="9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5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78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83" w:hRule="atLeast"/>
        </w:trPr>
        <w:tc>
          <w:tcPr>
            <w:tcW w:w="9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2130599</w:t>
            </w:r>
          </w:p>
        </w:tc>
        <w:tc>
          <w:tcPr>
            <w:tcW w:w="105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其他巩固脱贫衔接乡村振兴支出</w:t>
            </w: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78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10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9" w:hRule="atLeast"/>
        </w:trPr>
        <w:tc>
          <w:tcPr>
            <w:tcW w:w="93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5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70"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78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sz w:val="18"/>
                <w:szCs w:val="18"/>
                <w:highlight w:val="none"/>
                <w:u w:val="none"/>
                <w:lang w:val="en-US" w:eastAsia="zh-CN"/>
              </w:rPr>
              <w:t>0.00</w:t>
            </w:r>
          </w:p>
        </w:tc>
        <w:tc>
          <w:tcPr>
            <w:tcW w:w="1071"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42"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170045" cy="2493010"/>
            <wp:effectExtent l="4445" t="4445" r="16510" b="17145"/>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640" w:firstLineChars="200"/>
        <w:jc w:val="left"/>
        <w:rPr>
          <w:rFonts w:hint="eastAsia" w:eastAsia="仿宋"/>
          <w:color w:val="FF0000"/>
          <w:highlight w:val="none"/>
          <w:lang w:val="en-US" w:eastAsia="zh-CN"/>
        </w:rPr>
      </w:pPr>
      <w:r>
        <w:rPr>
          <w:rFonts w:hint="eastAsia" w:ascii="仿宋" w:hAnsi="仿宋" w:eastAsia="仿宋"/>
          <w:sz w:val="32"/>
          <w:szCs w:val="32"/>
          <w:highlight w:val="none"/>
          <w:lang w:eastAsia="zh-CN"/>
        </w:rPr>
        <w:t>（六）</w:t>
      </w: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类）年初预算为282.06万元，支出决算为282.06万元，完成年初预算的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color w:val="auto"/>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282.06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282.06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缴纳教职工‘住房公积金’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缴纳教职工‘住房公积金’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rPr>
              <w:t>282.06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rPr>
              <w:t>282.06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0"/>
        </w:numPr>
        <w:suppressLineNumbers w:val="0"/>
        <w:spacing w:before="0" w:beforeAutospacing="0" w:after="0" w:afterAutospacing="0"/>
        <w:ind w:left="0" w:leftChars="0" w:right="0" w:rightChars="0" w:firstLine="640" w:firstLineChars="200"/>
        <w:jc w:val="left"/>
        <w:rPr>
          <w:rFonts w:hint="eastAsia" w:eastAsia="仿宋"/>
          <w:color w:val="FF0000"/>
          <w:highlight w:val="none"/>
          <w:lang w:val="en-US" w:eastAsia="zh-CN"/>
        </w:rPr>
      </w:pPr>
      <w:r>
        <w:rPr>
          <w:rFonts w:hint="eastAsia" w:ascii="仿宋" w:hAnsi="仿宋" w:eastAsia="仿宋" w:cs="仿宋"/>
          <w:sz w:val="32"/>
          <w:szCs w:val="32"/>
          <w:highlight w:val="none"/>
          <w:lang w:eastAsia="zh-CN"/>
        </w:rPr>
        <w:t>（七）</w:t>
      </w:r>
      <w:r>
        <w:rPr>
          <w:rFonts w:hint="eastAsia" w:ascii="仿宋" w:hAnsi="仿宋" w:eastAsia="仿宋"/>
          <w:sz w:val="32"/>
          <w:szCs w:val="32"/>
          <w:highlight w:val="none"/>
          <w:lang w:eastAsia="zh-CN"/>
        </w:rPr>
        <w:t>其他</w:t>
      </w:r>
      <w:r>
        <w:rPr>
          <w:rFonts w:hint="eastAsia" w:ascii="仿宋" w:hAnsi="仿宋" w:eastAsia="仿宋"/>
          <w:sz w:val="32"/>
          <w:szCs w:val="32"/>
          <w:highlight w:val="none"/>
        </w:rPr>
        <w:t>支出</w:t>
      </w:r>
      <w:r>
        <w:rPr>
          <w:rFonts w:ascii="仿宋" w:hAnsi="仿宋" w:eastAsia="仿宋"/>
          <w:sz w:val="32"/>
          <w:u w:color="auto"/>
        </w:rPr>
        <w:t>（22</w:t>
      </w:r>
      <w:r>
        <w:rPr>
          <w:rFonts w:hint="eastAsia" w:ascii="仿宋" w:hAnsi="仿宋" w:eastAsia="仿宋"/>
          <w:sz w:val="32"/>
          <w:u w:color="auto"/>
          <w:lang w:val="en-US" w:eastAsia="zh-CN"/>
        </w:rPr>
        <w:t>9</w:t>
      </w:r>
      <w:r>
        <w:rPr>
          <w:rFonts w:hint="eastAsia" w:ascii="仿宋" w:hAnsi="仿宋" w:eastAsia="仿宋"/>
          <w:sz w:val="32"/>
          <w:szCs w:val="32"/>
          <w:highlight w:val="none"/>
        </w:rPr>
        <w:t>类）年初预算为597.99万元，支出决算为597.99万元，完成年初预算的</w:t>
      </w:r>
      <w:r>
        <w:rPr>
          <w:rFonts w:hint="eastAsia" w:ascii="仿宋" w:hAnsi="仿宋" w:eastAsia="仿宋"/>
          <w:sz w:val="32"/>
          <w:szCs w:val="32"/>
          <w:highlight w:val="none"/>
          <w:lang w:val="en-US" w:eastAsia="zh-CN"/>
        </w:rPr>
        <w:t>100</w:t>
      </w:r>
      <w:r>
        <w:rPr>
          <w:rFonts w:ascii="仿宋" w:hAnsi="仿宋" w:eastAsia="仿宋"/>
          <w:sz w:val="32"/>
          <w:szCs w:val="32"/>
          <w:highlight w:val="none"/>
        </w:rPr>
        <w:t>%</w:t>
      </w:r>
      <w:r>
        <w:rPr>
          <w:rFonts w:hint="eastAsia" w:ascii="仿宋" w:hAnsi="仿宋" w:eastAsia="仿宋"/>
          <w:sz w:val="32"/>
          <w:szCs w:val="32"/>
          <w:highlight w:val="none"/>
        </w:rPr>
        <w:t>。</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597.99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597.99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其他教学活动支出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其他教学活动支出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sz w:val="18"/>
                <w:szCs w:val="18"/>
                <w:highlight w:val="none"/>
                <w:u w:val="none"/>
                <w:lang w:val="en-US" w:eastAsia="zh-CN"/>
              </w:rPr>
            </w:pPr>
            <w:r>
              <w:rPr>
                <w:rFonts w:hint="eastAsia" w:ascii="宋体" w:hAnsi="宋体" w:eastAsia="宋体" w:cs="宋体"/>
                <w:b/>
                <w:bCs/>
                <w:i w:val="0"/>
                <w:iCs w:val="0"/>
                <w:color w:val="auto"/>
                <w:sz w:val="18"/>
                <w:szCs w:val="18"/>
                <w:highlight w:val="none"/>
                <w:u w:val="none"/>
                <w:lang w:val="en-US" w:eastAsia="zh-CN"/>
              </w:rPr>
              <w:t>597.99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b/>
                <w:bCs/>
                <w:i w:val="0"/>
                <w:iCs w:val="0"/>
                <w:color w:val="000000"/>
                <w:kern w:val="2"/>
                <w:sz w:val="18"/>
                <w:szCs w:val="18"/>
                <w:highlight w:val="none"/>
                <w:u w:val="none"/>
                <w:lang w:val="en-US" w:eastAsia="zh-CN" w:bidi="ar-SA"/>
              </w:rPr>
            </w:pPr>
            <w:r>
              <w:rPr>
                <w:rFonts w:hint="eastAsia" w:ascii="宋体" w:hAnsi="宋体" w:eastAsia="宋体" w:cs="宋体"/>
                <w:b/>
                <w:bCs/>
                <w:i w:val="0"/>
                <w:iCs w:val="0"/>
                <w:color w:val="auto"/>
                <w:sz w:val="18"/>
                <w:szCs w:val="18"/>
                <w:highlight w:val="none"/>
                <w:u w:val="none"/>
                <w:lang w:val="en-US" w:eastAsia="zh-CN"/>
              </w:rPr>
              <w:t>597.99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left"/>
        <w:rPr>
          <w:rFonts w:hint="eastAsia" w:ascii="仿宋" w:hAnsi="仿宋" w:eastAsia="仿宋"/>
          <w:sz w:val="32"/>
          <w:szCs w:val="32"/>
          <w:highlight w:val="none"/>
          <w:lang w:eastAsia="zh-CN"/>
        </w:rPr>
      </w:pPr>
      <w:r>
        <w:rPr>
          <w:rFonts w:hint="eastAsia" w:ascii="仿宋" w:hAnsi="仿宋" w:eastAsia="仿宋" w:cs="仿宋"/>
          <w:sz w:val="32"/>
          <w:szCs w:val="32"/>
          <w:highlight w:val="none"/>
          <w:lang w:val="en-US" w:eastAsia="zh-CN"/>
        </w:rPr>
        <w:t xml:space="preserve">    </w:t>
      </w:r>
      <w:r>
        <w:rPr>
          <w:rFonts w:hint="eastAsia" w:ascii="仿宋" w:hAnsi="仿宋" w:eastAsia="仿宋" w:cs="仿宋"/>
          <w:sz w:val="32"/>
          <w:szCs w:val="32"/>
          <w:highlight w:val="none"/>
        </w:rPr>
        <w:drawing>
          <wp:inline distT="0" distB="0" distL="114300" distR="114300">
            <wp:extent cx="4474845" cy="3215640"/>
            <wp:effectExtent l="4445" t="4445" r="16510" b="18415"/>
            <wp:docPr id="1"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lang w:eastAsia="zh-CN"/>
        </w:rPr>
        <w:t>环江毛南族自治县高级中学</w:t>
      </w:r>
      <w:r>
        <w:rPr>
          <w:rFonts w:hint="eastAsia" w:ascii="仿宋" w:hAnsi="仿宋" w:eastAsia="仿宋" w:cs="仿宋"/>
          <w:sz w:val="32"/>
          <w:szCs w:val="32"/>
          <w:highlight w:val="none"/>
        </w:rPr>
        <w:t>2022年度一般公共预算财政拨款基本支出</w:t>
      </w:r>
      <w:r>
        <w:rPr>
          <w:rFonts w:hint="eastAsia" w:ascii="仿宋" w:hAnsi="仿宋" w:eastAsia="仿宋" w:cs="仿宋"/>
          <w:sz w:val="32"/>
          <w:u w:color="auto"/>
          <w:lang w:val="en-US" w:eastAsia="zh-CN"/>
        </w:rPr>
        <w:t>3789.93</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3738.62</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51.31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工资福利支出</w:t>
      </w:r>
      <w:r>
        <w:rPr>
          <w:rFonts w:hint="eastAsia" w:ascii="仿宋" w:hAnsi="仿宋" w:eastAsia="仿宋" w:cs="仿宋"/>
          <w:sz w:val="32"/>
          <w:u w:color="auto"/>
        </w:rPr>
        <w:t>3663.87</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1393.92万元，30102津贴补贴99.11万元，30103奖金630.75万元，30106伙食补助费53.03万元，30107绩效工资602.08万元，30108机关事业单位基本养老保险缴费379.32万元，30110职工基本医疗保险缴费178.81万元，30111公务员医疗补助缴费0万元，30112其他社会保障缴费21.34万元，30113住房公积金282.06万元，30199其他工资福利支出23.45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商品和服务支出</w:t>
      </w:r>
      <w:r>
        <w:rPr>
          <w:rFonts w:hint="eastAsia" w:ascii="仿宋" w:hAnsi="仿宋" w:eastAsia="仿宋" w:cs="仿宋"/>
          <w:sz w:val="32"/>
          <w:u w:color="auto"/>
        </w:rPr>
        <w:t>51.31</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30201办公费0万元，30207邮电费0万元，30211差旅费0万元，30215会议费0万元，30216培训费0万元，30226劳务费0万元，30228工会经费</w:t>
      </w:r>
      <w:r>
        <w:rPr>
          <w:rFonts w:hint="eastAsia" w:ascii="仿宋" w:hAnsi="仿宋" w:eastAsia="仿宋" w:cs="仿宋"/>
          <w:sz w:val="32"/>
          <w:u w:color="auto"/>
        </w:rPr>
        <w:t>51.31</w:t>
      </w:r>
      <w:r>
        <w:rPr>
          <w:rFonts w:hint="eastAsia" w:ascii="仿宋" w:hAnsi="仿宋" w:eastAsia="仿宋" w:cs="仿宋"/>
          <w:sz w:val="32"/>
          <w:szCs w:val="32"/>
          <w:highlight w:val="none"/>
          <w:lang w:val="en-US" w:eastAsia="zh-CN"/>
        </w:rPr>
        <w:t>万元，30299其他商品和服务支出0万元。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2921000"/>
            <wp:effectExtent l="4445" t="4445" r="16510" b="825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对个人和家庭的补助</w:t>
      </w:r>
      <w:r>
        <w:rPr>
          <w:rFonts w:hint="eastAsia" w:ascii="仿宋" w:hAnsi="仿宋" w:eastAsia="仿宋" w:cs="仿宋"/>
          <w:sz w:val="32"/>
          <w:u w:color="auto"/>
        </w:rPr>
        <w:t>74.74</w:t>
      </w:r>
      <w:r>
        <w:rPr>
          <w:rFonts w:ascii="仿宋" w:hAnsi="仿宋" w:eastAsia="仿宋" w:cs="仿宋"/>
          <w:sz w:val="32"/>
          <w:u w:color="auto"/>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lang w:val="en-US" w:eastAsia="zh-CN"/>
        </w:rPr>
        <w:t>100.00</w:t>
      </w:r>
      <w:r>
        <w:rPr>
          <w:rFonts w:hint="eastAsia" w:ascii="仿宋" w:hAnsi="仿宋" w:eastAsia="仿宋" w:cs="仿宋"/>
          <w:sz w:val="32"/>
          <w:szCs w:val="32"/>
          <w:highlight w:val="none"/>
        </w:rPr>
        <w:t>%</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30301离休费0万元，30302退休费0万元，30304抚恤金13.36万元，30305生活补助59.39万元，30308助学金1.85万元，30399其他对个人和家庭的补助0.15万元。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0万元</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0万元</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3"/>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0万元</w:t>
      </w:r>
      <w:r>
        <w:rPr>
          <w:rFonts w:hint="eastAsia" w:ascii="仿宋" w:hAnsi="仿宋" w:eastAsia="仿宋" w:cs="仿宋"/>
          <w:sz w:val="32"/>
          <w:u w:color="auto"/>
          <w:lang w:eastAsia="zh-CN"/>
        </w:rPr>
        <w:t>。</w:t>
      </w:r>
      <w:r>
        <w:rPr>
          <w:rFonts w:hint="eastAsia" w:ascii="仿宋" w:hAnsi="仿宋" w:eastAsia="仿宋" w:cs="仿宋"/>
          <w:sz w:val="32"/>
          <w:u w:color="auto"/>
          <w:lang w:val="en-US" w:eastAsia="zh-CN"/>
        </w:rPr>
        <w:t>主要原因是：无。</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本部门</w:t>
      </w:r>
      <w:r>
        <w:rPr>
          <w:rFonts w:hint="eastAsia" w:ascii="仿宋" w:hAnsi="仿宋" w:eastAsia="仿宋" w:cs="仿宋"/>
          <w:sz w:val="32"/>
          <w:szCs w:val="32"/>
          <w:highlight w:val="none"/>
          <w:lang w:val="en-US" w:eastAsia="zh-CN"/>
        </w:rPr>
        <w:t>2022年度无政府性基金支出。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lang w:eastAsia="zh-CN"/>
        </w:rPr>
        <w:t>本部门</w:t>
      </w:r>
      <w:r>
        <w:rPr>
          <w:rFonts w:hint="eastAsia" w:ascii="仿宋" w:hAnsi="仿宋" w:eastAsia="仿宋" w:cs="仿宋"/>
          <w:sz w:val="32"/>
          <w:szCs w:val="32"/>
          <w:highlight w:val="none"/>
          <w:lang w:val="en-US" w:eastAsia="zh-CN"/>
        </w:rPr>
        <w:t>2022年度无国有资本经营预算支出。</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六、一般公共预算财政拨款安排的“三公”经费支出决算情况说明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0.90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无。</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万元，公务接待费支出决算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hint="eastAsia" w:ascii="仿宋" w:hAnsi="仿宋" w:eastAsia="仿宋_GB2312" w:cs="仿宋"/>
          <w:sz w:val="32"/>
          <w:szCs w:val="32"/>
          <w:highlight w:val="none"/>
          <w:lang w:eastAsia="zh-CN"/>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原因是：本单位无因公出国（境）相关工作安排。</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0.00</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bookmarkStart w:id="4" w:name="PO_part3A6B2IncReason1"/>
      <w:r>
        <w:rPr>
          <w:rFonts w:hint="eastAsia" w:ascii="仿宋" w:hAnsi="仿宋" w:eastAsia="仿宋" w:cs="仿宋"/>
          <w:color w:val="000000" w:themeColor="text1"/>
          <w:sz w:val="32"/>
          <w:szCs w:val="32"/>
          <w14:textFill>
            <w14:solidFill>
              <w14:schemeClr w14:val="tx1"/>
            </w14:solidFill>
          </w14:textFill>
        </w:rPr>
        <w:t>本部门无公务用车购置</w:t>
      </w:r>
      <w:bookmarkEnd w:id="4"/>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000000" w:themeColor="text1"/>
          <w:sz w:val="32"/>
          <w:szCs w:val="32"/>
          <w14:textFill>
            <w14:solidFill>
              <w14:schemeClr w14:val="tx1"/>
            </w14:solidFill>
          </w14:textFill>
        </w:rPr>
        <w:t>本部门无公务用车购置。</w:t>
      </w:r>
      <w:r>
        <w:rPr>
          <w:rFonts w:hint="eastAsia" w:ascii="仿宋" w:hAnsi="仿宋" w:eastAsia="仿宋" w:cs="仿宋"/>
          <w:sz w:val="32"/>
          <w:szCs w:val="32"/>
          <w:highlight w:val="none"/>
        </w:rPr>
        <w:t>2022年，</w:t>
      </w:r>
      <w:r>
        <w:rPr>
          <w:rFonts w:hint="eastAsia" w:ascii="仿宋" w:hAnsi="仿宋" w:eastAsia="仿宋" w:cs="仿宋"/>
          <w:sz w:val="32"/>
          <w:szCs w:val="32"/>
          <w:highlight w:val="none"/>
          <w:lang w:val="en-US" w:eastAsia="zh-CN"/>
        </w:rPr>
        <w:t>本部门</w:t>
      </w:r>
      <w:r>
        <w:rPr>
          <w:rFonts w:hint="eastAsia" w:ascii="仿宋" w:hAnsi="仿宋" w:eastAsia="仿宋" w:cs="仿宋"/>
          <w:sz w:val="32"/>
          <w:szCs w:val="32"/>
          <w:highlight w:val="none"/>
        </w:rPr>
        <w:t>开支财政拨款的公务用车保有量为</w:t>
      </w:r>
      <w:r>
        <w:rPr>
          <w:rFonts w:ascii="仿宋" w:hAnsi="仿宋" w:eastAsia="仿宋" w:cs="仿宋"/>
          <w:sz w:val="32"/>
          <w:u w:color="auto"/>
        </w:rPr>
        <w:t>0</w:t>
      </w:r>
      <w:r>
        <w:rPr>
          <w:rFonts w:hint="eastAsia" w:ascii="仿宋" w:hAnsi="仿宋" w:eastAsia="仿宋" w:cs="仿宋"/>
          <w:sz w:val="32"/>
          <w:szCs w:val="32"/>
          <w:highlight w:val="none"/>
        </w:rPr>
        <w:t>辆，全年运行费支出</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color w:val="000000" w:themeColor="text1"/>
          <w:sz w:val="32"/>
          <w:szCs w:val="32"/>
          <w:highlight w:val="none"/>
          <w14:textFill>
            <w14:solidFill>
              <w14:schemeClr w14:val="tx1"/>
            </w14:solidFill>
          </w14:textFill>
        </w:rPr>
        <w:t>平均每辆</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color w:val="000000" w:themeColor="text1"/>
          <w:sz w:val="32"/>
          <w:szCs w:val="32"/>
          <w:highlight w:val="none"/>
          <w14:textFill>
            <w14:solidFill>
              <w14:schemeClr w14:val="tx1"/>
            </w14:solidFill>
          </w14:textFill>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三）</w:t>
      </w:r>
      <w:r>
        <w:rPr>
          <w:rFonts w:hint="eastAsia" w:ascii="仿宋" w:hAnsi="仿宋" w:eastAsia="仿宋" w:cs="仿宋"/>
          <w:sz w:val="32"/>
          <w:szCs w:val="32"/>
          <w:highlight w:val="none"/>
        </w:rPr>
        <w:t>公务接待费支出</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100%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主要原因是：公务接待人次与上年持平。</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hint="eastAsia" w:ascii="仿宋" w:hAnsi="仿宋" w:eastAsia="仿宋" w:cs="仿宋"/>
          <w:color w:val="000000" w:themeColor="text1"/>
          <w:sz w:val="32"/>
          <w:szCs w:val="32"/>
          <w:highlight w:val="none"/>
          <w:lang w:val="en-US" w:eastAsia="zh-CN"/>
          <w14:textFill>
            <w14:solidFill>
              <w14:schemeClr w14:val="tx1"/>
            </w14:solidFill>
          </w14:textFill>
        </w:rPr>
        <w:t>0</w:t>
      </w:r>
      <w:r>
        <w:rPr>
          <w:rFonts w:hint="eastAsia" w:ascii="仿宋" w:hAnsi="仿宋" w:eastAsia="仿宋" w:cs="仿宋"/>
          <w:sz w:val="32"/>
          <w:szCs w:val="32"/>
          <w:highlight w:val="none"/>
        </w:rPr>
        <w:t>次，人次</w:t>
      </w:r>
      <w:r>
        <w:rPr>
          <w:rFonts w:hint="eastAsia" w:ascii="仿宋" w:hAnsi="仿宋" w:eastAsia="仿宋" w:cs="仿宋"/>
          <w:sz w:val="32"/>
          <w:szCs w:val="32"/>
          <w:highlight w:val="none"/>
          <w:lang w:val="en-US" w:eastAsia="zh-CN"/>
        </w:rPr>
        <w:t>0</w:t>
      </w:r>
      <w:r>
        <w:rPr>
          <w:rFonts w:hint="eastAsia" w:ascii="仿宋" w:hAnsi="仿宋" w:eastAsia="仿宋" w:cs="仿宋"/>
          <w:sz w:val="32"/>
          <w:szCs w:val="32"/>
          <w:highlight w:val="none"/>
        </w:rPr>
        <w:t>次。</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本部门无机关运行经费支出。</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本部门2022年度政府采购支出总额187</w:t>
      </w:r>
      <w:r>
        <w:rPr>
          <w:rFonts w:hint="eastAsia" w:ascii="仿宋" w:hAnsi="仿宋" w:eastAsia="仿宋" w:cs="仿宋"/>
          <w:sz w:val="32"/>
          <w:szCs w:val="32"/>
          <w:highlight w:val="none"/>
          <w:lang w:val="en-US" w:eastAsia="zh-CN"/>
        </w:rPr>
        <w:t>.</w:t>
      </w:r>
      <w:r>
        <w:rPr>
          <w:rFonts w:hint="eastAsia" w:ascii="仿宋" w:hAnsi="仿宋" w:eastAsia="仿宋" w:cs="仿宋"/>
          <w:sz w:val="32"/>
          <w:szCs w:val="32"/>
          <w:highlight w:val="none"/>
        </w:rPr>
        <w:t>25万元，其中：政府采购货物支出</w:t>
      </w:r>
      <w:r>
        <w:rPr>
          <w:rFonts w:hint="eastAsia" w:ascii="仿宋" w:hAnsi="仿宋" w:eastAsia="仿宋" w:cs="仿宋"/>
          <w:sz w:val="32"/>
          <w:szCs w:val="32"/>
          <w:highlight w:val="none"/>
          <w:lang w:val="en-US" w:eastAsia="zh-CN"/>
        </w:rPr>
        <w:t>139.75</w:t>
      </w:r>
      <w:r>
        <w:rPr>
          <w:rFonts w:hint="eastAsia" w:ascii="仿宋" w:hAnsi="仿宋" w:eastAsia="仿宋" w:cs="仿宋"/>
          <w:sz w:val="32"/>
          <w:szCs w:val="32"/>
          <w:highlight w:val="none"/>
        </w:rPr>
        <w:t>万元、政府采购工程支出</w:t>
      </w:r>
      <w:r>
        <w:rPr>
          <w:rFonts w:hint="eastAsia" w:ascii="仿宋" w:hAnsi="仿宋" w:eastAsia="仿宋" w:cs="仿宋"/>
          <w:sz w:val="32"/>
          <w:szCs w:val="32"/>
          <w:highlight w:val="none"/>
          <w:lang w:val="en-US" w:eastAsia="zh-CN"/>
        </w:rPr>
        <w:t>45.00</w:t>
      </w:r>
      <w:r>
        <w:rPr>
          <w:rFonts w:hint="eastAsia" w:ascii="仿宋" w:hAnsi="仿宋" w:eastAsia="仿宋" w:cs="仿宋"/>
          <w:sz w:val="32"/>
          <w:szCs w:val="32"/>
          <w:highlight w:val="none"/>
        </w:rPr>
        <w:t>万元、政府采购服务支出</w:t>
      </w:r>
      <w:r>
        <w:rPr>
          <w:rFonts w:hint="eastAsia" w:ascii="仿宋" w:hAnsi="仿宋" w:eastAsia="仿宋" w:cs="仿宋"/>
          <w:sz w:val="32"/>
          <w:szCs w:val="32"/>
          <w:highlight w:val="none"/>
          <w:lang w:val="en-US" w:eastAsia="zh-CN"/>
        </w:rPr>
        <w:t>2.5</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0.00%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hint="eastAsia" w:ascii="仿宋" w:hAnsi="仿宋" w:eastAsia="仿宋" w:cs="仿宋"/>
          <w:sz w:val="32"/>
          <w:szCs w:val="32"/>
          <w:highlight w:val="none"/>
          <w:lang w:val="en-US" w:eastAsia="zh-CN"/>
        </w:rPr>
        <w:t>2</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default"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16</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6</w:t>
      </w:r>
      <w:r>
        <w:rPr>
          <w:rFonts w:hint="eastAsia" w:ascii="仿宋" w:hAnsi="仿宋" w:eastAsia="仿宋" w:cs="仿宋"/>
          <w:color w:val="000000" w:themeColor="text1"/>
          <w:sz w:val="32"/>
          <w:szCs w:val="32"/>
          <w14:textFill>
            <w14:solidFill>
              <w14:schemeClr w14:val="tx1"/>
            </w14:solidFill>
          </w14:textFill>
        </w:rPr>
        <w:t>个，</w:t>
      </w:r>
      <w:r>
        <w:rPr>
          <w:rFonts w:hint="eastAsia" w:ascii="仿宋" w:hAnsi="仿宋" w:eastAsia="仿宋" w:cs="仿宋"/>
          <w:color w:val="000000" w:themeColor="text1"/>
          <w:sz w:val="32"/>
          <w:szCs w:val="32"/>
          <w:lang w:eastAsia="zh-CN"/>
          <w14:textFill>
            <w14:solidFill>
              <w14:schemeClr w14:val="tx1"/>
            </w14:solidFill>
          </w14:textFill>
        </w:rPr>
        <w:t>三等项目</w:t>
      </w:r>
      <w:r>
        <w:rPr>
          <w:rFonts w:hint="eastAsia" w:ascii="仿宋" w:hAnsi="仿宋" w:eastAsia="仿宋" w:cs="仿宋"/>
          <w:color w:val="000000" w:themeColor="text1"/>
          <w:sz w:val="32"/>
          <w:szCs w:val="32"/>
          <w:lang w:val="en-US" w:eastAsia="zh-CN"/>
          <w14:textFill>
            <w14:solidFill>
              <w14:schemeClr w14:val="tx1"/>
            </w14:solidFill>
          </w14:textFill>
        </w:rPr>
        <w:t>1个，</w:t>
      </w:r>
      <w:r>
        <w:rPr>
          <w:rFonts w:hint="eastAsia" w:ascii="仿宋" w:hAnsi="仿宋" w:eastAsia="仿宋" w:cs="仿宋"/>
          <w:color w:val="000000" w:themeColor="text1"/>
          <w:sz w:val="32"/>
          <w:szCs w:val="32"/>
          <w14:textFill>
            <w14:solidFill>
              <w14:schemeClr w14:val="tx1"/>
            </w14:solidFill>
          </w14:textFill>
        </w:rPr>
        <w:t>共涉及资金</w:t>
      </w:r>
      <w:r>
        <w:rPr>
          <w:rFonts w:hint="eastAsia" w:ascii="仿宋" w:hAnsi="仿宋" w:eastAsia="仿宋" w:cs="仿宋"/>
          <w:color w:val="000000" w:themeColor="text1"/>
          <w:sz w:val="32"/>
          <w:szCs w:val="32"/>
          <w:lang w:val="en-US" w:eastAsia="zh-CN"/>
          <w14:textFill>
            <w14:solidFill>
              <w14:schemeClr w14:val="tx1"/>
            </w14:solidFill>
          </w14:textFill>
        </w:rPr>
        <w:t>1740.02</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91.69</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个政府性基金预算项目支出开展绩效自评，共涉及资金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万元，占政府性基金预算项目支出总额的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个国有资本经营预算项目支出开展绩效自评，共涉及资金</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万元，占国有资本经营预算项目支出总额的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w:t>
      </w:r>
      <w:r>
        <w:rPr>
          <w:rFonts w:hint="eastAsia" w:ascii="仿宋" w:hAnsi="仿宋" w:eastAsia="仿宋" w:cs="仿宋"/>
          <w:color w:val="000000" w:themeColor="text1"/>
          <w:sz w:val="32"/>
          <w:szCs w:val="32"/>
          <w:lang w:eastAsia="zh-CN"/>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2022年度3个其他资金项目支出开展绩效自评，共涉及资金270.33万元，占其他资金项目支出总额的100%。</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color w:val="000000" w:themeColor="text1"/>
          <w:sz w:val="32"/>
          <w:szCs w:val="32"/>
          <w14:textFill>
            <w14:solidFill>
              <w14:schemeClr w14:val="tx1"/>
            </w14:solidFill>
          </w14:textFill>
        </w:rPr>
        <w:t>组织对“政府特殊津贴经费”项目进行了部门评价，涉及一般公共预算支出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98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，该项目年度支出执行率为</w:t>
      </w:r>
      <w:r>
        <w:rPr>
          <w:rFonts w:hint="eastAsia" w:ascii="仿宋" w:hAnsi="仿宋" w:eastAsia="仿宋" w:cs="仿宋"/>
          <w:color w:val="000000" w:themeColor="text1"/>
          <w:sz w:val="32"/>
          <w:szCs w:val="32"/>
          <w:lang w:val="en-US" w:eastAsia="zh-CN"/>
          <w14:textFill>
            <w14:solidFill>
              <w14:schemeClr w14:val="tx1"/>
            </w14:solidFill>
          </w14:textFill>
        </w:rPr>
        <w:t>100%，状况优等。</w:t>
      </w:r>
    </w:p>
    <w:p>
      <w:pPr>
        <w:ind w:firstLine="640" w:firstLineChars="200"/>
        <w:jc w:val="left"/>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val="en-US" w:eastAsia="zh-CN"/>
          <w14:textFill>
            <w14:solidFill>
              <w14:schemeClr w14:val="tx1"/>
            </w14:solidFill>
          </w14:textFill>
        </w:rPr>
        <w:t>1</w:t>
      </w:r>
      <w:r>
        <w:rPr>
          <w:rFonts w:hint="eastAsia" w:ascii="仿宋" w:hAnsi="仿宋" w:eastAsia="仿宋" w:cs="仿宋"/>
          <w:color w:val="000000" w:themeColor="text1"/>
          <w:sz w:val="32"/>
          <w:szCs w:val="32"/>
          <w14:textFill>
            <w14:solidFill>
              <w14:schemeClr w14:val="tx1"/>
            </w14:solidFill>
          </w14:textFill>
        </w:rPr>
        <w:t>个部门开展整体支出绩效评价试点，涉及一般公共预算支出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98</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万元。从评价情况来看，</w:t>
      </w:r>
      <w:r>
        <w:rPr>
          <w:rFonts w:hint="eastAsia" w:ascii="仿宋" w:hAnsi="仿宋" w:eastAsia="仿宋" w:cs="仿宋"/>
          <w:color w:val="000000" w:themeColor="text1"/>
          <w:sz w:val="32"/>
          <w:szCs w:val="32"/>
          <w:lang w:eastAsia="zh-CN"/>
          <w14:textFill>
            <w14:solidFill>
              <w14:schemeClr w14:val="tx1"/>
            </w14:solidFill>
          </w14:textFill>
        </w:rPr>
        <w:t>该项目年度支出执行率</w:t>
      </w:r>
      <w:r>
        <w:rPr>
          <w:rFonts w:hint="eastAsia" w:ascii="仿宋" w:hAnsi="仿宋" w:eastAsia="仿宋" w:cs="仿宋"/>
          <w:color w:val="000000" w:themeColor="text1"/>
          <w:sz w:val="32"/>
          <w:szCs w:val="32"/>
          <w:lang w:val="en-US" w:eastAsia="zh-CN"/>
          <w14:textFill>
            <w14:solidFill>
              <w14:schemeClr w14:val="tx1"/>
            </w14:solidFill>
          </w14:textFill>
        </w:rPr>
        <w:t>100%，状况优等。</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14:textFill>
            <w14:solidFill>
              <w14:schemeClr w14:val="tx1"/>
            </w14:solidFill>
          </w14:textFill>
        </w:rPr>
        <w:t>我部门根据年初设定的绩效目标，政府特殊津贴经费项目自评得分为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r>
        <w:rPr>
          <w:rFonts w:hint="eastAsia" w:ascii="仿宋" w:hAnsi="仿宋" w:eastAsia="仿宋" w:cs="仿宋"/>
          <w:color w:val="000000" w:themeColor="text1"/>
          <w:sz w:val="32"/>
          <w:szCs w:val="32"/>
          <w:lang w:eastAsia="zh-CN"/>
          <w14:textFill>
            <w14:solidFill>
              <w14:schemeClr w14:val="tx1"/>
            </w14:solidFill>
          </w14:textFill>
        </w:rPr>
        <w:t>，没有发现主要问题。</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hint="eastAsia" w:ascii="仿宋" w:hAnsi="仿宋" w:eastAsia="仿宋" w:cs="仿宋"/>
          <w:sz w:val="32"/>
          <w:u w:color="auto"/>
          <w:lang w:val="en-US" w:eastAsia="zh-CN"/>
        </w:rPr>
        <w:t>环江县</w:t>
      </w:r>
      <w:r>
        <w:rPr>
          <w:rFonts w:ascii="仿宋" w:hAnsi="仿宋" w:eastAsia="仿宋" w:cs="仿宋"/>
          <w:sz w:val="32"/>
          <w:u w:color="auto"/>
        </w:rPr>
        <w:t>财政部门当年拨付的资金。</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二、事业收入：指事业单位开展专业业务活动及辅助活动所取得的收入。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hint="eastAsia" w:ascii="仿宋" w:hAnsi="仿宋" w:eastAsia="仿宋" w:cs="仿宋"/>
          <w:sz w:val="32"/>
          <w:u w:color="auto"/>
          <w:lang w:val="en-US" w:eastAsia="zh-CN"/>
        </w:rPr>
        <w:t>环江县</w:t>
      </w:r>
      <w:r>
        <w:rPr>
          <w:rFonts w:ascii="仿宋" w:hAnsi="仿宋" w:eastAsia="仿宋" w:cs="仿宋"/>
          <w:sz w:val="32"/>
          <w:u w:color="auto"/>
        </w:rPr>
        <w:t>财政预决算管理的“三公”经费，是指</w:t>
      </w:r>
      <w:r>
        <w:rPr>
          <w:rFonts w:hint="eastAsia" w:ascii="仿宋" w:hAnsi="仿宋" w:eastAsia="仿宋" w:cs="仿宋"/>
          <w:sz w:val="32"/>
          <w:u w:color="auto"/>
          <w:lang w:val="en-US" w:eastAsia="zh-CN"/>
        </w:rPr>
        <w:t>环江县</w:t>
      </w:r>
      <w:bookmarkStart w:id="5" w:name="_GoBack"/>
      <w:bookmarkEnd w:id="5"/>
      <w:r>
        <w:rPr>
          <w:rFonts w:ascii="仿宋" w:hAnsi="仿宋" w:eastAsia="仿宋" w:cs="仿宋"/>
          <w:sz w:val="32"/>
          <w:u w:color="auto"/>
        </w:rPr>
        <w:t>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E4A5EE"/>
    <w:multiLevelType w:val="singleLevel"/>
    <w:tmpl w:val="98E4A5EE"/>
    <w:lvl w:ilvl="0" w:tentative="0">
      <w:start w:val="8"/>
      <w:numFmt w:val="decimal"/>
      <w:suff w:val="nothing"/>
      <w:lvlText w:val="%1、"/>
      <w:lvlJc w:val="left"/>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4FC40E38"/>
    <w:multiLevelType w:val="singleLevel"/>
    <w:tmpl w:val="4FC40E38"/>
    <w:lvl w:ilvl="0" w:tentative="0">
      <w:start w:val="1"/>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I2ODUyNWQwZWZkMmJiN2FkODg3MWI5NzhmYTA3MGY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0770D"/>
    <w:rsid w:val="00EB7822"/>
    <w:rsid w:val="00EC50A9"/>
    <w:rsid w:val="00ED04DB"/>
    <w:rsid w:val="00F21455"/>
    <w:rsid w:val="00F5354B"/>
    <w:rsid w:val="00F95135"/>
    <w:rsid w:val="00F9658C"/>
    <w:rsid w:val="00F978FD"/>
    <w:rsid w:val="00FA738E"/>
    <w:rsid w:val="00FC438B"/>
    <w:rsid w:val="01234E98"/>
    <w:rsid w:val="015F1951"/>
    <w:rsid w:val="020C171D"/>
    <w:rsid w:val="0216715F"/>
    <w:rsid w:val="02BC2FB5"/>
    <w:rsid w:val="02E0291A"/>
    <w:rsid w:val="034877EC"/>
    <w:rsid w:val="035E0DBD"/>
    <w:rsid w:val="04E54546"/>
    <w:rsid w:val="05992762"/>
    <w:rsid w:val="07B0770E"/>
    <w:rsid w:val="0942143F"/>
    <w:rsid w:val="094277BC"/>
    <w:rsid w:val="0B14282C"/>
    <w:rsid w:val="0CC83E60"/>
    <w:rsid w:val="0D100297"/>
    <w:rsid w:val="0D202B45"/>
    <w:rsid w:val="0F6F2778"/>
    <w:rsid w:val="0F8D4C87"/>
    <w:rsid w:val="10505FAA"/>
    <w:rsid w:val="105F7E7E"/>
    <w:rsid w:val="10E406A4"/>
    <w:rsid w:val="11E56B5B"/>
    <w:rsid w:val="125C77AB"/>
    <w:rsid w:val="14100781"/>
    <w:rsid w:val="14CB726E"/>
    <w:rsid w:val="14F926F4"/>
    <w:rsid w:val="15D24AB9"/>
    <w:rsid w:val="164A7C92"/>
    <w:rsid w:val="16DA7D88"/>
    <w:rsid w:val="17E92249"/>
    <w:rsid w:val="18D304F1"/>
    <w:rsid w:val="190D1995"/>
    <w:rsid w:val="192D0BBE"/>
    <w:rsid w:val="19971B35"/>
    <w:rsid w:val="19F32577"/>
    <w:rsid w:val="19F45B80"/>
    <w:rsid w:val="1B0C078D"/>
    <w:rsid w:val="1B2B31E2"/>
    <w:rsid w:val="1B4C295A"/>
    <w:rsid w:val="1B973C63"/>
    <w:rsid w:val="1BA1001E"/>
    <w:rsid w:val="1D317259"/>
    <w:rsid w:val="1E664F5B"/>
    <w:rsid w:val="1EB34BE1"/>
    <w:rsid w:val="215E639F"/>
    <w:rsid w:val="21EC3183"/>
    <w:rsid w:val="225E72CD"/>
    <w:rsid w:val="229C21D2"/>
    <w:rsid w:val="246E2F77"/>
    <w:rsid w:val="254B4E2B"/>
    <w:rsid w:val="25834F5D"/>
    <w:rsid w:val="25A12397"/>
    <w:rsid w:val="266365E6"/>
    <w:rsid w:val="2830587D"/>
    <w:rsid w:val="28371C82"/>
    <w:rsid w:val="283D7C94"/>
    <w:rsid w:val="29480E03"/>
    <w:rsid w:val="2983634D"/>
    <w:rsid w:val="29FA2D3E"/>
    <w:rsid w:val="2AD96DF8"/>
    <w:rsid w:val="2B18764C"/>
    <w:rsid w:val="2BB02055"/>
    <w:rsid w:val="2C575A56"/>
    <w:rsid w:val="2D0C1766"/>
    <w:rsid w:val="2F257714"/>
    <w:rsid w:val="2F3275E5"/>
    <w:rsid w:val="2F4033C5"/>
    <w:rsid w:val="30AA08EF"/>
    <w:rsid w:val="30D23D1C"/>
    <w:rsid w:val="31221CF5"/>
    <w:rsid w:val="31400178"/>
    <w:rsid w:val="321E3342"/>
    <w:rsid w:val="327759C8"/>
    <w:rsid w:val="32CD6714"/>
    <w:rsid w:val="33032764"/>
    <w:rsid w:val="33185FE3"/>
    <w:rsid w:val="337E44BE"/>
    <w:rsid w:val="34EE2E36"/>
    <w:rsid w:val="35F40F8A"/>
    <w:rsid w:val="36777241"/>
    <w:rsid w:val="36F12D43"/>
    <w:rsid w:val="381E22EE"/>
    <w:rsid w:val="385D63FB"/>
    <w:rsid w:val="38A951DB"/>
    <w:rsid w:val="38B31605"/>
    <w:rsid w:val="39003F4F"/>
    <w:rsid w:val="3AB6680E"/>
    <w:rsid w:val="3C07002B"/>
    <w:rsid w:val="3C120CA5"/>
    <w:rsid w:val="3D0D152A"/>
    <w:rsid w:val="3DC141B0"/>
    <w:rsid w:val="3DF62756"/>
    <w:rsid w:val="3EB3278B"/>
    <w:rsid w:val="3EFD0EAF"/>
    <w:rsid w:val="3F1B7587"/>
    <w:rsid w:val="3FA0183A"/>
    <w:rsid w:val="407E25E0"/>
    <w:rsid w:val="41941C47"/>
    <w:rsid w:val="41E57B4F"/>
    <w:rsid w:val="432F26F6"/>
    <w:rsid w:val="43685506"/>
    <w:rsid w:val="43880F63"/>
    <w:rsid w:val="43A26B0D"/>
    <w:rsid w:val="441C5A6F"/>
    <w:rsid w:val="44244B84"/>
    <w:rsid w:val="44C44FCC"/>
    <w:rsid w:val="44CC7369"/>
    <w:rsid w:val="456F4713"/>
    <w:rsid w:val="457F5108"/>
    <w:rsid w:val="461865CE"/>
    <w:rsid w:val="46951B6B"/>
    <w:rsid w:val="49A34401"/>
    <w:rsid w:val="4A3E30AB"/>
    <w:rsid w:val="4AC14DAC"/>
    <w:rsid w:val="4C3D37F0"/>
    <w:rsid w:val="4CBB41C7"/>
    <w:rsid w:val="4D154C85"/>
    <w:rsid w:val="4E983985"/>
    <w:rsid w:val="4EC8553A"/>
    <w:rsid w:val="508F4E24"/>
    <w:rsid w:val="51461E90"/>
    <w:rsid w:val="51463753"/>
    <w:rsid w:val="52553A93"/>
    <w:rsid w:val="53017A3F"/>
    <w:rsid w:val="53521F8B"/>
    <w:rsid w:val="53E22F47"/>
    <w:rsid w:val="54522FF8"/>
    <w:rsid w:val="55450629"/>
    <w:rsid w:val="56692963"/>
    <w:rsid w:val="568B0F48"/>
    <w:rsid w:val="5786217B"/>
    <w:rsid w:val="59337A15"/>
    <w:rsid w:val="59810274"/>
    <w:rsid w:val="5CA20FA5"/>
    <w:rsid w:val="5CA96A00"/>
    <w:rsid w:val="5CF730BC"/>
    <w:rsid w:val="5E5F0DCE"/>
    <w:rsid w:val="5F781A34"/>
    <w:rsid w:val="5FA40A7B"/>
    <w:rsid w:val="5FD56D29"/>
    <w:rsid w:val="5FEC7F3F"/>
    <w:rsid w:val="60340051"/>
    <w:rsid w:val="605835C4"/>
    <w:rsid w:val="60830691"/>
    <w:rsid w:val="60F74BC3"/>
    <w:rsid w:val="616D381B"/>
    <w:rsid w:val="617D3BF8"/>
    <w:rsid w:val="61841F6A"/>
    <w:rsid w:val="623007A9"/>
    <w:rsid w:val="637D7558"/>
    <w:rsid w:val="63851055"/>
    <w:rsid w:val="64341C13"/>
    <w:rsid w:val="644F19AC"/>
    <w:rsid w:val="65AA4920"/>
    <w:rsid w:val="65C43C25"/>
    <w:rsid w:val="666437C4"/>
    <w:rsid w:val="6720747F"/>
    <w:rsid w:val="67694F1E"/>
    <w:rsid w:val="68072D79"/>
    <w:rsid w:val="69597934"/>
    <w:rsid w:val="6B2B4BE8"/>
    <w:rsid w:val="6B351F5F"/>
    <w:rsid w:val="6B964DDC"/>
    <w:rsid w:val="6B9B71D6"/>
    <w:rsid w:val="6C334523"/>
    <w:rsid w:val="6C4C3D51"/>
    <w:rsid w:val="6C783074"/>
    <w:rsid w:val="6D9E65C6"/>
    <w:rsid w:val="6DA81947"/>
    <w:rsid w:val="6E5A6ED5"/>
    <w:rsid w:val="6EAB65C4"/>
    <w:rsid w:val="6EB66DE2"/>
    <w:rsid w:val="6EBA73B3"/>
    <w:rsid w:val="6ED3075F"/>
    <w:rsid w:val="6F2A2D4B"/>
    <w:rsid w:val="6F8A0C1E"/>
    <w:rsid w:val="703F45D4"/>
    <w:rsid w:val="715D6546"/>
    <w:rsid w:val="71BE069E"/>
    <w:rsid w:val="734F0FD2"/>
    <w:rsid w:val="73953409"/>
    <w:rsid w:val="73E069A3"/>
    <w:rsid w:val="764D41DD"/>
    <w:rsid w:val="76936F17"/>
    <w:rsid w:val="78104AA8"/>
    <w:rsid w:val="78E257C5"/>
    <w:rsid w:val="794B35BE"/>
    <w:rsid w:val="7B0A3A31"/>
    <w:rsid w:val="7B3360ED"/>
    <w:rsid w:val="7B5319F3"/>
    <w:rsid w:val="7BDF037E"/>
    <w:rsid w:val="7BF50948"/>
    <w:rsid w:val="7CE66A78"/>
    <w:rsid w:val="7D23564C"/>
    <w:rsid w:val="7D5E062D"/>
    <w:rsid w:val="7DF509C8"/>
    <w:rsid w:val="7DF76CD8"/>
    <w:rsid w:val="7EE7625B"/>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customXml" Target="../customXml/item1.xml"/><Relationship Id="rId21" Type="http://schemas.openxmlformats.org/officeDocument/2006/relationships/numbering" Target="numbering.xml"/><Relationship Id="rId20" Type="http://schemas.openxmlformats.org/officeDocument/2006/relationships/chart" Target="charts/chart15.xml"/><Relationship Id="rId2" Type="http://schemas.openxmlformats.org/officeDocument/2006/relationships/settings" Target="settings.xml"/><Relationship Id="rId19" Type="http://schemas.openxmlformats.org/officeDocument/2006/relationships/chart" Target="charts/chart14.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7.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5.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14.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5.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14.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Lbls>
            <c:delete val="1"/>
          </c:dLbls>
          <c:cat>
            <c:strRef>
              <c:f>Sheet1!$A$2:$A$7</c:f>
              <c:strCache>
                <c:ptCount val="6"/>
                <c:pt idx="0">
                  <c:v>一般公共预算财政拨款收入</c:v>
                </c:pt>
                <c:pt idx="1">
                  <c:v>其他收入</c:v>
                </c:pt>
                <c:pt idx="2">
                  <c:v>国有资本经营预算财政拨款收入</c:v>
                </c:pt>
                <c:pt idx="3">
                  <c:v>事业收入</c:v>
                </c:pt>
                <c:pt idx="4">
                  <c:v>经营收入</c:v>
                </c:pt>
                <c:pt idx="5">
                  <c:v>上年结转和结余</c:v>
                </c:pt>
              </c:strCache>
            </c:strRef>
          </c:cat>
          <c:val>
            <c:numRef>
              <c:f>Sheet1!$B$2:$B$7</c:f>
              <c:numCache>
                <c:formatCode>General</c:formatCode>
                <c:ptCount val="6"/>
                <c:pt idx="0">
                  <c:v>5687.56</c:v>
                </c:pt>
                <c:pt idx="1">
                  <c:v>0</c:v>
                </c:pt>
                <c:pt idx="2">
                  <c:v>0</c:v>
                </c:pt>
                <c:pt idx="3">
                  <c:v>199.72</c:v>
                </c:pt>
                <c:pt idx="4">
                  <c:v>0</c:v>
                </c:pt>
                <c:pt idx="5">
                  <c:v>0</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Sheet1!$A$2:$A$14</c:f>
              <c:numCache>
                <c:formatCode>General</c:formatCod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numCache>
            </c:numRef>
          </c:cat>
          <c:val>
            <c:numRef>
              <c:f>Sheet1!$B$2:$B$14</c:f>
              <c:numCache>
                <c:formatCode>General</c:formatCode>
                <c:ptCount val="13"/>
                <c:pt idx="0">
                  <c:v>1393.92</c:v>
                </c:pt>
                <c:pt idx="1">
                  <c:v>99.11</c:v>
                </c:pt>
                <c:pt idx="2">
                  <c:v>630.75</c:v>
                </c:pt>
                <c:pt idx="3">
                  <c:v>53.03</c:v>
                </c:pt>
                <c:pt idx="4">
                  <c:v>602.08</c:v>
                </c:pt>
                <c:pt idx="5">
                  <c:v>379.32</c:v>
                </c:pt>
                <c:pt idx="6">
                  <c:v>0</c:v>
                </c:pt>
                <c:pt idx="7">
                  <c:v>178.81</c:v>
                </c:pt>
                <c:pt idx="8">
                  <c:v>0</c:v>
                </c:pt>
                <c:pt idx="9">
                  <c:v>21.34</c:v>
                </c:pt>
                <c:pt idx="10">
                  <c:v>282.06</c:v>
                </c:pt>
                <c:pt idx="11">
                  <c:v>0</c:v>
                </c:pt>
                <c:pt idx="12">
                  <c:v>23.45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Sheet1!$A$2:$A$28</c:f>
              <c:numCache>
                <c:formatCode>General</c:formatCod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numCache>
            </c:numRef>
          </c:cat>
          <c:val>
            <c:numRef>
              <c:f>Sheet1!$B$2:$B$28</c:f>
              <c:numCache>
                <c:formatCode>General</c:formatCode>
                <c:ptCount val="27"/>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51.31</c:v>
                </c:pt>
                <c:pt idx="22">
                  <c:v>0</c:v>
                </c:pt>
                <c:pt idx="23">
                  <c:v>0</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numRef>
              <c:f>Sheet1!$A$2:$A$13</c:f>
              <c:numCache>
                <c:formatCode>General</c:formatCod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numCache>
            </c:numRef>
          </c:cat>
          <c:val>
            <c:numRef>
              <c:f>Sheet1!$B$2:$B$13</c:f>
              <c:numCache>
                <c:formatCode>General</c:formatCode>
                <c:ptCount val="12"/>
                <c:pt idx="0">
                  <c:v>0</c:v>
                </c:pt>
                <c:pt idx="1">
                  <c:v>0</c:v>
                </c:pt>
                <c:pt idx="2">
                  <c:v>0</c:v>
                </c:pt>
                <c:pt idx="3">
                  <c:v>13.36</c:v>
                </c:pt>
                <c:pt idx="4">
                  <c:v>59.39</c:v>
                </c:pt>
                <c:pt idx="5">
                  <c:v>0</c:v>
                </c:pt>
                <c:pt idx="6">
                  <c:v>0</c:v>
                </c:pt>
                <c:pt idx="7">
                  <c:v>1.85</c:v>
                </c:pt>
                <c:pt idx="8">
                  <c:v>0</c:v>
                </c:pt>
                <c:pt idx="9">
                  <c:v>0</c:v>
                </c:pt>
                <c:pt idx="10">
                  <c:v>0</c:v>
                </c:pt>
                <c:pt idx="11">
                  <c:v>0.15</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Sheet1!$A$2:$A$8</c:f>
              <c:strCache>
                <c:ptCount val="7"/>
                <c:pt idx="0">
                  <c:v>一般公共服务支出</c:v>
                </c:pt>
                <c:pt idx="1">
                  <c:v>教育支出</c:v>
                </c:pt>
                <c:pt idx="2">
                  <c:v>社会保障和就业支出</c:v>
                </c:pt>
                <c:pt idx="3">
                  <c:v>卫生健康支出</c:v>
                </c:pt>
                <c:pt idx="4">
                  <c:v>农林水支出</c:v>
                </c:pt>
                <c:pt idx="5">
                  <c:v>住房保障支出</c:v>
                </c:pt>
                <c:pt idx="6">
                  <c:v>其他支出</c:v>
                </c:pt>
              </c:strCache>
            </c:strRef>
          </c:cat>
          <c:val>
            <c:numRef>
              <c:f>Sheet1!$B$2:$B$8</c:f>
              <c:numCache>
                <c:formatCode>General</c:formatCode>
                <c:ptCount val="7"/>
                <c:pt idx="0">
                  <c:v>0</c:v>
                </c:pt>
                <c:pt idx="1">
                  <c:v>4036.55</c:v>
                </c:pt>
                <c:pt idx="2">
                  <c:v>383.41</c:v>
                </c:pt>
                <c:pt idx="3">
                  <c:v>0</c:v>
                </c:pt>
                <c:pt idx="4">
                  <c:v>0</c:v>
                </c:pt>
                <c:pt idx="5">
                  <c:v>147.11</c:v>
                </c:pt>
                <c:pt idx="6">
                  <c:v>302.89</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Sheet1!$A$2:$A$8</c:f>
              <c:strCache>
                <c:ptCount val="7"/>
                <c:pt idx="0">
                  <c:v>一般公共服务支出</c:v>
                </c:pt>
                <c:pt idx="1">
                  <c:v>教育支出</c:v>
                </c:pt>
                <c:pt idx="2">
                  <c:v>社会保障和就业支出</c:v>
                </c:pt>
                <c:pt idx="3">
                  <c:v>卫生健康支出</c:v>
                </c:pt>
                <c:pt idx="4">
                  <c:v>农林水支出</c:v>
                </c:pt>
                <c:pt idx="5">
                  <c:v>住房保障支出</c:v>
                </c:pt>
                <c:pt idx="6">
                  <c:v>其他支出</c:v>
                </c:pt>
              </c:strCache>
            </c:strRef>
          </c:cat>
          <c:val>
            <c:numRef>
              <c:f>Sheet1!$C$2:$C$8</c:f>
              <c:numCache>
                <c:formatCode>General</c:formatCode>
                <c:ptCount val="7"/>
                <c:pt idx="0">
                  <c:v>51.31</c:v>
                </c:pt>
                <c:pt idx="1">
                  <c:v>4576.6</c:v>
                </c:pt>
                <c:pt idx="2">
                  <c:v>379.32</c:v>
                </c:pt>
                <c:pt idx="3">
                  <c:v>0</c:v>
                </c:pt>
                <c:pt idx="4">
                  <c:v>0</c:v>
                </c:pt>
                <c:pt idx="5">
                  <c:v>282.06</c:v>
                </c:pt>
                <c:pt idx="6">
                  <c:v>597.99</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一般公共服务</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51.31</c:v>
                </c:pt>
                <c:pt idx="1">
                  <c:v>51.31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教育支出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Sheet1!$A$2:$A$11</c:f>
              <c:strCache>
                <c:ptCount val="10"/>
                <c:pt idx="0">
                  <c:v>2050101</c:v>
                </c:pt>
                <c:pt idx="1">
                  <c:v>2050199</c:v>
                </c:pt>
                <c:pt idx="2">
                  <c:v>2050204</c:v>
                </c:pt>
                <c:pt idx="3">
                  <c:v>2050299</c:v>
                </c:pt>
                <c:pt idx="4">
                  <c:v>2050302</c:v>
                </c:pt>
                <c:pt idx="5">
                  <c:v>2050399</c:v>
                </c:pt>
                <c:pt idx="6">
                  <c:v>2050803</c:v>
                </c:pt>
                <c:pt idx="7">
                  <c:v>2050999</c:v>
                </c:pt>
                <c:pt idx="8">
                  <c:v>2059999</c:v>
                </c:pt>
                <c:pt idx="9">
                  <c:v>205x</c:v>
                </c:pt>
              </c:strCache>
            </c:strRef>
          </c:cat>
          <c:val>
            <c:numRef>
              <c:f>Sheet1!$B$2:$B$11</c:f>
              <c:numCache>
                <c:formatCode>General</c:formatCode>
                <c:ptCount val="10"/>
                <c:pt idx="0">
                  <c:v>0</c:v>
                </c:pt>
                <c:pt idx="1">
                  <c:v>0</c:v>
                </c:pt>
                <c:pt idx="2">
                  <c:v>4113.41</c:v>
                </c:pt>
                <c:pt idx="3">
                  <c:v>249.43</c:v>
                </c:pt>
                <c:pt idx="4">
                  <c:v>0</c:v>
                </c:pt>
                <c:pt idx="5">
                  <c:v>0</c:v>
                </c:pt>
                <c:pt idx="6">
                  <c:v>0</c:v>
                </c:pt>
                <c:pt idx="7">
                  <c:v>14.04</c:v>
                </c:pt>
                <c:pt idx="8">
                  <c:v>0</c:v>
                </c:pt>
                <c:pt idx="9">
                  <c:v>4376.88</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2080505</c:v>
                </c:pt>
                <c:pt idx="1">
                  <c:v>2080801</c:v>
                </c:pt>
                <c:pt idx="2">
                  <c:v>2089999</c:v>
                </c:pt>
                <c:pt idx="3">
                  <c:v>208x</c:v>
                </c:pt>
              </c:strCache>
            </c:strRef>
          </c:cat>
          <c:val>
            <c:numRef>
              <c:f>Sheet1!$B$2:$B$5</c:f>
              <c:numCache>
                <c:formatCode>General</c:formatCode>
                <c:ptCount val="4"/>
                <c:pt idx="0">
                  <c:v>379.32</c:v>
                </c:pt>
                <c:pt idx="1">
                  <c:v>0</c:v>
                </c:pt>
                <c:pt idx="2">
                  <c:v>0</c:v>
                </c:pt>
                <c:pt idx="3">
                  <c:v>379.32</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卫生健康支出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Sheet1!$A$2:$A$5</c:f>
              <c:strCache>
                <c:ptCount val="4"/>
                <c:pt idx="0">
                  <c:v>2101101</c:v>
                </c:pt>
                <c:pt idx="1">
                  <c:v>2101102</c:v>
                </c:pt>
                <c:pt idx="2">
                  <c:v>2101103</c:v>
                </c:pt>
                <c:pt idx="3">
                  <c:v>210x</c:v>
                </c:pt>
              </c:strCache>
            </c:strRef>
          </c:cat>
          <c:val>
            <c:numRef>
              <c:f>Sheet1!$B$2:$B$5</c:f>
              <c:numCache>
                <c:formatCode>General</c:formatCode>
                <c:ptCount val="4"/>
                <c:pt idx="0">
                  <c:v>0</c:v>
                </c:pt>
                <c:pt idx="1">
                  <c:v>0</c:v>
                </c:pt>
                <c:pt idx="2">
                  <c:v>0</c:v>
                </c:pt>
                <c:pt idx="3">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农林水支出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2130599</c:v>
                </c:pt>
                <c:pt idx="1">
                  <c:v>213x</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manualLayout>
          <c:xMode val="edge"/>
          <c:yMode val="edge"/>
          <c:x val="0.337945224918405"/>
          <c:y val="0.0177725118483412"/>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282.06</c:v>
                </c:pt>
                <c:pt idx="1">
                  <c:v>282.06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altLang="en-US"/>
              <a:t>其他</a:t>
            </a:r>
            <a:r>
              <a:rPr lang="en-US"/>
              <a:t>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597.99</c:v>
                </c:pt>
                <c:pt idx="1">
                  <c:v>597.99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6678</Words>
  <Characters>13912</Characters>
  <Lines>90</Lines>
  <Paragraphs>25</Paragraphs>
  <TotalTime>0</TotalTime>
  <ScaleCrop>false</ScaleCrop>
  <LinksUpToDate>false</LinksUpToDate>
  <CharactersWithSpaces>14005</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2023-11-22T02:14:00Z</cp:lastPrinted>
  <dcterms:modified xsi:type="dcterms:W3CDTF">2023-11-28T01:19:22Z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16A5E58A4C184A0F8AAD5879DBB8AF73</vt:lpwstr>
  </property>
</Properties>
</file>