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rPr>
        <w:t>环江毛南族自治县职业技术学校2022年度部门决算</w:t>
      </w:r>
      <w:r>
        <w:rPr>
          <w:rFonts w:hint="eastAsia" w:ascii="黑体" w:hAnsi="黑体" w:eastAsia="黑体" w:cs="黑体"/>
          <w:b/>
          <w:bCs/>
          <w:sz w:val="52"/>
          <w:szCs w:val="52"/>
          <w:highlight w:val="none"/>
          <w:lang w:eastAsia="zh-CN"/>
        </w:rPr>
        <w:t>公开</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bookmarkStart w:id="4" w:name="_GoBack"/>
      <w:bookmarkEnd w:id="4"/>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环江毛南族自治县职业技术学校</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环江毛南族自治县职业技术学校</w:t>
      </w:r>
      <w:r>
        <w:rPr>
          <w:rFonts w:hint="eastAsia" w:ascii="仿宋" w:hAnsi="仿宋" w:eastAsia="仿宋" w:cs="仿宋"/>
          <w:color w:val="000000" w:themeColor="text1"/>
          <w:sz w:val="32"/>
          <w:szCs w:val="32"/>
          <w14:textFill>
            <w14:solidFill>
              <w14:schemeClr w14:val="tx1"/>
            </w14:solidFill>
          </w14:textFill>
        </w:rPr>
        <w:t>的主要职能是：</w:t>
      </w:r>
    </w:p>
    <w:p>
      <w:pPr>
        <w:keepNext w:val="0"/>
        <w:keepLines w:val="0"/>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（一）宣传贯彻执行党和国家的教育方针、教育政策、教育法律和法规，贯彻执行上级教育行政部门的各项规章制度。</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（二）在政府和上级教育主管部门的领导下，争取资金改善办学条件，为师生的学习和工作提供优美和谐的环境。</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（三）根据县级人民政府制定的教育事业发展规划，结合本校实际制定并组织实施本校的教育事业发展规划。在政府的领导下，全面</w:t>
      </w:r>
      <w:r>
        <w:rPr>
          <w:rFonts w:hint="eastAsia" w:ascii="仿宋" w:hAnsi="仿宋" w:eastAsia="仿宋" w:cs="仿宋"/>
          <w:sz w:val="32"/>
          <w:szCs w:val="32"/>
          <w:lang w:eastAsia="zh-CN"/>
        </w:rPr>
        <w:t>推进四“</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20导学案</w:t>
      </w:r>
      <w:r>
        <w:rPr>
          <w:rFonts w:hint="eastAsia" w:ascii="仿宋" w:hAnsi="仿宋" w:eastAsia="仿宋" w:cs="仿宋"/>
          <w:sz w:val="32"/>
          <w:szCs w:val="32"/>
          <w:lang w:eastAsia="zh-CN"/>
        </w:rPr>
        <w:t>和促进教育公平</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（四）按照干部和教师的职数、编制和管理权限，负责对本校的干部和教师进行管理，制定切实可行的学校工作规章制度，以提高教育教学质量为目的，对干部职工的工作开展客观公正的评价和考核。</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（五）按照上级有关部们的规定负责对本校的财务和项目建设进行管理，负责核算和发放教职工工资。</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（六）按照教育课程计划，开齐课程，开足课时，认真实施中小学的教育教学管理，全面推进素质教育，全面提高教育教学质量。</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（七）组织开展本校的教育教学科研和教育教学改革，以科学的发展观和以人为本的管理理念注重学生的全面发展。</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（八）负责指导全校学生资助管理工作。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（九）负责语言文字和指导推广普通话工作。</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（十）学校开展高中教育教学为基本职能，培养合格的高中毕业生及向高校输送优秀人才，为学生的终身发展奠定基础。</w:t>
      </w:r>
    </w:p>
    <w:p>
      <w:pPr>
        <w:ind w:firstLine="640" w:firstLineChars="200"/>
        <w:jc w:val="left"/>
        <w:rPr>
          <w:rFonts w:hint="default" w:ascii="Times New Roman" w:hAnsi="Times New Roman" w:eastAsia="仿宋_GB2312" w:cs="Times New Roman"/>
          <w:sz w:val="32"/>
          <w:szCs w:val="32"/>
        </w:rPr>
      </w:pPr>
      <w:r>
        <w:rPr>
          <w:rFonts w:hint="eastAsia" w:ascii="仿宋" w:hAnsi="仿宋" w:eastAsia="仿宋" w:cs="仿宋"/>
          <w:sz w:val="32"/>
          <w:szCs w:val="32"/>
          <w:lang w:eastAsia="zh-CN"/>
        </w:rPr>
        <w:t>（十一）完成自治县人民政府及上级教育部门交办的其他工作。</w:t>
      </w:r>
      <w:r>
        <w:rPr>
          <w:rFonts w:hint="default" w:ascii="Times New Roman" w:hAnsi="Times New Roman" w:eastAsia="仿宋_GB2312" w:cs="Times New Roman"/>
          <w:sz w:val="32"/>
          <w:szCs w:val="32"/>
        </w:rPr>
        <w:t xml:space="preserve">　 </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）承办自治区人民政府交办的其他事项。 </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kinsoku/>
        <w:wordWrap/>
        <w:overflowPunct/>
        <w:topLinePunct w:val="0"/>
        <w:bidi w:val="0"/>
        <w:snapToGrid/>
        <w:spacing w:line="560" w:lineRule="exact"/>
        <w:ind w:firstLine="645"/>
        <w:textAlignment w:val="auto"/>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全额拨款事业单位，</w:t>
      </w:r>
      <w:r>
        <w:rPr>
          <w:rFonts w:hint="eastAsia" w:ascii="仿宋" w:hAnsi="仿宋" w:eastAsia="仿宋" w:cs="仿宋"/>
          <w:sz w:val="32"/>
          <w:szCs w:val="32"/>
          <w:lang w:eastAsia="zh-CN"/>
        </w:rPr>
        <w:t>本单位有十五个处室，分别为：党政办、行政办、政教处、教务处、教研处、宣传办、信息办、总务处、资助办、安全办、心理辅导站、财务室、工会、团委、社团。我单位没有下属单位，按照部门决算编报要求，单独编制本部门决算。</w:t>
      </w:r>
    </w:p>
    <w:p>
      <w:pPr>
        <w:ind w:firstLine="2560" w:firstLineChars="80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rPr>
        <w:t>2022年度部门决算报表</w:t>
      </w:r>
    </w:p>
    <w:p>
      <w:pPr>
        <w:keepNext w:val="0"/>
        <w:keepLines w:val="0"/>
        <w:pageBreakBefore w:val="0"/>
        <w:kinsoku/>
        <w:wordWrap/>
        <w:overflowPunct/>
        <w:topLinePunct w:val="0"/>
        <w:bidi w:val="0"/>
        <w:snapToGrid/>
        <w:spacing w:line="560" w:lineRule="exact"/>
        <w:textAlignment w:val="auto"/>
        <w:rPr>
          <w:rFonts w:hint="eastAsia" w:ascii="黑体" w:hAnsi="黑体" w:eastAsia="黑体" w:cs="黑体"/>
          <w:sz w:val="32"/>
          <w:szCs w:val="32"/>
          <w:highlight w:val="none"/>
        </w:rPr>
      </w:pPr>
      <w:r>
        <w:rPr>
          <w:rFonts w:hint="default" w:ascii="Times New Roman" w:hAnsi="Times New Roman" w:eastAsia="仿宋_GB2312" w:cs="Times New Roman"/>
          <w:sz w:val="32"/>
          <w:szCs w:val="32"/>
        </w:rPr>
        <w:t>表一：</w:t>
      </w:r>
      <w:r>
        <w:rPr>
          <w:rFonts w:hint="eastAsia" w:ascii="Times New Roman" w:hAnsi="Times New Roman" w:eastAsia="仿宋_GB2312" w:cs="Times New Roman"/>
          <w:sz w:val="32"/>
          <w:szCs w:val="32"/>
          <w:lang w:val="en-US" w:eastAsia="zh-CN"/>
        </w:rPr>
        <w:t>Z01 收入支出决算总表(公开01表)</w:t>
      </w:r>
    </w:p>
    <w:tbl>
      <w:tblPr>
        <w:tblStyle w:val="6"/>
        <w:tblW w:w="5000" w:type="pct"/>
        <w:tblInd w:w="0" w:type="dxa"/>
        <w:tblLayout w:type="autofit"/>
        <w:tblCellMar>
          <w:top w:w="0" w:type="dxa"/>
          <w:left w:w="108" w:type="dxa"/>
          <w:bottom w:w="0" w:type="dxa"/>
          <w:right w:w="108" w:type="dxa"/>
        </w:tblCellMar>
      </w:tblPr>
      <w:tblGrid>
        <w:gridCol w:w="3576"/>
        <w:gridCol w:w="1940"/>
        <w:gridCol w:w="1780"/>
        <w:gridCol w:w="3516"/>
        <w:gridCol w:w="1746"/>
        <w:gridCol w:w="1616"/>
      </w:tblGrid>
      <w:tr>
        <w:tblPrEx>
          <w:tblCellMar>
            <w:top w:w="0" w:type="dxa"/>
            <w:left w:w="108" w:type="dxa"/>
            <w:bottom w:w="0" w:type="dxa"/>
            <w:right w:w="108" w:type="dxa"/>
          </w:tblCellMar>
        </w:tblPrEx>
        <w:trPr>
          <w:trHeight w:val="761" w:hRule="atLeast"/>
        </w:trPr>
        <w:tc>
          <w:tcPr>
            <w:tcW w:w="5000" w:type="pct"/>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9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8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2570" w:type="pct"/>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环江毛南族自治县职业技术学校</w:t>
            </w:r>
          </w:p>
        </w:tc>
        <w:tc>
          <w:tcPr>
            <w:tcW w:w="95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8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257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24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3511.22</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71.50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2740.26</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3582.72</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3582.72</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9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85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8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3582.72</w:t>
            </w:r>
          </w:p>
        </w:tc>
        <w:tc>
          <w:tcPr>
            <w:tcW w:w="95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78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68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3582.72</w:t>
            </w:r>
          </w:p>
        </w:tc>
      </w:tr>
    </w:tbl>
    <w:p>
      <w:pPr>
        <w:rPr>
          <w:rFonts w:hint="eastAsia" w:ascii="宋体" w:hAnsi="宋体" w:eastAsia="宋体" w:cs="宋体"/>
          <w:color w:val="000000"/>
          <w:kern w:val="0"/>
          <w:sz w:val="30"/>
          <w:szCs w:val="30"/>
          <w:highlight w:val="none"/>
          <w:lang w:bidi="ar"/>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5000" w:type="pct"/>
        <w:tblInd w:w="0" w:type="dxa"/>
        <w:tblLayout w:type="autofit"/>
        <w:tblCellMar>
          <w:top w:w="0" w:type="dxa"/>
          <w:left w:w="108" w:type="dxa"/>
          <w:bottom w:w="0" w:type="dxa"/>
          <w:right w:w="108" w:type="dxa"/>
        </w:tblCellMar>
      </w:tblPr>
      <w:tblGrid>
        <w:gridCol w:w="1413"/>
        <w:gridCol w:w="2294"/>
        <w:gridCol w:w="391"/>
        <w:gridCol w:w="391"/>
        <w:gridCol w:w="880"/>
        <w:gridCol w:w="1348"/>
        <w:gridCol w:w="1281"/>
        <w:gridCol w:w="1199"/>
        <w:gridCol w:w="1295"/>
        <w:gridCol w:w="1307"/>
        <w:gridCol w:w="1267"/>
        <w:gridCol w:w="1108"/>
      </w:tblGrid>
      <w:tr>
        <w:tblPrEx>
          <w:tblCellMar>
            <w:top w:w="0" w:type="dxa"/>
            <w:left w:w="108" w:type="dxa"/>
            <w:bottom w:w="0" w:type="dxa"/>
            <w:right w:w="108" w:type="dxa"/>
          </w:tblCellMar>
        </w:tblPrEx>
        <w:trPr>
          <w:trHeight w:val="90" w:hRule="atLeast"/>
        </w:trPr>
        <w:tc>
          <w:tcPr>
            <w:tcW w:w="5000" w:type="pct"/>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eastAsia" w:ascii="宋体" w:hAnsi="宋体" w:eastAsia="宋体" w:cs="宋体"/>
                <w:color w:val="000000"/>
                <w:kern w:val="0"/>
                <w:sz w:val="32"/>
                <w:szCs w:val="32"/>
                <w:highlight w:val="none"/>
                <w:lang w:bidi="ar"/>
              </w:rPr>
            </w:pPr>
            <w:r>
              <w:rPr>
                <w:rFonts w:hint="default" w:ascii="Times New Roman" w:hAnsi="Times New Roman" w:eastAsia="仿宋_GB2312" w:cs="Times New Roman"/>
                <w:sz w:val="32"/>
                <w:szCs w:val="32"/>
              </w:rPr>
              <w:t>表二：</w:t>
            </w:r>
            <w:r>
              <w:rPr>
                <w:rFonts w:hint="eastAsia" w:ascii="Times New Roman" w:hAnsi="Times New Roman" w:eastAsia="仿宋_GB2312" w:cs="Times New Roman"/>
                <w:sz w:val="32"/>
                <w:szCs w:val="32"/>
                <w:lang w:val="en-US" w:eastAsia="zh-CN"/>
              </w:rPr>
              <w:t>Z03 收入决算表(公开02表）</w:t>
            </w:r>
          </w:p>
        </w:tc>
      </w:tr>
      <w:tr>
        <w:tblPrEx>
          <w:tblCellMar>
            <w:top w:w="0" w:type="dxa"/>
            <w:left w:w="108" w:type="dxa"/>
            <w:bottom w:w="0" w:type="dxa"/>
            <w:right w:w="108" w:type="dxa"/>
          </w:tblCellMar>
        </w:tblPrEx>
        <w:trPr>
          <w:trHeight w:val="90" w:hRule="atLeast"/>
        </w:trPr>
        <w:tc>
          <w:tcPr>
            <w:tcW w:w="5000" w:type="pct"/>
            <w:gridSpan w:val="1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1060"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9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71"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2481" w:type="pct"/>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环江毛南族自治县职业技术学校</w:t>
            </w:r>
          </w:p>
        </w:tc>
        <w:tc>
          <w:tcPr>
            <w:tcW w:w="49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71" w:type="pct"/>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14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5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4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5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4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5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849"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49"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5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49"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1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5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4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54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45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1417"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3582.72</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3511.22</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71.50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2740.26</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2668.76</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71.50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1972.66</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1964.98</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7.68</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2050204</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高中教育</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1696.29</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1688.61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7.68</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276.38</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276.38</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20503</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职业教育</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761.42</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697.61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63.82</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2050302</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中等职业教育</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761.42</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697.61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63.82</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6.17</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6.17</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6.17</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6.17</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849"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54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52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4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1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5000" w:type="pct"/>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tbl>
      <w:tblPr>
        <w:tblStyle w:val="6"/>
        <w:tblW w:w="5000" w:type="pct"/>
        <w:tblInd w:w="0" w:type="dxa"/>
        <w:tblLayout w:type="autofit"/>
        <w:tblCellMar>
          <w:top w:w="0" w:type="dxa"/>
          <w:left w:w="108" w:type="dxa"/>
          <w:bottom w:w="0" w:type="dxa"/>
          <w:right w:w="108" w:type="dxa"/>
        </w:tblCellMar>
      </w:tblPr>
      <w:tblGrid>
        <w:gridCol w:w="964"/>
        <w:gridCol w:w="222"/>
        <w:gridCol w:w="177"/>
        <w:gridCol w:w="107"/>
        <w:gridCol w:w="3849"/>
        <w:gridCol w:w="1173"/>
        <w:gridCol w:w="1508"/>
        <w:gridCol w:w="1596"/>
        <w:gridCol w:w="1480"/>
        <w:gridCol w:w="1482"/>
        <w:gridCol w:w="1616"/>
      </w:tblGrid>
      <w:tr>
        <w:tblPrEx>
          <w:tblCellMar>
            <w:top w:w="0" w:type="dxa"/>
            <w:left w:w="108" w:type="dxa"/>
            <w:bottom w:w="0" w:type="dxa"/>
            <w:right w:w="108" w:type="dxa"/>
          </w:tblCellMar>
        </w:tblPrEx>
        <w:trPr>
          <w:trHeight w:val="677" w:hRule="atLeast"/>
        </w:trPr>
        <w:tc>
          <w:tcPr>
            <w:tcW w:w="5000" w:type="pct"/>
            <w:gridSpan w:val="11"/>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bidi w:val="0"/>
              <w:snapToGrid/>
              <w:spacing w:before="0" w:beforeAutospacing="0" w:after="0" w:afterAutospacing="0" w:line="560" w:lineRule="exact"/>
              <w:ind w:left="0" w:right="0"/>
              <w:textAlignment w:val="auto"/>
              <w:rPr>
                <w:rFonts w:hint="eastAsia" w:ascii="宋体" w:hAnsi="宋体" w:eastAsia="宋体" w:cs="宋体"/>
                <w:color w:val="000000"/>
                <w:kern w:val="0"/>
                <w:sz w:val="32"/>
                <w:szCs w:val="32"/>
                <w:highlight w:val="none"/>
                <w:lang w:bidi="ar"/>
              </w:rPr>
            </w:pPr>
            <w:r>
              <w:rPr>
                <w:rFonts w:hint="default" w:ascii="Times New Roman" w:hAnsi="Times New Roman" w:eastAsia="仿宋_GB2312" w:cs="Times New Roman"/>
                <w:sz w:val="32"/>
                <w:szCs w:val="32"/>
              </w:rPr>
              <w:t>表三：</w:t>
            </w:r>
            <w:r>
              <w:rPr>
                <w:rFonts w:hint="eastAsia" w:ascii="Times New Roman" w:hAnsi="Times New Roman" w:eastAsia="仿宋_GB2312" w:cs="Times New Roman"/>
                <w:sz w:val="32"/>
                <w:szCs w:val="32"/>
                <w:lang w:val="en-US" w:eastAsia="zh-CN"/>
              </w:rPr>
              <w:t>Z04 支出决算表(公开03表)</w:t>
            </w:r>
          </w:p>
        </w:tc>
      </w:tr>
      <w:tr>
        <w:tblPrEx>
          <w:tblCellMar>
            <w:top w:w="0" w:type="dxa"/>
            <w:left w:w="108" w:type="dxa"/>
            <w:bottom w:w="0" w:type="dxa"/>
            <w:right w:w="108" w:type="dxa"/>
          </w:tblCellMar>
        </w:tblPrEx>
        <w:trPr>
          <w:trHeight w:val="623"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408"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8" w:type="pct"/>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94"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8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0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0"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1" w:type="pct"/>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10" w:type="pct"/>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3207" w:type="pct"/>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环江毛南族自治县职业技术学校</w:t>
            </w:r>
          </w:p>
        </w:tc>
        <w:tc>
          <w:tcPr>
            <w:tcW w:w="590"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1" w:type="pct"/>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10" w:type="pct"/>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139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5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6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5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5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6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57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816"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5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1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578" w:type="pct"/>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16"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8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1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139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5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9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1395"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3582.72</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2421.50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1161.22</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2740.26</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1735.24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1005.02</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1972.66</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1309.51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663.15</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2050204</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高中教育</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1696.29</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1308.61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387.68</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276.38</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0.90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275.48</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20503</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职业教育</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761.42</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425.73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335.69</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2050302</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中等职业教育</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761.42</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425.73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335.69</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6.17</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6.17</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6.17</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6.17</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241.55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241.55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241.55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179.89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179.89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179.89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232.00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156.20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232.00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156.20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78"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816"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58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6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232.00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156.20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5000" w:type="pct"/>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eastAsia" w:ascii="仿宋" w:hAnsi="仿宋" w:eastAsia="仿宋" w:cs="仿宋"/>
          <w:sz w:val="24"/>
          <w:highlight w:val="none"/>
        </w:rPr>
      </w:pPr>
      <w:r>
        <w:rPr>
          <w:rFonts w:hint="default" w:ascii="Times New Roman" w:hAnsi="Times New Roman" w:eastAsia="仿宋_GB2312" w:cs="Times New Roman"/>
          <w:sz w:val="32"/>
          <w:szCs w:val="32"/>
        </w:rPr>
        <w:t>表四：</w:t>
      </w:r>
      <w:r>
        <w:rPr>
          <w:rFonts w:hint="eastAsia" w:ascii="Times New Roman" w:hAnsi="Times New Roman" w:eastAsia="仿宋_GB2312" w:cs="Times New Roman"/>
          <w:sz w:val="32"/>
          <w:szCs w:val="32"/>
          <w:lang w:val="en-US" w:eastAsia="zh-CN"/>
        </w:rPr>
        <w:t>Z01_1 财政拨款收入支出决算总表(公开04表)</w:t>
      </w:r>
    </w:p>
    <w:tbl>
      <w:tblPr>
        <w:tblStyle w:val="6"/>
        <w:tblW w:w="5000" w:type="pct"/>
        <w:tblInd w:w="0" w:type="dxa"/>
        <w:tblLayout w:type="autofit"/>
        <w:tblCellMar>
          <w:top w:w="0" w:type="dxa"/>
          <w:left w:w="108" w:type="dxa"/>
          <w:bottom w:w="0" w:type="dxa"/>
          <w:right w:w="108" w:type="dxa"/>
        </w:tblCellMar>
      </w:tblPr>
      <w:tblGrid>
        <w:gridCol w:w="3016"/>
        <w:gridCol w:w="730"/>
        <w:gridCol w:w="1189"/>
        <w:gridCol w:w="3216"/>
        <w:gridCol w:w="789"/>
        <w:gridCol w:w="1000"/>
        <w:gridCol w:w="1583"/>
        <w:gridCol w:w="1616"/>
        <w:gridCol w:w="1035"/>
      </w:tblGrid>
      <w:tr>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97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3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9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347"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环江毛南族自治县职业技术学校</w:t>
            </w:r>
          </w:p>
        </w:tc>
        <w:tc>
          <w:tcPr>
            <w:tcW w:w="57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2" w:type="pct"/>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66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333"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9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0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6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5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48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97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1"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3511.22</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32.81</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32.81</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2668.76</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2668.76</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241.55</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241.55</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179.89</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179.89</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388.21</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388.21</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3511.22</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3511.22</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3511.22</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97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6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3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3511.22</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3511.22</w:t>
            </w:r>
          </w:p>
        </w:tc>
        <w:tc>
          <w:tcPr>
            <w:tcW w:w="5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3511.22</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51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48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rPr>
          <w:rFonts w:hint="eastAsia" w:ascii="仿宋" w:hAnsi="仿宋" w:eastAsia="仿宋" w:cs="仿宋"/>
          <w:sz w:val="24"/>
          <w:highlight w:val="none"/>
        </w:rPr>
      </w:pPr>
      <w:r>
        <w:rPr>
          <w:rFonts w:hint="default" w:ascii="Times New Roman" w:hAnsi="Times New Roman" w:eastAsia="仿宋_GB2312" w:cs="Times New Roman"/>
          <w:sz w:val="32"/>
          <w:szCs w:val="32"/>
        </w:rPr>
        <w:t>表五：</w:t>
      </w:r>
      <w:r>
        <w:rPr>
          <w:rFonts w:hint="eastAsia" w:ascii="Times New Roman" w:hAnsi="Times New Roman" w:eastAsia="仿宋_GB2312" w:cs="Times New Roman"/>
          <w:sz w:val="32"/>
          <w:szCs w:val="32"/>
          <w:lang w:val="en-US" w:eastAsia="zh-CN"/>
        </w:rPr>
        <w:t>Z07 一般公共预算财政拨款支出决算表(公开05表)</w:t>
      </w:r>
    </w:p>
    <w:tbl>
      <w:tblPr>
        <w:tblStyle w:val="6"/>
        <w:tblW w:w="5000" w:type="pct"/>
        <w:tblInd w:w="0" w:type="dxa"/>
        <w:tblLayout w:type="autofit"/>
        <w:tblCellMar>
          <w:top w:w="0" w:type="dxa"/>
          <w:left w:w="108" w:type="dxa"/>
          <w:bottom w:w="0" w:type="dxa"/>
          <w:right w:w="108" w:type="dxa"/>
        </w:tblCellMar>
      </w:tblPr>
      <w:tblGrid>
        <w:gridCol w:w="1756"/>
        <w:gridCol w:w="387"/>
        <w:gridCol w:w="336"/>
        <w:gridCol w:w="336"/>
        <w:gridCol w:w="2897"/>
        <w:gridCol w:w="2936"/>
        <w:gridCol w:w="2870"/>
        <w:gridCol w:w="2656"/>
      </w:tblGrid>
      <w:tr>
        <w:tblPrEx>
          <w:tblCellMar>
            <w:top w:w="0" w:type="dxa"/>
            <w:left w:w="108" w:type="dxa"/>
            <w:bottom w:w="0" w:type="dxa"/>
            <w:right w:w="108" w:type="dxa"/>
          </w:tblCellMar>
        </w:tblPrEx>
        <w:trPr>
          <w:trHeight w:val="693" w:hRule="atLeast"/>
        </w:trPr>
        <w:tc>
          <w:tcPr>
            <w:tcW w:w="5000" w:type="pct"/>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81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3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3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2854"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环江毛南族自治县职业技术学校</w:t>
            </w:r>
          </w:p>
        </w:tc>
        <w:tc>
          <w:tcPr>
            <w:tcW w:w="1111"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33"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172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27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7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001" w:type="pct"/>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1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0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7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01"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7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01" w:type="pct"/>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172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172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3511.22</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2421.50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1089.72</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32.81</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32.81</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32.81</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2668.76</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1735.24</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933.52</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1964.98</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1309.51</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655.47</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2050204</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高中教育</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1688.61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1308.61</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276.38</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275.48</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20503</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职业教育</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697.61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425.73</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271.88</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2050302</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中等职业教育</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697.61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425.73</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271.88</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6.17</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6.17</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6.17</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6.17</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241.55</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241.55</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241.55</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241.55</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241.55</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241.55</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179.89</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179.89</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179.89</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179.89</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179.89</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179.89</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388.21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232.00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156.20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388.21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232.00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156.20</w:t>
            </w:r>
          </w:p>
        </w:tc>
      </w:tr>
      <w:tr>
        <w:tblPrEx>
          <w:tblCellMar>
            <w:top w:w="0" w:type="dxa"/>
            <w:left w:w="108" w:type="dxa"/>
            <w:bottom w:w="0" w:type="dxa"/>
            <w:right w:w="108" w:type="dxa"/>
          </w:tblCellMar>
        </w:tblPrEx>
        <w:trPr>
          <w:trHeight w:val="358" w:hRule="atLeast"/>
        </w:trPr>
        <w:tc>
          <w:tcPr>
            <w:tcW w:w="7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100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113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388.21</w:t>
            </w:r>
          </w:p>
        </w:tc>
        <w:tc>
          <w:tcPr>
            <w:tcW w:w="11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232.00</w:t>
            </w:r>
          </w:p>
        </w:tc>
        <w:tc>
          <w:tcPr>
            <w:tcW w:w="103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156.20</w:t>
            </w:r>
          </w:p>
        </w:tc>
      </w:tr>
      <w:tr>
        <w:tblPrEx>
          <w:tblCellMar>
            <w:top w:w="0" w:type="dxa"/>
            <w:left w:w="108" w:type="dxa"/>
            <w:bottom w:w="0" w:type="dxa"/>
            <w:right w:w="108" w:type="dxa"/>
          </w:tblCellMar>
        </w:tblPrEx>
        <w:trPr>
          <w:trHeight w:val="358" w:hRule="atLeast"/>
        </w:trPr>
        <w:tc>
          <w:tcPr>
            <w:tcW w:w="5000"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eastAsia" w:ascii="仿宋" w:hAnsi="仿宋" w:eastAsia="仿宋" w:cs="仿宋"/>
          <w:sz w:val="24"/>
          <w:highlight w:val="none"/>
        </w:rPr>
      </w:pPr>
      <w:r>
        <w:rPr>
          <w:rFonts w:hint="default" w:ascii="Times New Roman" w:hAnsi="Times New Roman" w:eastAsia="仿宋_GB2312" w:cs="Times New Roman"/>
          <w:sz w:val="32"/>
          <w:szCs w:val="32"/>
        </w:rPr>
        <w:t>表六：</w:t>
      </w:r>
      <w:r>
        <w:rPr>
          <w:rFonts w:hint="eastAsia" w:ascii="Times New Roman" w:hAnsi="Times New Roman" w:eastAsia="仿宋_GB2312" w:cs="Times New Roman"/>
          <w:sz w:val="32"/>
          <w:szCs w:val="32"/>
          <w:lang w:val="en-US" w:eastAsia="zh-CN"/>
        </w:rPr>
        <w:t>Z08_1 一般公共预算财政拨款基本支出决算明细表(公开06表）</w:t>
      </w:r>
    </w:p>
    <w:tbl>
      <w:tblPr>
        <w:tblStyle w:val="6"/>
        <w:tblW w:w="5000" w:type="pct"/>
        <w:tblInd w:w="0" w:type="dxa"/>
        <w:tblLayout w:type="autofit"/>
        <w:tblCellMar>
          <w:top w:w="0" w:type="dxa"/>
          <w:left w:w="108" w:type="dxa"/>
          <w:bottom w:w="0" w:type="dxa"/>
          <w:right w:w="108" w:type="dxa"/>
        </w:tblCellMar>
      </w:tblPr>
      <w:tblGrid>
        <w:gridCol w:w="1311"/>
        <w:gridCol w:w="2954"/>
        <w:gridCol w:w="855"/>
        <w:gridCol w:w="1311"/>
        <w:gridCol w:w="2041"/>
        <w:gridCol w:w="672"/>
        <w:gridCol w:w="672"/>
        <w:gridCol w:w="3685"/>
        <w:gridCol w:w="673"/>
      </w:tblGrid>
      <w:tr>
        <w:tblPrEx>
          <w:tblCellMar>
            <w:top w:w="0" w:type="dxa"/>
            <w:left w:w="108" w:type="dxa"/>
            <w:bottom w:w="0" w:type="dxa"/>
            <w:right w:w="108" w:type="dxa"/>
          </w:tblCellMar>
        </w:tblPrEx>
        <w:trPr>
          <w:trHeight w:val="614"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46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2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5"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3002" w:type="pct"/>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环江毛南族自治县职业技术学校</w:t>
            </w:r>
          </w:p>
        </w:tc>
        <w:tc>
          <w:tcPr>
            <w:tcW w:w="222"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5" w:type="pct"/>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1807"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3192"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0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4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7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2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13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2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2286.86</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39.80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886.53</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1.49</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69.28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405.52</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375.54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4.22</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241.55</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114.98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0.30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13.58</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179.89</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0.97</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94.84</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37.19</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57.35</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32.81</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105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2381.70</w:t>
            </w:r>
          </w:p>
        </w:tc>
        <w:tc>
          <w:tcPr>
            <w:tcW w:w="46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3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1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2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39.80</w:t>
            </w:r>
          </w:p>
        </w:tc>
      </w:tr>
      <w:tr>
        <w:tblPrEx>
          <w:tblCellMar>
            <w:top w:w="0" w:type="dxa"/>
            <w:left w:w="108" w:type="dxa"/>
            <w:bottom w:w="0" w:type="dxa"/>
            <w:right w:w="108" w:type="dxa"/>
          </w:tblCellMar>
        </w:tblPrEx>
        <w:trPr>
          <w:trHeight w:val="319" w:hRule="atLeast"/>
        </w:trPr>
        <w:tc>
          <w:tcPr>
            <w:tcW w:w="5000" w:type="pct"/>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hint="eastAsia" w:ascii="仿宋" w:hAnsi="仿宋" w:eastAsia="仿宋" w:cs="仿宋"/>
          <w:sz w:val="32"/>
          <w:szCs w:val="32"/>
          <w:highlight w:val="none"/>
          <w:lang w:eastAsia="zh-CN"/>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表七：</w:t>
      </w:r>
      <w:r>
        <w:rPr>
          <w:rFonts w:hint="eastAsia" w:ascii="仿宋" w:hAnsi="仿宋" w:eastAsia="仿宋" w:cs="仿宋"/>
          <w:color w:val="000000" w:themeColor="text1"/>
          <w:sz w:val="32"/>
          <w:szCs w:val="32"/>
          <w:highlight w:val="none"/>
          <w:lang w:val="en-US" w:eastAsia="zh-CN"/>
          <w14:textFill>
            <w14:solidFill>
              <w14:schemeClr w14:val="tx1"/>
            </w14:solidFill>
          </w14:textFill>
        </w:rPr>
        <w:t>Z09</w:t>
      </w:r>
      <w:r>
        <w:rPr>
          <w:rFonts w:hint="eastAsia" w:ascii="仿宋" w:hAnsi="仿宋" w:eastAsia="仿宋" w:cs="仿宋"/>
          <w:color w:val="000000" w:themeColor="text1"/>
          <w:sz w:val="32"/>
          <w:szCs w:val="32"/>
          <w:highlight w:val="none"/>
          <w14:textFill>
            <w14:solidFill>
              <w14:schemeClr w14:val="tx1"/>
            </w14:solidFill>
          </w14:textFill>
        </w:rPr>
        <w:t>政府性基金预算财政拨款收入支出决算表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(公开07表）</w:t>
      </w:r>
    </w:p>
    <w:tbl>
      <w:tblPr>
        <w:tblStyle w:val="6"/>
        <w:tblW w:w="3054" w:type="pct"/>
        <w:tblInd w:w="0" w:type="dxa"/>
        <w:tblLayout w:type="autofit"/>
        <w:tblCellMar>
          <w:top w:w="0" w:type="dxa"/>
          <w:left w:w="108" w:type="dxa"/>
          <w:bottom w:w="0" w:type="dxa"/>
          <w:right w:w="108" w:type="dxa"/>
        </w:tblCellMar>
      </w:tblPr>
      <w:tblGrid>
        <w:gridCol w:w="951"/>
        <w:gridCol w:w="347"/>
        <w:gridCol w:w="342"/>
        <w:gridCol w:w="1205"/>
        <w:gridCol w:w="1450"/>
        <w:gridCol w:w="1214"/>
        <w:gridCol w:w="1196"/>
        <w:gridCol w:w="1230"/>
        <w:gridCol w:w="1262"/>
        <w:gridCol w:w="7"/>
        <w:gridCol w:w="2122"/>
      </w:tblGrid>
      <w:tr>
        <w:trPr>
          <w:trHeight w:val="536" w:hRule="atLeast"/>
        </w:trPr>
        <w:tc>
          <w:tcPr>
            <w:tcW w:w="5000" w:type="pct"/>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42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3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3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4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5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38"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8" w:hRule="atLeast"/>
        </w:trPr>
        <w:tc>
          <w:tcPr>
            <w:tcW w:w="2960" w:type="pct"/>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环江毛南族自治县职业技术学校</w:t>
            </w:r>
          </w:p>
        </w:tc>
        <w:tc>
          <w:tcPr>
            <w:tcW w:w="543"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0" w:type="pct"/>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35"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77" w:hRule="atLeast"/>
        </w:trPr>
        <w:tc>
          <w:tcPr>
            <w:tcW w:w="125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5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163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9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trHeight w:val="312" w:hRule="atLeast"/>
        </w:trPr>
        <w:tc>
          <w:tcPr>
            <w:tcW w:w="57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682"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5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56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9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57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8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573"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82"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3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4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0"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3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77" w:hRule="atLeast"/>
        </w:trPr>
        <w:tc>
          <w:tcPr>
            <w:tcW w:w="125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277" w:hRule="atLeast"/>
        </w:trPr>
        <w:tc>
          <w:tcPr>
            <w:tcW w:w="125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277" w:hRule="atLeast"/>
        </w:trPr>
        <w:tc>
          <w:tcPr>
            <w:tcW w:w="57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68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5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54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56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93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83"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本部门2022年度没有政府性基金预算财政拨款收入，也没有政府性基金预算财政拨款安排的支出，故本表无数据</w:t>
            </w:r>
            <w:r>
              <w:rPr>
                <w:rFonts w:hint="eastAsia" w:ascii="宋体" w:hAnsi="宋体" w:eastAsia="宋体" w:cs="宋体"/>
                <w:color w:val="000000"/>
                <w:kern w:val="0"/>
                <w:sz w:val="22"/>
                <w:szCs w:val="22"/>
                <w:highlight w:val="none"/>
                <w:lang w:eastAsia="zh-CN" w:bidi="ar"/>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277" w:hRule="atLeast"/>
        </w:trPr>
        <w:tc>
          <w:tcPr>
            <w:tcW w:w="5000" w:type="pct"/>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hint="eastAsia" w:ascii="仿宋" w:hAnsi="仿宋" w:eastAsia="仿宋" w:cs="仿宋"/>
          <w:sz w:val="24"/>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Z11</w:t>
      </w:r>
      <w:r>
        <w:rPr>
          <w:rFonts w:hint="eastAsia" w:ascii="仿宋" w:hAnsi="仿宋" w:eastAsia="仿宋" w:cs="仿宋"/>
          <w:color w:val="000000" w:themeColor="text1"/>
          <w:sz w:val="32"/>
          <w:szCs w:val="32"/>
          <w:highlight w:val="none"/>
          <w14:textFill>
            <w14:solidFill>
              <w14:schemeClr w14:val="tx1"/>
            </w14:solidFill>
          </w14:textFill>
        </w:rPr>
        <w:t>国有资本经营预算财政拨款支出决算表</w:t>
      </w:r>
      <w:r>
        <w:rPr>
          <w:rFonts w:hint="eastAsia" w:ascii="仿宋" w:hAnsi="仿宋" w:eastAsia="仿宋" w:cs="仿宋"/>
          <w:color w:val="000000" w:themeColor="text1"/>
          <w:sz w:val="32"/>
          <w:szCs w:val="32"/>
          <w:highlight w:val="none"/>
          <w:lang w:val="en-US" w:eastAsia="zh-CN"/>
          <w14:textFill>
            <w14:solidFill>
              <w14:schemeClr w14:val="tx1"/>
            </w14:solidFill>
          </w14:textFill>
        </w:rPr>
        <w:t>(公开08表）</w:t>
      </w:r>
    </w:p>
    <w:tbl>
      <w:tblPr>
        <w:tblStyle w:val="6"/>
        <w:tblW w:w="5000" w:type="pct"/>
        <w:tblInd w:w="0" w:type="dxa"/>
        <w:tblLayout w:type="autofit"/>
        <w:tblCellMar>
          <w:top w:w="0" w:type="dxa"/>
          <w:left w:w="108" w:type="dxa"/>
          <w:bottom w:w="0" w:type="dxa"/>
          <w:right w:w="108" w:type="dxa"/>
        </w:tblCellMar>
      </w:tblPr>
      <w:tblGrid>
        <w:gridCol w:w="1657"/>
        <w:gridCol w:w="507"/>
        <w:gridCol w:w="281"/>
        <w:gridCol w:w="369"/>
        <w:gridCol w:w="2004"/>
        <w:gridCol w:w="3045"/>
        <w:gridCol w:w="3181"/>
        <w:gridCol w:w="3130"/>
      </w:tblGrid>
      <w:tr>
        <w:tblPrEx>
          <w:tblCellMar>
            <w:top w:w="0" w:type="dxa"/>
            <w:left w:w="108" w:type="dxa"/>
            <w:bottom w:w="0" w:type="dxa"/>
            <w:right w:w="108" w:type="dxa"/>
          </w:tblCellMar>
        </w:tblPrEx>
        <w:trPr>
          <w:trHeight w:val="384" w:hRule="atLeast"/>
        </w:trPr>
        <w:tc>
          <w:tcPr>
            <w:tcW w:w="5000" w:type="pct"/>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764"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0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2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2774" w:type="pct"/>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环江毛南族自治县职业技术学校</w:t>
            </w:r>
          </w:p>
        </w:tc>
        <w:tc>
          <w:tcPr>
            <w:tcW w:w="112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17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299"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58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114" w:type="pct"/>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74"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2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102"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4" w:type="pct"/>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74"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2"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2"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585" w:type="pct"/>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4" w:type="pct"/>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74"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22"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2"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700"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07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1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10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rPr>
          <w:trHeight w:val="308" w:hRule="atLeast"/>
        </w:trPr>
        <w:tc>
          <w:tcPr>
            <w:tcW w:w="1700" w:type="pct"/>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07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2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0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585"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14" w:type="pct"/>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074"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2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0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bidi="ar"/>
        </w:rPr>
        <w:t>本部门2022年度没有国有资本经营收入，也没有国有资本经营安排的支出，故本表无数据</w:t>
      </w:r>
      <w:r>
        <w:rPr>
          <w:rFonts w:hint="eastAsia" w:ascii="宋体" w:hAnsi="宋体" w:eastAsia="宋体" w:cs="宋体"/>
          <w:color w:val="000000"/>
          <w:kern w:val="0"/>
          <w:sz w:val="22"/>
          <w:szCs w:val="22"/>
          <w:highlight w:val="none"/>
          <w:lang w:eastAsia="zh-CN" w:bidi="ar"/>
        </w:rPr>
        <w:t>。</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4999" w:type="pct"/>
        <w:tblInd w:w="0" w:type="dxa"/>
        <w:tblLayout w:type="autofit"/>
        <w:tblCellMar>
          <w:top w:w="0" w:type="dxa"/>
          <w:left w:w="108" w:type="dxa"/>
          <w:bottom w:w="0" w:type="dxa"/>
          <w:right w:w="108" w:type="dxa"/>
        </w:tblCellMar>
      </w:tblPr>
      <w:tblGrid>
        <w:gridCol w:w="91"/>
        <w:gridCol w:w="1452"/>
        <w:gridCol w:w="1435"/>
        <w:gridCol w:w="1101"/>
        <w:gridCol w:w="1166"/>
        <w:gridCol w:w="1143"/>
        <w:gridCol w:w="1055"/>
        <w:gridCol w:w="1072"/>
        <w:gridCol w:w="1169"/>
        <w:gridCol w:w="1061"/>
        <w:gridCol w:w="1154"/>
        <w:gridCol w:w="1143"/>
        <w:gridCol w:w="1116"/>
        <w:gridCol w:w="13"/>
      </w:tblGrid>
      <w:tr>
        <w:tblPrEx>
          <w:tblCellMar>
            <w:top w:w="0" w:type="dxa"/>
            <w:left w:w="108" w:type="dxa"/>
            <w:bottom w:w="0" w:type="dxa"/>
            <w:right w:w="108" w:type="dxa"/>
          </w:tblCellMar>
        </w:tblPrEx>
        <w:trPr>
          <w:gridBefore w:val="1"/>
          <w:wBefore w:w="33" w:type="pct"/>
          <w:trHeight w:val="308" w:hRule="atLeast"/>
        </w:trPr>
        <w:tc>
          <w:tcPr>
            <w:tcW w:w="4966" w:type="pct"/>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0"/>
                <w:sz w:val="32"/>
                <w:szCs w:val="32"/>
                <w:highlight w:val="none"/>
                <w:lang w:eastAsia="zh-CN" w:bidi="ar"/>
                <w14:textFill>
                  <w14:solidFill>
                    <w14:schemeClr w14:val="tx1"/>
                  </w14:solidFill>
                </w14:textFill>
              </w:rPr>
              <w:t>表九：一般公共预算财政拨款安排的“三公”经费支出决算表（公开09表）</w:t>
            </w:r>
          </w:p>
        </w:tc>
      </w:tr>
      <w:tr>
        <w:tblPrEx>
          <w:tblCellMar>
            <w:top w:w="0" w:type="dxa"/>
            <w:left w:w="108" w:type="dxa"/>
            <w:bottom w:w="0" w:type="dxa"/>
            <w:right w:w="108" w:type="dxa"/>
          </w:tblCellMar>
        </w:tblPrEx>
        <w:trPr>
          <w:gridAfter w:val="1"/>
          <w:wAfter w:w="5" w:type="pct"/>
          <w:trHeight w:val="632" w:hRule="atLeast"/>
        </w:trPr>
        <w:tc>
          <w:tcPr>
            <w:tcW w:w="4994" w:type="pct"/>
            <w:gridSpan w:val="13"/>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5" w:type="pct"/>
          <w:trHeight w:val="316" w:hRule="atLeast"/>
        </w:trPr>
        <w:tc>
          <w:tcPr>
            <w:tcW w:w="546" w:type="pct"/>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0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3"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5" w:type="pct"/>
          <w:trHeight w:val="316" w:hRule="atLeast"/>
        </w:trPr>
        <w:tc>
          <w:tcPr>
            <w:tcW w:w="2630" w:type="pct"/>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环江毛南族自治县职业技术学校</w:t>
            </w:r>
          </w:p>
        </w:tc>
        <w:tc>
          <w:tcPr>
            <w:tcW w:w="3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1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86" w:type="pct"/>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5" w:type="pct"/>
          <w:trHeight w:val="326" w:hRule="atLeast"/>
        </w:trPr>
        <w:tc>
          <w:tcPr>
            <w:tcW w:w="263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2363" w:type="pct"/>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5" w:type="pct"/>
          <w:trHeight w:val="326" w:hRule="atLeast"/>
        </w:trPr>
        <w:tc>
          <w:tcPr>
            <w:tcW w:w="54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07"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1205"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370"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379"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1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1187" w:type="pct"/>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383" w:type="pct"/>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5" w:type="pct"/>
          <w:trHeight w:val="642" w:hRule="atLeast"/>
        </w:trPr>
        <w:tc>
          <w:tcPr>
            <w:tcW w:w="54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07"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370"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1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40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383" w:type="pct"/>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5" w:type="pct"/>
          <w:trHeight w:val="959" w:hRule="atLeast"/>
        </w:trPr>
        <w:tc>
          <w:tcPr>
            <w:tcW w:w="54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507"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8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41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37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379"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41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375"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40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40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38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5" w:type="pct"/>
          <w:trHeight w:val="642" w:hRule="atLeast"/>
        </w:trPr>
        <w:tc>
          <w:tcPr>
            <w:tcW w:w="546"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07"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89"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12"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37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3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413"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75"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8" w:type="pct"/>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403" w:type="pct"/>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383" w:type="pct"/>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5" w:type="pct"/>
          <w:trHeight w:val="642" w:hRule="atLeast"/>
        </w:trPr>
        <w:tc>
          <w:tcPr>
            <w:tcW w:w="4994" w:type="pct"/>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eastAsia="zh-CN" w:bidi="ar"/>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color w:val="000000"/>
          <w:kern w:val="0"/>
          <w:sz w:val="22"/>
          <w:szCs w:val="22"/>
          <w:highlight w:val="none"/>
          <w:lang w:bidi="ar"/>
        </w:rPr>
        <w:t>本部门2022年度没有</w:t>
      </w:r>
      <w:r>
        <w:rPr>
          <w:rFonts w:hint="eastAsia" w:ascii="宋体" w:hAnsi="宋体" w:eastAsia="宋体" w:cs="宋体"/>
          <w:color w:val="000000"/>
          <w:kern w:val="0"/>
          <w:sz w:val="22"/>
          <w:szCs w:val="22"/>
          <w:highlight w:val="none"/>
          <w:lang w:eastAsia="zh-CN" w:bidi="ar"/>
        </w:rPr>
        <w:t>“三公”经费</w:t>
      </w:r>
      <w:r>
        <w:rPr>
          <w:rFonts w:hint="eastAsia" w:ascii="宋体" w:hAnsi="宋体" w:eastAsia="宋体" w:cs="宋体"/>
          <w:color w:val="000000"/>
          <w:kern w:val="0"/>
          <w:sz w:val="22"/>
          <w:szCs w:val="22"/>
          <w:highlight w:val="none"/>
          <w:lang w:bidi="ar"/>
        </w:rPr>
        <w:t>收入，也没有</w:t>
      </w:r>
      <w:r>
        <w:rPr>
          <w:rFonts w:hint="eastAsia" w:ascii="宋体" w:hAnsi="宋体" w:eastAsia="宋体" w:cs="宋体"/>
          <w:color w:val="000000"/>
          <w:kern w:val="0"/>
          <w:sz w:val="22"/>
          <w:szCs w:val="22"/>
          <w:highlight w:val="none"/>
          <w:lang w:eastAsia="zh-CN" w:bidi="ar"/>
        </w:rPr>
        <w:t>“三公”经费</w:t>
      </w:r>
      <w:r>
        <w:rPr>
          <w:rFonts w:hint="eastAsia" w:ascii="宋体" w:hAnsi="宋体" w:eastAsia="宋体" w:cs="宋体"/>
          <w:color w:val="000000"/>
          <w:kern w:val="0"/>
          <w:sz w:val="22"/>
          <w:szCs w:val="22"/>
          <w:highlight w:val="none"/>
          <w:lang w:bidi="ar"/>
        </w:rPr>
        <w:t>的支出，故本表无数据</w:t>
      </w:r>
      <w:r>
        <w:rPr>
          <w:rFonts w:hint="eastAsia" w:ascii="宋体" w:hAnsi="宋体" w:eastAsia="宋体" w:cs="宋体"/>
          <w:color w:val="000000"/>
          <w:kern w:val="0"/>
          <w:sz w:val="22"/>
          <w:szCs w:val="22"/>
          <w:highlight w:val="none"/>
          <w:lang w:eastAsia="zh-CN" w:bidi="ar"/>
        </w:rPr>
        <w:t>。</w:t>
      </w: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环江毛南族自治县职业技术学校</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3582.72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增加31.45</w:t>
      </w:r>
      <w:r>
        <w:rPr>
          <w:rFonts w:hint="eastAsia" w:ascii="仿宋" w:hAnsi="仿宋" w:eastAsia="仿宋" w:cs="仿宋"/>
          <w:sz w:val="32"/>
          <w:szCs w:val="32"/>
          <w:highlight w:val="none"/>
        </w:rPr>
        <w:t>万元，</w:t>
      </w:r>
      <w:r>
        <w:rPr>
          <w:rFonts w:ascii="仿宋" w:hAnsi="仿宋" w:eastAsia="仿宋" w:cs="仿宋"/>
          <w:sz w:val="32"/>
          <w:u w:color="auto"/>
        </w:rPr>
        <w:t>增长0.89%</w:t>
      </w:r>
      <w:r>
        <w:rPr>
          <w:rFonts w:hint="eastAsia" w:ascii="仿宋" w:hAnsi="仿宋" w:eastAsia="仿宋" w:cs="仿宋"/>
          <w:sz w:val="32"/>
          <w:szCs w:val="32"/>
          <w:highlight w:val="none"/>
        </w:rPr>
        <w:t>，其中本年收入</w:t>
      </w:r>
      <w:r>
        <w:rPr>
          <w:rFonts w:ascii="仿宋" w:hAnsi="仿宋" w:eastAsia="仿宋" w:cs="仿宋"/>
          <w:sz w:val="32"/>
          <w:u w:color="auto"/>
        </w:rPr>
        <w:t>3582.72</w:t>
      </w:r>
      <w:r>
        <w:rPr>
          <w:rFonts w:hint="eastAsia" w:ascii="仿宋" w:hAnsi="仿宋" w:eastAsia="仿宋" w:cs="仿宋"/>
          <w:sz w:val="32"/>
          <w:szCs w:val="32"/>
          <w:highlight w:val="none"/>
        </w:rPr>
        <w:t>万元。收入具体情况如下。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3511.22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增加141.00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增长4.18%</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eastAsia="zh-CN"/>
        </w:rPr>
        <w:t>本年新增了急缺人才和公招教师</w:t>
      </w:r>
      <w:r>
        <w:rPr>
          <w:rFonts w:hint="eastAsia" w:ascii="Times New Roman" w:hAnsi="Times New Roman" w:eastAsia="仿宋_GB2312" w:cs="Times New Roman"/>
          <w:kern w:val="0"/>
          <w:sz w:val="32"/>
          <w:szCs w:val="32"/>
          <w:lang w:val="en-US" w:eastAsia="zh-CN"/>
        </w:rPr>
        <w:t>24人</w:t>
      </w:r>
      <w:r>
        <w:rPr>
          <w:rFonts w:hint="eastAsia" w:ascii="Times New Roman" w:hAnsi="Times New Roman" w:eastAsia="仿宋_GB2312" w:cs="Times New Roman"/>
          <w:kern w:val="0"/>
          <w:sz w:val="32"/>
          <w:szCs w:val="32"/>
          <w:lang w:eastAsia="zh-CN"/>
        </w:rPr>
        <w:t>，并且五险基数变高</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2022年没有政府性基金资金的收入和支出，所以各项数据为0</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2022年没有</w:t>
      </w:r>
      <w:r>
        <w:rPr>
          <w:rFonts w:hint="default" w:ascii="Times New Roman" w:hAnsi="Times New Roman" w:eastAsia="仿宋_GB2312" w:cs="Times New Roman"/>
          <w:sz w:val="32"/>
          <w:szCs w:val="32"/>
        </w:rPr>
        <w:t>国有资本经营</w:t>
      </w:r>
      <w:r>
        <w:rPr>
          <w:rFonts w:hint="eastAsia" w:ascii="Times New Roman" w:hAnsi="Times New Roman" w:eastAsia="仿宋_GB2312" w:cs="Times New Roman"/>
          <w:kern w:val="0"/>
          <w:sz w:val="32"/>
          <w:szCs w:val="32"/>
          <w:lang w:val="en-US" w:eastAsia="zh-CN"/>
        </w:rPr>
        <w:t>资金的收入和支出，所以各项数据为0</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2022年没有</w:t>
      </w:r>
      <w:r>
        <w:rPr>
          <w:rFonts w:hint="eastAsia" w:ascii="仿宋" w:hAnsi="仿宋" w:eastAsia="仿宋" w:cs="仿宋"/>
          <w:kern w:val="2"/>
          <w:sz w:val="32"/>
          <w:szCs w:val="32"/>
          <w:highlight w:val="none"/>
          <w:lang w:val="en-US" w:eastAsia="zh-CN" w:bidi="ar"/>
        </w:rPr>
        <w:t>上级补助收入</w:t>
      </w:r>
      <w:r>
        <w:rPr>
          <w:rFonts w:hint="eastAsia" w:ascii="Times New Roman" w:hAnsi="Times New Roman" w:eastAsia="仿宋_GB2312" w:cs="Times New Roman"/>
          <w:kern w:val="0"/>
          <w:sz w:val="32"/>
          <w:szCs w:val="32"/>
          <w:lang w:val="en-US" w:eastAsia="zh-CN"/>
        </w:rPr>
        <w:t>和支出，所以各项数据为0</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color w:val="FF0000"/>
          <w:sz w:val="32"/>
          <w:szCs w:val="32"/>
          <w:highlight w:val="none"/>
          <w:lang w:val="en-US" w:eastAsia="zh-CN"/>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71.50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增加71.50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val="en-US" w:eastAsia="zh-CN"/>
        </w:rPr>
        <w:t>2021</w:t>
      </w:r>
      <w:r>
        <w:rPr>
          <w:rFonts w:hint="eastAsia" w:ascii="Times New Roman" w:hAnsi="Times New Roman" w:eastAsia="仿宋_GB2312" w:cs="Times New Roman"/>
          <w:kern w:val="0"/>
          <w:sz w:val="32"/>
          <w:szCs w:val="32"/>
          <w:lang w:eastAsia="zh-CN"/>
        </w:rPr>
        <w:t>年度事业收入纳入一般公共预算财政拨款收入，所以</w:t>
      </w:r>
      <w:r>
        <w:rPr>
          <w:rFonts w:hint="eastAsia" w:ascii="Times New Roman" w:hAnsi="Times New Roman" w:eastAsia="仿宋_GB2312" w:cs="Times New Roman"/>
          <w:kern w:val="0"/>
          <w:sz w:val="32"/>
          <w:szCs w:val="32"/>
          <w:lang w:val="en-US" w:eastAsia="zh-CN"/>
        </w:rPr>
        <w:t>2021年事业收入为0 。</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2022年没有</w:t>
      </w:r>
      <w:r>
        <w:rPr>
          <w:rFonts w:hint="default" w:ascii="Times New Roman" w:hAnsi="Times New Roman" w:eastAsia="仿宋_GB2312" w:cs="Times New Roman"/>
          <w:kern w:val="0"/>
          <w:sz w:val="32"/>
          <w:szCs w:val="32"/>
        </w:rPr>
        <w:t>经营收入</w:t>
      </w:r>
      <w:r>
        <w:rPr>
          <w:rFonts w:hint="eastAsia" w:ascii="Times New Roman" w:hAnsi="Times New Roman" w:eastAsia="仿宋_GB2312" w:cs="Times New Roman"/>
          <w:kern w:val="0"/>
          <w:sz w:val="32"/>
          <w:szCs w:val="32"/>
          <w:lang w:val="en-US" w:eastAsia="zh-CN"/>
        </w:rPr>
        <w:t>的收入和支出，所以各项数据为0</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2022年没有</w:t>
      </w:r>
      <w:r>
        <w:rPr>
          <w:rFonts w:hint="eastAsia" w:ascii="仿宋" w:hAnsi="仿宋" w:eastAsia="仿宋" w:cs="仿宋"/>
          <w:kern w:val="2"/>
          <w:sz w:val="32"/>
          <w:szCs w:val="32"/>
          <w:highlight w:val="none"/>
          <w:lang w:val="en-US" w:eastAsia="zh-CN" w:bidi="ar"/>
        </w:rPr>
        <w:t>附属单位上缴</w:t>
      </w:r>
      <w:r>
        <w:rPr>
          <w:rFonts w:hint="default" w:ascii="Times New Roman" w:hAnsi="Times New Roman" w:eastAsia="仿宋_GB2312" w:cs="Times New Roman"/>
          <w:kern w:val="0"/>
          <w:sz w:val="32"/>
          <w:szCs w:val="32"/>
        </w:rPr>
        <w:t>收入</w:t>
      </w:r>
      <w:r>
        <w:rPr>
          <w:rFonts w:hint="eastAsia" w:ascii="Times New Roman" w:hAnsi="Times New Roman" w:eastAsia="仿宋_GB2312" w:cs="Times New Roman"/>
          <w:kern w:val="0"/>
          <w:sz w:val="32"/>
          <w:szCs w:val="32"/>
          <w:lang w:val="en-US" w:eastAsia="zh-CN"/>
        </w:rPr>
        <w:t>的收入和支出，所以各项数据为0</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_GB2312" w:cs="Times New Roman"/>
          <w:kern w:val="0"/>
          <w:sz w:val="32"/>
          <w:szCs w:val="32"/>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2022年没有</w:t>
      </w:r>
      <w:r>
        <w:rPr>
          <w:rFonts w:hint="eastAsia" w:ascii="仿宋" w:hAnsi="仿宋" w:eastAsia="仿宋" w:cs="仿宋"/>
          <w:kern w:val="2"/>
          <w:sz w:val="32"/>
          <w:szCs w:val="32"/>
          <w:highlight w:val="none"/>
          <w:lang w:val="en-US" w:eastAsia="zh-CN" w:bidi="ar"/>
        </w:rPr>
        <w:t>其他</w:t>
      </w:r>
      <w:r>
        <w:rPr>
          <w:rFonts w:hint="default" w:ascii="Times New Roman" w:hAnsi="Times New Roman" w:eastAsia="仿宋_GB2312" w:cs="Times New Roman"/>
          <w:kern w:val="0"/>
          <w:sz w:val="32"/>
          <w:szCs w:val="32"/>
        </w:rPr>
        <w:t>收入</w:t>
      </w:r>
      <w:r>
        <w:rPr>
          <w:rFonts w:hint="eastAsia" w:ascii="Times New Roman" w:hAnsi="Times New Roman" w:eastAsia="仿宋_GB2312" w:cs="Times New Roman"/>
          <w:kern w:val="0"/>
          <w:sz w:val="32"/>
          <w:szCs w:val="32"/>
          <w:lang w:val="en-US" w:eastAsia="zh-CN"/>
        </w:rPr>
        <w:t>的收入和支出，所以各项数据为0</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主要原因是：本单位上年度没有非财政拨款结余。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减少181.05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kern w:val="2"/>
          <w:sz w:val="32"/>
          <w:szCs w:val="32"/>
          <w:highlight w:val="none"/>
          <w:lang w:val="en-US" w:eastAsia="zh-CN" w:bidi="ar"/>
        </w:rPr>
        <w:t>以前年度支出预算因客观条件变化未执行完毕，在2022度已执行完毕，</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2810510"/>
            <wp:effectExtent l="4445" t="4445" r="20955" b="234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3582.72</w:t>
      </w:r>
      <w:r>
        <w:rPr>
          <w:rFonts w:hint="eastAsia" w:ascii="仿宋" w:hAnsi="仿宋" w:eastAsia="仿宋" w:cs="仿宋"/>
          <w:sz w:val="32"/>
          <w:szCs w:val="32"/>
          <w:highlight w:val="none"/>
        </w:rPr>
        <w:t>万元，其中本年支出</w:t>
      </w:r>
      <w:r>
        <w:rPr>
          <w:rFonts w:ascii="仿宋" w:hAnsi="仿宋" w:eastAsia="仿宋" w:cs="仿宋"/>
          <w:sz w:val="32"/>
          <w:u w:color="auto"/>
        </w:rPr>
        <w:t>3582.72</w:t>
      </w:r>
      <w:r>
        <w:rPr>
          <w:rFonts w:hint="eastAsia" w:ascii="仿宋" w:hAnsi="仿宋" w:eastAsia="仿宋" w:cs="仿宋"/>
          <w:sz w:val="32"/>
          <w:szCs w:val="32"/>
          <w:highlight w:val="none"/>
        </w:rPr>
        <w:t>万元，较2021年度决算数</w:t>
      </w:r>
      <w:r>
        <w:rPr>
          <w:rFonts w:ascii="仿宋" w:hAnsi="仿宋" w:eastAsia="仿宋" w:cs="仿宋"/>
          <w:sz w:val="32"/>
          <w:u w:color="auto"/>
        </w:rPr>
        <w:t>增加31.45</w:t>
      </w:r>
      <w:r>
        <w:rPr>
          <w:rFonts w:hint="eastAsia" w:ascii="仿宋" w:hAnsi="仿宋" w:eastAsia="仿宋" w:cs="仿宋"/>
          <w:sz w:val="32"/>
          <w:szCs w:val="32"/>
          <w:highlight w:val="none"/>
        </w:rPr>
        <w:t>万元，</w:t>
      </w:r>
      <w:r>
        <w:rPr>
          <w:rFonts w:ascii="仿宋" w:hAnsi="仿宋" w:eastAsia="仿宋" w:cs="仿宋"/>
          <w:sz w:val="32"/>
          <w:u w:color="auto"/>
        </w:rPr>
        <w:t>增长0.89%</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32.81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lang w:eastAsia="zh-CN"/>
          <w14:textFill>
            <w14:solidFill>
              <w14:schemeClr w14:val="tx1"/>
            </w14:solidFill>
          </w14:textFill>
        </w:rPr>
        <w:t>该资金是工会费，</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宋体" w:hAnsi="宋体" w:eastAsia="宋体" w:cs="宋体"/>
          <w:bCs/>
          <w:color w:val="000000"/>
          <w:sz w:val="32"/>
          <w:szCs w:val="32"/>
          <w:lang w:val="en-US" w:eastAsia="zh-CN"/>
        </w:rPr>
        <w:t>“建工会组织、维权益、送温暖、搞活动、抓亮点”，急教工所急，想教工所想，把工会建成温暖的职工之家，关心教职工的实际困难，安排好教职工文体活动及节日慰问红白喜事慰问工作等，增进团队的凝聚力。</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增加32.81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主要原因是：2021年度工会费未纳入预算一体化系统，2022年开始工会费纳入预算一体化系统，所以增长100%。</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2740.26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主要用于</w:t>
      </w:r>
      <w:r>
        <w:rPr>
          <w:rFonts w:hint="eastAsia" w:ascii="华文仿宋" w:hAnsi="华文仿宋" w:eastAsia="华文仿宋" w:cs="华文仿宋"/>
          <w:kern w:val="0"/>
          <w:sz w:val="32"/>
          <w:szCs w:val="32"/>
          <w:lang w:eastAsia="zh-CN"/>
        </w:rPr>
        <w:t>本校教职工</w:t>
      </w:r>
      <w:r>
        <w:rPr>
          <w:rFonts w:hint="eastAsia" w:ascii="华文仿宋" w:hAnsi="华文仿宋" w:eastAsia="华文仿宋" w:cs="华文仿宋"/>
          <w:kern w:val="0"/>
          <w:sz w:val="32"/>
          <w:szCs w:val="32"/>
        </w:rPr>
        <w:t>人员</w:t>
      </w:r>
      <w:r>
        <w:rPr>
          <w:rFonts w:hint="eastAsia" w:ascii="华文仿宋" w:hAnsi="华文仿宋" w:eastAsia="华文仿宋" w:cs="华文仿宋"/>
          <w:kern w:val="0"/>
          <w:sz w:val="32"/>
          <w:szCs w:val="32"/>
          <w:lang w:eastAsia="zh-CN"/>
        </w:rPr>
        <w:t>经费</w:t>
      </w:r>
      <w:r>
        <w:rPr>
          <w:rFonts w:hint="eastAsia" w:ascii="华文仿宋" w:hAnsi="华文仿宋" w:eastAsia="华文仿宋" w:cs="华文仿宋"/>
          <w:kern w:val="0"/>
          <w:sz w:val="32"/>
          <w:szCs w:val="32"/>
        </w:rPr>
        <w:t>及为开展教育教学活动的支出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减少306.32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下降10.05%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主要原因是：2020年度有结余，2020年度</w:t>
      </w:r>
      <w:r>
        <w:rPr>
          <w:rFonts w:hint="eastAsia" w:ascii="华文仿宋" w:hAnsi="华文仿宋" w:eastAsia="华文仿宋" w:cs="华文仿宋"/>
          <w:kern w:val="0"/>
          <w:sz w:val="32"/>
          <w:szCs w:val="32"/>
        </w:rPr>
        <w:t>为开展教育教学活动的支出</w:t>
      </w:r>
      <w:r>
        <w:rPr>
          <w:rFonts w:hint="eastAsia" w:ascii="华文仿宋" w:hAnsi="华文仿宋" w:eastAsia="华文仿宋" w:cs="华文仿宋"/>
          <w:kern w:val="0"/>
          <w:sz w:val="32"/>
          <w:szCs w:val="32"/>
          <w:lang w:eastAsia="zh-CN"/>
        </w:rPr>
        <w:t>部分才</w:t>
      </w:r>
      <w:r>
        <w:rPr>
          <w:rFonts w:hint="eastAsia" w:ascii="华文仿宋" w:hAnsi="华文仿宋" w:eastAsia="华文仿宋" w:cs="华文仿宋"/>
          <w:kern w:val="0"/>
          <w:sz w:val="32"/>
          <w:szCs w:val="32"/>
          <w:lang w:val="en-US" w:eastAsia="zh-CN"/>
        </w:rPr>
        <w:t>2021年才能报账</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，所以2022年度比2021年度支出减少。</w:t>
      </w:r>
    </w:p>
    <w:p>
      <w:pPr>
        <w:keepNext w:val="0"/>
        <w:keepLines w:val="0"/>
        <w:widowControl w:val="0"/>
        <w:suppressLineNumbers w:val="0"/>
        <w:spacing w:before="0" w:beforeAutospacing="0" w:after="0" w:afterAutospacing="0"/>
        <w:ind w:left="0" w:right="0" w:firstLine="640" w:firstLineChars="200"/>
        <w:jc w:val="left"/>
        <w:rPr>
          <w:rFonts w:hint="default" w:ascii="Times New Roman" w:hAnsi="Times New Roman" w:eastAsia="仿宋_GB2312" w:cs="Times New Roman"/>
          <w:kern w:val="0"/>
          <w:sz w:val="32"/>
          <w:szCs w:val="32"/>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241.55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lang w:eastAsia="zh-CN"/>
        </w:rPr>
        <w:t>本校教职工五险</w:t>
      </w:r>
      <w:r>
        <w:rPr>
          <w:rFonts w:hint="eastAsia" w:ascii="华文仿宋" w:hAnsi="华文仿宋" w:eastAsia="华文仿宋" w:cs="华文仿宋"/>
          <w:kern w:val="0"/>
          <w:sz w:val="32"/>
          <w:szCs w:val="32"/>
        </w:rPr>
        <w:t>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增加4.48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增长1.89%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Times New Roman" w:hAnsi="Times New Roman" w:eastAsia="仿宋_GB2312" w:cs="Times New Roman"/>
          <w:kern w:val="0"/>
          <w:sz w:val="32"/>
          <w:szCs w:val="32"/>
          <w:lang w:eastAsia="zh-CN"/>
        </w:rPr>
        <w:t>本年新增了急缺人才和公招教师</w:t>
      </w:r>
      <w:r>
        <w:rPr>
          <w:rFonts w:hint="eastAsia" w:ascii="Times New Roman" w:hAnsi="Times New Roman" w:eastAsia="仿宋_GB2312" w:cs="Times New Roman"/>
          <w:kern w:val="0"/>
          <w:sz w:val="32"/>
          <w:szCs w:val="32"/>
          <w:lang w:val="en-US" w:eastAsia="zh-CN"/>
        </w:rPr>
        <w:t>24人</w:t>
      </w:r>
      <w:r>
        <w:rPr>
          <w:rFonts w:hint="default" w:ascii="Times New Roman" w:hAnsi="Times New Roman" w:eastAsia="仿宋_GB2312" w:cs="Times New Roman"/>
          <w:kern w:val="0"/>
          <w:sz w:val="32"/>
          <w:szCs w:val="32"/>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179.89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lang w:eastAsia="zh-CN"/>
        </w:rPr>
        <w:t>本校教职工公积金</w:t>
      </w:r>
      <w:r>
        <w:rPr>
          <w:rFonts w:hint="eastAsia" w:ascii="华文仿宋" w:hAnsi="华文仿宋" w:eastAsia="华文仿宋" w:cs="华文仿宋"/>
          <w:kern w:val="0"/>
          <w:sz w:val="32"/>
          <w:szCs w:val="32"/>
        </w:rPr>
        <w:t>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增加118.13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增长191.27%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只统计了环江毛南族自治县职业技术学校的公积金，2022年是环江毛南族自治县职业技术学校和环江毛南族自治县第二高级中学合在一起做决算（环江毛南族自治县职业技术学校和环江毛南族自治县第二高级中学是同一所学校，两块牌子，同一套领导班子，同一套账，所以合在一起做决算）</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388.21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auto"/>
          <w:kern w:val="0"/>
          <w:sz w:val="32"/>
          <w:szCs w:val="32"/>
          <w:lang w:val="en-US" w:eastAsia="zh-CN"/>
        </w:rPr>
        <w:t>2022</w:t>
      </w:r>
      <w:r>
        <w:rPr>
          <w:rFonts w:hint="eastAsia" w:ascii="华文仿宋" w:hAnsi="华文仿宋" w:eastAsia="华文仿宋" w:cs="华文仿宋"/>
          <w:color w:val="auto"/>
          <w:kern w:val="0"/>
          <w:sz w:val="32"/>
          <w:szCs w:val="32"/>
        </w:rPr>
        <w:t>年</w:t>
      </w:r>
      <w:r>
        <w:rPr>
          <w:rFonts w:hint="eastAsia" w:ascii="华文仿宋" w:hAnsi="华文仿宋" w:eastAsia="华文仿宋" w:cs="华文仿宋"/>
          <w:color w:val="auto"/>
          <w:kern w:val="0"/>
          <w:sz w:val="32"/>
          <w:szCs w:val="32"/>
          <w:lang w:eastAsia="zh-CN"/>
        </w:rPr>
        <w:t>奖励性补贴支出，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增加182.35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增长88.58%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主要原因是：2021年10月增加了19位新老师，2022年增加了24位新老师，同时奖励性补贴待遇变高了。</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000000" w:themeColor="text1"/>
          <w:sz w:val="32"/>
          <w:szCs w:val="32"/>
          <w:highlight w:val="none"/>
          <w:lang w:eastAsia="zh-CN" w:bidi="ar"/>
          <w14:textFill>
            <w14:solidFill>
              <w14:schemeClr w14:val="tx1"/>
            </w14:solidFill>
          </w14:textFill>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：本年度本单位没有资金结余。</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主要原因是：上年末和本年度本单位没有资金结转结余。</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23410" cy="2632710"/>
            <wp:effectExtent l="4445" t="5080" r="10795" b="1016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环江毛南族自治县职业技术学校2022年度一般公共预算财政拨款支出</w:t>
      </w:r>
      <w:r>
        <w:rPr>
          <w:rFonts w:ascii="仿宋" w:hAnsi="仿宋" w:eastAsia="仿宋" w:cs="仿宋"/>
          <w:sz w:val="32"/>
          <w:u w:color="auto"/>
        </w:rPr>
        <w:t>3511.22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减少40.05</w:t>
      </w:r>
      <w:r>
        <w:rPr>
          <w:rFonts w:hint="eastAsia" w:ascii="仿宋" w:hAnsi="仿宋" w:eastAsia="仿宋" w:cs="仿宋"/>
          <w:sz w:val="32"/>
          <w:szCs w:val="32"/>
          <w:highlight w:val="none"/>
        </w:rPr>
        <w:t>万元，</w:t>
      </w:r>
      <w:r>
        <w:rPr>
          <w:rFonts w:ascii="仿宋" w:hAnsi="仿宋" w:eastAsia="仿宋" w:cs="仿宋"/>
          <w:sz w:val="32"/>
          <w:u w:color="auto"/>
        </w:rPr>
        <w:t>下降1.13%</w:t>
      </w:r>
      <w:r>
        <w:rPr>
          <w:rFonts w:hint="eastAsia" w:ascii="仿宋" w:hAnsi="仿宋" w:eastAsia="仿宋" w:cs="仿宋"/>
          <w:sz w:val="32"/>
          <w:szCs w:val="32"/>
          <w:highlight w:val="none"/>
        </w:rPr>
        <w:t>。其中：基本支出</w:t>
      </w:r>
      <w:r>
        <w:rPr>
          <w:rFonts w:ascii="仿宋" w:hAnsi="仿宋" w:eastAsia="仿宋" w:cs="仿宋"/>
          <w:sz w:val="32"/>
          <w:u w:color="auto"/>
        </w:rPr>
        <w:t>2421.50</w:t>
      </w:r>
      <w:r>
        <w:rPr>
          <w:rFonts w:hint="eastAsia" w:ascii="仿宋" w:hAnsi="仿宋" w:eastAsia="仿宋" w:cs="仿宋"/>
          <w:sz w:val="32"/>
          <w:szCs w:val="32"/>
          <w:highlight w:val="none"/>
        </w:rPr>
        <w:t>万元，项目支出</w:t>
      </w:r>
      <w:r>
        <w:rPr>
          <w:rFonts w:ascii="仿宋" w:hAnsi="仿宋" w:eastAsia="仿宋" w:cs="仿宋"/>
          <w:sz w:val="32"/>
          <w:u w:color="auto"/>
        </w:rPr>
        <w:t>1089.72</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环江毛南族自治县职业技术学校2022 年度一般公共预算财政拨款支出年初预算为</w:t>
      </w:r>
      <w:r>
        <w:rPr>
          <w:rFonts w:ascii="仿宋" w:hAnsi="仿宋" w:eastAsia="仿宋" w:cs="仿宋"/>
          <w:sz w:val="32"/>
          <w:u w:color="auto"/>
        </w:rPr>
        <w:t>1607.89</w:t>
      </w:r>
      <w:r>
        <w:rPr>
          <w:rFonts w:hint="eastAsia" w:ascii="仿宋" w:hAnsi="仿宋" w:eastAsia="仿宋" w:cs="仿宋"/>
          <w:sz w:val="32"/>
          <w:szCs w:val="32"/>
          <w:highlight w:val="none"/>
        </w:rPr>
        <w:t>万元，支出决算为</w:t>
      </w:r>
      <w:r>
        <w:rPr>
          <w:rFonts w:ascii="仿宋" w:hAnsi="仿宋" w:eastAsia="仿宋" w:cs="仿宋"/>
          <w:sz w:val="32"/>
          <w:u w:color="auto"/>
        </w:rPr>
        <w:t>3511.22</w:t>
      </w:r>
      <w:r>
        <w:rPr>
          <w:rFonts w:hint="eastAsia" w:ascii="仿宋" w:hAnsi="仿宋" w:eastAsia="仿宋" w:cs="仿宋"/>
          <w:sz w:val="32"/>
          <w:szCs w:val="32"/>
          <w:highlight w:val="none"/>
        </w:rPr>
        <w:t>万元，完成年初预算的</w:t>
      </w:r>
      <w:r>
        <w:rPr>
          <w:rFonts w:ascii="仿宋" w:hAnsi="仿宋" w:eastAsia="仿宋" w:cs="仿宋"/>
          <w:sz w:val="32"/>
          <w:u w:color="auto"/>
        </w:rPr>
        <w:t>218.37%</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23.17</w:t>
      </w:r>
      <w:r>
        <w:rPr>
          <w:rFonts w:hint="eastAsia" w:ascii="仿宋" w:hAnsi="仿宋" w:eastAsia="仿宋"/>
          <w:sz w:val="32"/>
          <w:szCs w:val="32"/>
          <w:highlight w:val="none"/>
        </w:rPr>
        <w:t>万元，支出决算为</w:t>
      </w:r>
      <w:r>
        <w:rPr>
          <w:rFonts w:ascii="仿宋" w:hAnsi="仿宋" w:eastAsia="仿宋"/>
          <w:sz w:val="32"/>
          <w:szCs w:val="32"/>
          <w:highlight w:val="none"/>
        </w:rPr>
        <w:t>32.81</w:t>
      </w:r>
      <w:r>
        <w:rPr>
          <w:rFonts w:hint="eastAsia" w:ascii="仿宋" w:hAnsi="仿宋" w:eastAsia="仿宋"/>
          <w:sz w:val="32"/>
          <w:szCs w:val="32"/>
          <w:highlight w:val="none"/>
        </w:rPr>
        <w:t>万元，完成年初预算的</w:t>
      </w:r>
      <w:r>
        <w:rPr>
          <w:rFonts w:ascii="仿宋" w:hAnsi="仿宋" w:eastAsia="仿宋"/>
          <w:sz w:val="32"/>
          <w:szCs w:val="32"/>
          <w:highlight w:val="none"/>
        </w:rPr>
        <w:t>141.61%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原因是：2021年到2022年度新招聘了43位新老师，同时工资待遇提高了，年初预算按原来工资算，所以预算比支出变少了。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141.61%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工会日常支出、节日文体活动、节日慰问品、教职工喜丧慰问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教师增多，工资提高了，工会费也增加了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23.17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32.81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工会日常支出、节日文体活动、节日慰问品、教职工喜丧慰问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教师增多，工资提高了，工会费也增加了</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5369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1260.31</w:t>
      </w:r>
      <w:r>
        <w:rPr>
          <w:rFonts w:hint="eastAsia" w:ascii="仿宋" w:hAnsi="仿宋" w:eastAsia="仿宋"/>
          <w:sz w:val="32"/>
          <w:szCs w:val="32"/>
          <w:highlight w:val="none"/>
        </w:rPr>
        <w:t>万元，支出决算为</w:t>
      </w:r>
      <w:r>
        <w:rPr>
          <w:rFonts w:ascii="仿宋" w:hAnsi="仿宋" w:eastAsia="仿宋"/>
          <w:sz w:val="32"/>
          <w:szCs w:val="32"/>
          <w:highlight w:val="none"/>
        </w:rPr>
        <w:t>2668.76</w:t>
      </w:r>
      <w:r>
        <w:rPr>
          <w:rFonts w:hint="eastAsia" w:ascii="仿宋" w:hAnsi="仿宋" w:eastAsia="仿宋"/>
          <w:sz w:val="32"/>
          <w:szCs w:val="32"/>
          <w:highlight w:val="none"/>
        </w:rPr>
        <w:t>万元，完成年初预算的</w:t>
      </w:r>
      <w:r>
        <w:rPr>
          <w:rFonts w:ascii="仿宋" w:hAnsi="仿宋" w:eastAsia="仿宋"/>
          <w:sz w:val="32"/>
          <w:szCs w:val="32"/>
          <w:highlight w:val="none"/>
        </w:rPr>
        <w:t>211.75%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预算取数有误，只取了环江毛南族自治县第二高级中学的预算数，漏了环江毛南族自治县职业技术学校的预算数、其他普通教育支出预算数以及其他教育附加安排支出的预算数，同时2021年至2022年度增加了43位新老师以及教师待遇提高，导致高中教育比预算多了428.3万。</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高中教育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1260.31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1688.61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133.98%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提高教师待遇，增加43位新老师工资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教师增加，教师待遇提高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276.38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发放学生助学金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助学金没有纳入年初预算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中等职业教育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697.61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发放环江职校教师工资</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漏了环江职校人员经费的预算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6.17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发放奖励性补贴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没有纳入年初预算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1260.31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2668.76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发放人员经费和学生助学金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教师增加，教师待遇提高，年初漏了部分预算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000000" w:themeColor="text1"/>
          <w:highlight w:val="none"/>
          <w:lang w:val="en-US" w:eastAsia="zh-CN"/>
          <w14:textFill>
            <w14:solidFill>
              <w14:schemeClr w14:val="tx1"/>
            </w14:solidFill>
          </w14:textFill>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185.38</w:t>
      </w:r>
      <w:r>
        <w:rPr>
          <w:rFonts w:hint="eastAsia" w:ascii="仿宋" w:hAnsi="仿宋" w:eastAsia="仿宋"/>
          <w:sz w:val="32"/>
          <w:szCs w:val="32"/>
          <w:highlight w:val="none"/>
        </w:rPr>
        <w:t>万元，支出决算为</w:t>
      </w:r>
      <w:r>
        <w:rPr>
          <w:rFonts w:ascii="仿宋" w:hAnsi="仿宋" w:eastAsia="仿宋"/>
          <w:sz w:val="32"/>
          <w:szCs w:val="32"/>
          <w:highlight w:val="none"/>
        </w:rPr>
        <w:t>241.55</w:t>
      </w:r>
      <w:r>
        <w:rPr>
          <w:rFonts w:hint="eastAsia" w:ascii="仿宋" w:hAnsi="仿宋" w:eastAsia="仿宋"/>
          <w:sz w:val="32"/>
          <w:szCs w:val="32"/>
          <w:highlight w:val="none"/>
        </w:rPr>
        <w:t>万元，完成年初预算的</w:t>
      </w:r>
      <w:r>
        <w:rPr>
          <w:rFonts w:ascii="仿宋" w:hAnsi="仿宋" w:eastAsia="仿宋"/>
          <w:sz w:val="32"/>
          <w:szCs w:val="32"/>
          <w:highlight w:val="none"/>
        </w:rPr>
        <w:t>130.30%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2022年度新增24位新老师，且缴费基数增加了。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185.38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241.55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130.30%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人员增加，缴费基数提高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185.38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241.55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人员增加，缴费基数提高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96515"/>
            <wp:effectExtent l="4445" t="4445" r="1651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139.03</w:t>
      </w:r>
      <w:r>
        <w:rPr>
          <w:rFonts w:hint="eastAsia" w:ascii="仿宋" w:hAnsi="仿宋" w:eastAsia="仿宋"/>
          <w:sz w:val="32"/>
          <w:szCs w:val="32"/>
          <w:highlight w:val="none"/>
        </w:rPr>
        <w:t>万元，支出决算为</w:t>
      </w:r>
      <w:r>
        <w:rPr>
          <w:rFonts w:ascii="仿宋" w:hAnsi="仿宋" w:eastAsia="仿宋"/>
          <w:sz w:val="32"/>
          <w:szCs w:val="32"/>
          <w:highlight w:val="none"/>
        </w:rPr>
        <w:t>179.89</w:t>
      </w:r>
      <w:r>
        <w:rPr>
          <w:rFonts w:hint="eastAsia" w:ascii="仿宋" w:hAnsi="仿宋" w:eastAsia="仿宋"/>
          <w:sz w:val="32"/>
          <w:szCs w:val="32"/>
          <w:highlight w:val="none"/>
        </w:rPr>
        <w:t>万元，完成年初预算的</w:t>
      </w:r>
      <w:r>
        <w:rPr>
          <w:rFonts w:ascii="仿宋" w:hAnsi="仿宋" w:eastAsia="仿宋"/>
          <w:sz w:val="32"/>
          <w:szCs w:val="32"/>
          <w:highlight w:val="none"/>
        </w:rPr>
        <w:t>129.39%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本年度新增24位新老师，且缴费基数增加了。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139.03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179.89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129.39%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人员增加，缴费基数提高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139.03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179.89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支付在职教职工的公积金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人员增加，缴费基数提高</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49525"/>
            <wp:effectExtent l="4445" t="4445" r="16510" b="1778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32.81</w:t>
      </w:r>
      <w:r>
        <w:rPr>
          <w:rFonts w:hint="eastAsia" w:ascii="仿宋" w:hAnsi="仿宋" w:eastAsia="仿宋"/>
          <w:sz w:val="32"/>
          <w:szCs w:val="32"/>
          <w:highlight w:val="none"/>
        </w:rPr>
        <w:t>万元，支出决算为</w:t>
      </w:r>
      <w:r>
        <w:rPr>
          <w:rFonts w:ascii="仿宋" w:hAnsi="仿宋" w:eastAsia="仿宋"/>
          <w:sz w:val="32"/>
          <w:szCs w:val="32"/>
          <w:highlight w:val="none"/>
        </w:rPr>
        <w:t>388.21</w:t>
      </w:r>
      <w:r>
        <w:rPr>
          <w:rFonts w:hint="eastAsia" w:ascii="仿宋" w:hAnsi="仿宋" w:eastAsia="仿宋"/>
          <w:sz w:val="32"/>
          <w:szCs w:val="32"/>
          <w:highlight w:val="none"/>
        </w:rPr>
        <w:t>万元，完成年初预算的</w:t>
      </w:r>
      <w:r>
        <w:rPr>
          <w:rFonts w:ascii="仿宋" w:hAnsi="仿宋" w:eastAsia="仿宋"/>
          <w:sz w:val="32"/>
          <w:szCs w:val="32"/>
          <w:highlight w:val="none"/>
        </w:rPr>
        <w:t>1183.21%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原因是：年初预算只预算了环江毛南族自治县随工资发放的部分，漏了环江毛南族自治县第二高级中学的部分。</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388.21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用于支付教职工的奖励性补贴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教师增多，漏了环江二高的预算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388.21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用于支付教职工的奖励性补贴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教师增多，漏了环江二高的预算</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环江毛南族自治县职业技术学校2022年度一般公共预算财政拨款基本支出</w:t>
      </w:r>
      <w:r>
        <w:rPr>
          <w:rFonts w:ascii="仿宋" w:hAnsi="仿宋" w:eastAsia="仿宋" w:cs="仿宋"/>
          <w:sz w:val="32"/>
          <w:u w:color="auto"/>
        </w:rPr>
        <w:t>2421.50</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2381.70</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39.80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sz w:val="32"/>
          <w:szCs w:val="32"/>
          <w:highlight w:val="none"/>
        </w:rPr>
        <w:t>工资福利支出</w:t>
      </w:r>
      <w:r>
        <w:rPr>
          <w:rFonts w:ascii="仿宋" w:hAnsi="仿宋" w:eastAsia="仿宋" w:cs="仿宋"/>
          <w:sz w:val="32"/>
          <w:u w:color="auto"/>
        </w:rPr>
        <w:t>2286.86万元，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159.04%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主要原因是：2021年度到2022年度增加了43位新招聘教师，同时工资待遇提高，五险一金缴费基数加赠，导致支出增加。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886.53万元，30102津贴补贴69.28万元，30103奖金405.52万元，30107绩效工资375.54万元，30108机关事业单位基本养老保险缴费241.55万元，30110职工基本医疗保险缴费114.98万元，30112其他社会保障缴费13.58万元，30113住房公积金179.89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商品和服务支出</w:t>
      </w:r>
      <w:r>
        <w:rPr>
          <w:rFonts w:ascii="仿宋" w:hAnsi="仿宋" w:eastAsia="仿宋" w:cs="仿宋"/>
          <w:sz w:val="32"/>
          <w:u w:color="auto"/>
        </w:rPr>
        <w:t>39.80万元，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171.77%</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主要原因是：2021年度工会费未纳入预算一体化系统，2022年开始工会费纳入预算一体化系统，导致预决算出现差异。</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30201办公费1.49万元，30205水费4.22万元，30209物业管理费0.30万元，30213维修（护）费0.97万元，30228工会经费32.81万元。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46380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94.84万元，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354.14%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抚恤金是不能列入预算，发生了只能做预算追加，生活补助是退休教师工资，退休人数增多了，且退休待遇提高了。</w:t>
      </w:r>
    </w:p>
    <w:p>
      <w:pPr>
        <w:jc w:val="left"/>
        <w:rPr>
          <w:rFonts w:hint="eastAsia" w:ascii="仿宋" w:hAnsi="仿宋" w:eastAsia="仿宋" w:cs="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30304抚恤金37.19万元，30305生活补助57.35万元，30308助学金0.20万元，30399其他对个人和家庭的补助0.10万元。</w:t>
      </w:r>
      <w:r>
        <w:rPr>
          <w:rFonts w:hint="eastAsia" w:ascii="仿宋" w:hAnsi="仿宋" w:eastAsia="仿宋" w:cs="仿宋"/>
          <w:sz w:val="32"/>
          <w:szCs w:val="32"/>
          <w:highlight w:val="none"/>
        </w:rPr>
        <w:drawing>
          <wp:inline distT="0" distB="0" distL="114300" distR="114300">
            <wp:extent cx="4474845" cy="2157730"/>
            <wp:effectExtent l="4445" t="4445" r="16510" b="952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本单位本年度没有债务，所以没有债务利息及费用支出。所以各项数据为0。</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060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本单位本年度没有资本性支出，所以各项数据为0。</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本单位本年度没有其他支出，所以各项数据为0。</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91765"/>
            <wp:effectExtent l="4445" t="4445" r="16510" b="8890"/>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环江毛南族自治县职业技术学校2022年度政府性基金支出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环江毛南族自治县职业技术学校2022年度政府性基金支出年初预算为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rPr>
          <w:rFonts w:hint="eastAsia"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本</w:t>
      </w:r>
      <w:r>
        <w:rPr>
          <w:rFonts w:hint="eastAsia" w:ascii="仿宋" w:hAnsi="仿宋" w:eastAsia="仿宋" w:cs="仿宋"/>
          <w:color w:val="000000" w:themeColor="text1"/>
          <w:sz w:val="32"/>
          <w:szCs w:val="32"/>
          <w:highlight w:val="none"/>
          <w:lang w:eastAsia="zh-CN"/>
          <w14:textFill>
            <w14:solidFill>
              <w14:schemeClr w14:val="tx1"/>
            </w14:solidFill>
          </w14:textFill>
        </w:rPr>
        <w:t>单位</w:t>
      </w:r>
      <w:r>
        <w:rPr>
          <w:rFonts w:hint="eastAsia" w:ascii="仿宋" w:hAnsi="仿宋" w:eastAsia="仿宋" w:cs="仿宋"/>
          <w:color w:val="000000" w:themeColor="text1"/>
          <w:sz w:val="32"/>
          <w:szCs w:val="32"/>
          <w:highlight w:val="none"/>
          <w14:textFill>
            <w14:solidFill>
              <w14:schemeClr w14:val="tx1"/>
            </w14:solidFill>
          </w14:textFill>
        </w:rPr>
        <w:t>2022年度没有政府性基金预算财政拨款收入，也没有政府性基金预算财政拨款安排的支出，</w:t>
      </w:r>
      <w:r>
        <w:rPr>
          <w:rFonts w:hint="eastAsia" w:ascii="仿宋" w:hAnsi="仿宋" w:eastAsia="仿宋" w:cs="仿宋"/>
          <w:color w:val="auto"/>
          <w:kern w:val="2"/>
          <w:sz w:val="32"/>
          <w:szCs w:val="32"/>
          <w:highlight w:val="none"/>
          <w:lang w:val="en-US" w:eastAsia="zh-CN" w:bidi="ar"/>
        </w:rPr>
        <w:t>所以各项数据为0。</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环江毛南族自治县职业技术学校2022年度国有资本经营预算支出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环江毛南族自治县职业技术学校2022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rPr>
          <w:rFonts w:hint="eastAsia"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本</w:t>
      </w:r>
      <w:r>
        <w:rPr>
          <w:rFonts w:hint="eastAsia" w:ascii="仿宋" w:hAnsi="仿宋" w:eastAsia="仿宋" w:cs="仿宋"/>
          <w:color w:val="000000" w:themeColor="text1"/>
          <w:sz w:val="32"/>
          <w:szCs w:val="32"/>
          <w:highlight w:val="none"/>
          <w:lang w:eastAsia="zh-CN"/>
          <w14:textFill>
            <w14:solidFill>
              <w14:schemeClr w14:val="tx1"/>
            </w14:solidFill>
          </w14:textFill>
        </w:rPr>
        <w:t>单位</w:t>
      </w:r>
      <w:r>
        <w:rPr>
          <w:rFonts w:hint="eastAsia" w:ascii="仿宋" w:hAnsi="仿宋" w:eastAsia="仿宋" w:cs="仿宋"/>
          <w:color w:val="000000" w:themeColor="text1"/>
          <w:sz w:val="32"/>
          <w:szCs w:val="32"/>
          <w:highlight w:val="none"/>
          <w14:textFill>
            <w14:solidFill>
              <w14:schemeClr w14:val="tx1"/>
            </w14:solidFill>
          </w14:textFill>
        </w:rPr>
        <w:t>2022年度没有</w:t>
      </w:r>
      <w:r>
        <w:rPr>
          <w:rFonts w:hint="eastAsia" w:ascii="仿宋" w:hAnsi="仿宋" w:eastAsia="仿宋" w:cs="仿宋"/>
          <w:sz w:val="32"/>
          <w:szCs w:val="32"/>
          <w:highlight w:val="none"/>
        </w:rPr>
        <w:t>国有资本经营</w:t>
      </w:r>
      <w:r>
        <w:rPr>
          <w:rFonts w:hint="eastAsia" w:ascii="仿宋" w:hAnsi="仿宋" w:eastAsia="仿宋" w:cs="仿宋"/>
          <w:color w:val="000000" w:themeColor="text1"/>
          <w:sz w:val="32"/>
          <w:szCs w:val="32"/>
          <w:highlight w:val="none"/>
          <w14:textFill>
            <w14:solidFill>
              <w14:schemeClr w14:val="tx1"/>
            </w14:solidFill>
          </w14:textFill>
        </w:rPr>
        <w:t>收入，也没有</w:t>
      </w:r>
      <w:r>
        <w:rPr>
          <w:rFonts w:hint="eastAsia" w:ascii="仿宋" w:hAnsi="仿宋" w:eastAsia="仿宋" w:cs="仿宋"/>
          <w:sz w:val="32"/>
          <w:szCs w:val="32"/>
          <w:highlight w:val="none"/>
        </w:rPr>
        <w:t>国有资本经营</w:t>
      </w:r>
      <w:r>
        <w:rPr>
          <w:rFonts w:hint="eastAsia" w:ascii="仿宋" w:hAnsi="仿宋" w:eastAsia="仿宋" w:cs="仿宋"/>
          <w:color w:val="000000" w:themeColor="text1"/>
          <w:sz w:val="32"/>
          <w:szCs w:val="32"/>
          <w:highlight w:val="none"/>
          <w14:textFill>
            <w14:solidFill>
              <w14:schemeClr w14:val="tx1"/>
            </w14:solidFill>
          </w14:textFill>
        </w:rPr>
        <w:t>支出，</w:t>
      </w:r>
      <w:r>
        <w:rPr>
          <w:rFonts w:hint="eastAsia" w:ascii="仿宋" w:hAnsi="仿宋" w:eastAsia="仿宋" w:cs="仿宋"/>
          <w:color w:val="auto"/>
          <w:kern w:val="2"/>
          <w:sz w:val="32"/>
          <w:szCs w:val="32"/>
          <w:highlight w:val="none"/>
          <w:lang w:val="en-US" w:eastAsia="zh-CN" w:bidi="ar"/>
        </w:rPr>
        <w:t>所以各项数据为0。</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000000" w:themeColor="text1"/>
          <w:sz w:val="32"/>
          <w:szCs w:val="32"/>
          <w:highlight w:val="none"/>
          <w14:textFill>
            <w14:solidFill>
              <w14:schemeClr w14:val="tx1"/>
            </w14:solidFill>
          </w14:textFill>
        </w:rPr>
        <w:t>本</w:t>
      </w:r>
      <w:r>
        <w:rPr>
          <w:rFonts w:hint="eastAsia" w:ascii="仿宋" w:hAnsi="仿宋" w:eastAsia="仿宋" w:cs="仿宋"/>
          <w:color w:val="000000" w:themeColor="text1"/>
          <w:sz w:val="32"/>
          <w:szCs w:val="32"/>
          <w:highlight w:val="none"/>
          <w:lang w:eastAsia="zh-CN"/>
          <w14:textFill>
            <w14:solidFill>
              <w14:schemeClr w14:val="tx1"/>
            </w14:solidFill>
          </w14:textFill>
        </w:rPr>
        <w:t>单位</w:t>
      </w:r>
      <w:r>
        <w:rPr>
          <w:rFonts w:hint="eastAsia" w:ascii="仿宋" w:hAnsi="仿宋" w:eastAsia="仿宋" w:cs="仿宋"/>
          <w:color w:val="000000" w:themeColor="text1"/>
          <w:sz w:val="32"/>
          <w:szCs w:val="32"/>
          <w:highlight w:val="none"/>
          <w14:textFill>
            <w14:solidFill>
              <w14:schemeClr w14:val="tx1"/>
            </w14:solidFill>
          </w14:textFill>
        </w:rPr>
        <w:t>2022年度没有</w:t>
      </w:r>
      <w:r>
        <w:rPr>
          <w:rFonts w:hint="eastAsia" w:ascii="仿宋" w:hAnsi="仿宋" w:eastAsia="仿宋" w:cs="仿宋"/>
          <w:sz w:val="32"/>
          <w:szCs w:val="32"/>
          <w:highlight w:val="none"/>
        </w:rPr>
        <w:t>“三公”经费</w:t>
      </w:r>
      <w:r>
        <w:rPr>
          <w:rFonts w:hint="eastAsia" w:ascii="仿宋" w:hAnsi="仿宋" w:eastAsia="仿宋" w:cs="仿宋"/>
          <w:color w:val="000000" w:themeColor="text1"/>
          <w:sz w:val="32"/>
          <w:szCs w:val="32"/>
          <w:highlight w:val="none"/>
          <w14:textFill>
            <w14:solidFill>
              <w14:schemeClr w14:val="tx1"/>
            </w14:solidFill>
          </w14:textFill>
        </w:rPr>
        <w:t>收入，也没有</w:t>
      </w:r>
      <w:r>
        <w:rPr>
          <w:rFonts w:hint="eastAsia" w:ascii="仿宋" w:hAnsi="仿宋" w:eastAsia="仿宋" w:cs="仿宋"/>
          <w:sz w:val="32"/>
          <w:szCs w:val="32"/>
          <w:highlight w:val="none"/>
        </w:rPr>
        <w:t>“三公”经费</w:t>
      </w:r>
      <w:r>
        <w:rPr>
          <w:rFonts w:hint="eastAsia" w:ascii="仿宋" w:hAnsi="仿宋" w:eastAsia="仿宋" w:cs="仿宋"/>
          <w:color w:val="000000" w:themeColor="text1"/>
          <w:sz w:val="32"/>
          <w:szCs w:val="32"/>
          <w:highlight w:val="none"/>
          <w14:textFill>
            <w14:solidFill>
              <w14:schemeClr w14:val="tx1"/>
            </w14:solidFill>
          </w14:textFill>
        </w:rPr>
        <w:t>支出，</w:t>
      </w:r>
      <w:r>
        <w:rPr>
          <w:rFonts w:hint="eastAsia" w:ascii="仿宋" w:hAnsi="仿宋" w:eastAsia="仿宋" w:cs="仿宋"/>
          <w:color w:val="auto"/>
          <w:kern w:val="2"/>
          <w:sz w:val="32"/>
          <w:szCs w:val="32"/>
          <w:highlight w:val="none"/>
          <w:lang w:val="en-US" w:eastAsia="zh-CN" w:bidi="ar"/>
        </w:rPr>
        <w:t>所以各项数据为0。</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highlight w:val="none"/>
          <w14:textFill>
            <w14:solidFill>
              <w14:schemeClr w14:val="tx1"/>
            </w14:solidFill>
          </w14:textFill>
        </w:rPr>
        <w:t>本</w:t>
      </w:r>
      <w:r>
        <w:rPr>
          <w:rFonts w:hint="eastAsia" w:ascii="仿宋" w:hAnsi="仿宋" w:eastAsia="仿宋" w:cs="仿宋"/>
          <w:color w:val="000000" w:themeColor="text1"/>
          <w:sz w:val="32"/>
          <w:szCs w:val="32"/>
          <w:highlight w:val="none"/>
          <w:lang w:eastAsia="zh-CN"/>
          <w14:textFill>
            <w14:solidFill>
              <w14:schemeClr w14:val="tx1"/>
            </w14:solidFill>
          </w14:textFill>
        </w:rPr>
        <w:t>单位</w:t>
      </w:r>
      <w:r>
        <w:rPr>
          <w:rFonts w:hint="eastAsia" w:ascii="仿宋" w:hAnsi="仿宋" w:eastAsia="仿宋" w:cs="仿宋"/>
          <w:color w:val="000000" w:themeColor="text1"/>
          <w:sz w:val="32"/>
          <w:szCs w:val="32"/>
          <w:highlight w:val="none"/>
          <w14:textFill>
            <w14:solidFill>
              <w14:schemeClr w14:val="tx1"/>
            </w14:solidFill>
          </w14:textFill>
        </w:rPr>
        <w:t>2022年度没有</w:t>
      </w:r>
      <w:r>
        <w:rPr>
          <w:rFonts w:hint="eastAsia" w:ascii="仿宋" w:hAnsi="仿宋" w:eastAsia="仿宋" w:cs="仿宋"/>
          <w:sz w:val="32"/>
          <w:szCs w:val="32"/>
          <w:highlight w:val="none"/>
        </w:rPr>
        <w:t>因公出国（境）费</w:t>
      </w:r>
      <w:r>
        <w:rPr>
          <w:rFonts w:hint="eastAsia" w:ascii="仿宋" w:hAnsi="仿宋" w:eastAsia="仿宋" w:cs="仿宋"/>
          <w:color w:val="000000" w:themeColor="text1"/>
          <w:sz w:val="32"/>
          <w:szCs w:val="32"/>
          <w:highlight w:val="none"/>
          <w14:textFill>
            <w14:solidFill>
              <w14:schemeClr w14:val="tx1"/>
            </w14:solidFill>
          </w14:textFill>
        </w:rPr>
        <w:t>支出，</w:t>
      </w:r>
      <w:r>
        <w:rPr>
          <w:rFonts w:hint="eastAsia" w:ascii="仿宋" w:hAnsi="仿宋" w:eastAsia="仿宋" w:cs="仿宋"/>
          <w:color w:val="auto"/>
          <w:kern w:val="2"/>
          <w:sz w:val="32"/>
          <w:szCs w:val="32"/>
          <w:highlight w:val="none"/>
          <w:lang w:val="en-US" w:eastAsia="zh-CN" w:bidi="ar"/>
        </w:rPr>
        <w:t>所以各项数据为0。</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 w:hAnsi="仿宋" w:eastAsia="仿宋" w:cs="仿宋"/>
          <w:color w:val="000000" w:themeColor="text1"/>
          <w:sz w:val="32"/>
          <w:szCs w:val="32"/>
          <w:highlight w:val="none"/>
          <w14:textFill>
            <w14:solidFill>
              <w14:schemeClr w14:val="tx1"/>
            </w14:solidFill>
          </w14:textFill>
        </w:rPr>
        <w:t>没有</w:t>
      </w:r>
      <w:r>
        <w:rPr>
          <w:rFonts w:hint="eastAsia" w:ascii="仿宋" w:hAnsi="仿宋" w:eastAsia="仿宋" w:cs="仿宋"/>
          <w:sz w:val="32"/>
          <w:szCs w:val="32"/>
          <w:highlight w:val="none"/>
        </w:rPr>
        <w:t>因公出国（境）费</w:t>
      </w:r>
      <w:r>
        <w:rPr>
          <w:rFonts w:hint="eastAsia" w:ascii="仿宋" w:hAnsi="仿宋" w:eastAsia="仿宋" w:cs="仿宋"/>
          <w:color w:val="000000" w:themeColor="text1"/>
          <w:sz w:val="32"/>
          <w:szCs w:val="32"/>
          <w:highlight w:val="none"/>
          <w14:textFill>
            <w14:solidFill>
              <w14:schemeClr w14:val="tx1"/>
            </w14:solidFill>
          </w14:textFill>
        </w:rPr>
        <w:t>支出</w:t>
      </w:r>
      <w:r>
        <w:rPr>
          <w:rFonts w:hint="eastAsia" w:ascii="仿宋_GB2312" w:hAnsi="Times New Roman" w:eastAsia="仿宋_GB2312" w:cs="Times New Roman"/>
          <w:color w:val="FF0000"/>
          <w:sz w:val="32"/>
          <w:szCs w:val="32"/>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000000" w:themeColor="text1"/>
          <w:sz w:val="32"/>
          <w:szCs w:val="32"/>
          <w:highlight w:val="none"/>
          <w14:textFill>
            <w14:solidFill>
              <w14:schemeClr w14:val="tx1"/>
            </w14:solidFill>
          </w14:textFill>
        </w:rPr>
        <w:t>本</w:t>
      </w:r>
      <w:r>
        <w:rPr>
          <w:rFonts w:hint="eastAsia" w:ascii="仿宋" w:hAnsi="仿宋" w:eastAsia="仿宋" w:cs="仿宋"/>
          <w:color w:val="000000" w:themeColor="text1"/>
          <w:sz w:val="32"/>
          <w:szCs w:val="32"/>
          <w:highlight w:val="none"/>
          <w:lang w:eastAsia="zh-CN"/>
          <w14:textFill>
            <w14:solidFill>
              <w14:schemeClr w14:val="tx1"/>
            </w14:solidFill>
          </w14:textFill>
        </w:rPr>
        <w:t>单位</w:t>
      </w:r>
      <w:r>
        <w:rPr>
          <w:rFonts w:hint="eastAsia" w:ascii="仿宋" w:hAnsi="仿宋" w:eastAsia="仿宋" w:cs="仿宋"/>
          <w:color w:val="000000" w:themeColor="text1"/>
          <w:sz w:val="32"/>
          <w:szCs w:val="32"/>
          <w:highlight w:val="none"/>
          <w14:textFill>
            <w14:solidFill>
              <w14:schemeClr w14:val="tx1"/>
            </w14:solidFill>
          </w14:textFill>
        </w:rPr>
        <w:t>2022年度没有</w:t>
      </w:r>
      <w:r>
        <w:rPr>
          <w:rFonts w:hint="eastAsia" w:ascii="仿宋" w:hAnsi="仿宋" w:eastAsia="仿宋" w:cs="仿宋"/>
          <w:sz w:val="32"/>
          <w:szCs w:val="32"/>
          <w:highlight w:val="none"/>
        </w:rPr>
        <w:t>公务用车购置及运行维护费</w:t>
      </w:r>
      <w:r>
        <w:rPr>
          <w:rFonts w:hint="eastAsia" w:ascii="仿宋" w:hAnsi="仿宋" w:eastAsia="仿宋" w:cs="仿宋"/>
          <w:color w:val="000000" w:themeColor="text1"/>
          <w:sz w:val="32"/>
          <w:szCs w:val="32"/>
          <w:highlight w:val="none"/>
          <w14:textFill>
            <w14:solidFill>
              <w14:schemeClr w14:val="tx1"/>
            </w14:solidFill>
          </w14:textFill>
        </w:rPr>
        <w:t>支出，</w:t>
      </w:r>
      <w:r>
        <w:rPr>
          <w:rFonts w:hint="eastAsia" w:ascii="仿宋" w:hAnsi="仿宋" w:eastAsia="仿宋" w:cs="仿宋"/>
          <w:color w:val="auto"/>
          <w:kern w:val="2"/>
          <w:sz w:val="32"/>
          <w:szCs w:val="32"/>
          <w:highlight w:val="none"/>
          <w:lang w:val="en-US" w:eastAsia="zh-CN" w:bidi="ar"/>
        </w:rPr>
        <w:t>所以各项数据为0。</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eastAsia="zh-CN"/>
        </w:rPr>
        <w:t>本单位没有公务用车所以没有</w:t>
      </w:r>
      <w:r>
        <w:rPr>
          <w:rFonts w:hint="eastAsia" w:ascii="仿宋" w:hAnsi="仿宋" w:eastAsia="仿宋" w:cs="仿宋"/>
          <w:sz w:val="32"/>
          <w:szCs w:val="32"/>
          <w:highlight w:val="none"/>
        </w:rPr>
        <w:t>公务用车购置及运行维护费</w:t>
      </w:r>
      <w:r>
        <w:rPr>
          <w:rFonts w:hint="eastAsia" w:ascii="仿宋" w:hAnsi="仿宋" w:eastAsia="仿宋" w:cs="仿宋"/>
          <w:color w:val="000000" w:themeColor="text1"/>
          <w:sz w:val="32"/>
          <w:szCs w:val="32"/>
          <w:highlight w:val="none"/>
          <w14:textFill>
            <w14:solidFill>
              <w14:schemeClr w14:val="tx1"/>
            </w14:solidFill>
          </w14:textFill>
        </w:rPr>
        <w:t>支出</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sz w:val="32"/>
          <w:szCs w:val="32"/>
          <w:highlight w:val="none"/>
        </w:rPr>
        <w:t>2022年，</w:t>
      </w:r>
      <w:r>
        <w:rPr>
          <w:rFonts w:ascii="仿宋" w:hAnsi="仿宋" w:eastAsia="仿宋" w:cs="仿宋"/>
          <w:sz w:val="32"/>
          <w:u w:color="auto"/>
        </w:rPr>
        <w:t>环江毛南族自治县职业技术学校</w:t>
      </w:r>
      <w:r>
        <w:rPr>
          <w:rFonts w:hint="eastAsia" w:ascii="仿宋" w:hAnsi="仿宋" w:eastAsia="仿宋" w:cs="仿宋"/>
          <w:sz w:val="32"/>
          <w:szCs w:val="32"/>
          <w:highlight w:val="none"/>
        </w:rPr>
        <w:t>及</w:t>
      </w:r>
      <w:r>
        <w:rPr>
          <w:rFonts w:hint="eastAsia" w:ascii="仿宋" w:hAnsi="仿宋" w:eastAsia="仿宋" w:cs="仿宋"/>
          <w:color w:val="auto"/>
          <w:sz w:val="32"/>
          <w:szCs w:val="32"/>
          <w:highlight w:val="none"/>
          <w:u w:val="single"/>
          <w:lang w:val="en-US" w:eastAsia="zh-CN"/>
        </w:rPr>
        <w:t>0个</w:t>
      </w:r>
      <w:r>
        <w:rPr>
          <w:rFonts w:hint="eastAsia" w:ascii="仿宋" w:hAnsi="仿宋" w:eastAsia="仿宋" w:cs="仿宋"/>
          <w:sz w:val="32"/>
          <w:szCs w:val="32"/>
          <w:highlight w:val="none"/>
        </w:rPr>
        <w:t>所属单位开支财政拨款的公务用车保有量为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000000" w:themeColor="text1"/>
          <w:sz w:val="32"/>
          <w:szCs w:val="32"/>
          <w:highlight w:val="none"/>
          <w14:textFill>
            <w14:solidFill>
              <w14:schemeClr w14:val="tx1"/>
            </w14:solidFill>
          </w14:textFill>
        </w:rPr>
        <w:t>本</w:t>
      </w:r>
      <w:r>
        <w:rPr>
          <w:rFonts w:hint="eastAsia" w:ascii="仿宋" w:hAnsi="仿宋" w:eastAsia="仿宋" w:cs="仿宋"/>
          <w:color w:val="000000" w:themeColor="text1"/>
          <w:sz w:val="32"/>
          <w:szCs w:val="32"/>
          <w:highlight w:val="none"/>
          <w:lang w:eastAsia="zh-CN"/>
          <w14:textFill>
            <w14:solidFill>
              <w14:schemeClr w14:val="tx1"/>
            </w14:solidFill>
          </w14:textFill>
        </w:rPr>
        <w:t>单位</w:t>
      </w:r>
      <w:r>
        <w:rPr>
          <w:rFonts w:hint="eastAsia" w:ascii="仿宋" w:hAnsi="仿宋" w:eastAsia="仿宋" w:cs="仿宋"/>
          <w:color w:val="000000" w:themeColor="text1"/>
          <w:sz w:val="32"/>
          <w:szCs w:val="32"/>
          <w:highlight w:val="none"/>
          <w14:textFill>
            <w14:solidFill>
              <w14:schemeClr w14:val="tx1"/>
            </w14:solidFill>
          </w14:textFill>
        </w:rPr>
        <w:t>2022年度没有</w:t>
      </w:r>
      <w:r>
        <w:rPr>
          <w:rFonts w:hint="eastAsia" w:ascii="仿宋" w:hAnsi="仿宋" w:eastAsia="仿宋" w:cs="仿宋"/>
          <w:sz w:val="32"/>
          <w:szCs w:val="32"/>
          <w:highlight w:val="none"/>
        </w:rPr>
        <w:t>公务接待费支出</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所以各项数据为0。</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减少23.17</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default" w:ascii="Times New Roman" w:hAnsi="Times New Roman" w:eastAsia="仿宋_GB2312" w:cs="Times New Roman"/>
          <w:b w:val="0"/>
          <w:bCs w:val="0"/>
          <w:kern w:val="0"/>
          <w:sz w:val="32"/>
          <w:szCs w:val="32"/>
        </w:rPr>
        <w:t>办公设施设备购置经费</w:t>
      </w:r>
      <w:r>
        <w:rPr>
          <w:rFonts w:hint="eastAsia" w:ascii="Times New Roman" w:hAnsi="Times New Roman" w:eastAsia="仿宋_GB2312" w:cs="Times New Roman"/>
          <w:b w:val="0"/>
          <w:bCs w:val="0"/>
          <w:kern w:val="0"/>
          <w:sz w:val="32"/>
          <w:szCs w:val="32"/>
          <w:lang w:eastAsia="zh-CN"/>
        </w:rPr>
        <w:t>减少</w:t>
      </w:r>
      <w:r>
        <w:rPr>
          <w:rFonts w:hint="default" w:ascii="Times New Roman" w:hAnsi="Times New Roman" w:eastAsia="仿宋_GB2312" w:cs="Times New Roman"/>
          <w:b w:val="0"/>
          <w:bCs w:val="0"/>
          <w:kern w:val="0"/>
          <w:sz w:val="32"/>
          <w:szCs w:val="32"/>
        </w:rPr>
        <w:t>、资产运行维护支出</w:t>
      </w:r>
      <w:r>
        <w:rPr>
          <w:rFonts w:hint="eastAsia" w:ascii="Times New Roman" w:hAnsi="Times New Roman" w:eastAsia="仿宋_GB2312" w:cs="Times New Roman"/>
          <w:b w:val="0"/>
          <w:bCs w:val="0"/>
          <w:kern w:val="0"/>
          <w:sz w:val="32"/>
          <w:szCs w:val="32"/>
          <w:lang w:eastAsia="zh-CN"/>
        </w:rPr>
        <w:t>减少</w:t>
      </w:r>
      <w:r>
        <w:rPr>
          <w:rFonts w:hint="default" w:ascii="Times New Roman" w:hAnsi="Times New Roman" w:eastAsia="仿宋_GB2312" w:cs="Times New Roman"/>
          <w:b w:val="0"/>
          <w:bCs w:val="0"/>
          <w:kern w:val="0"/>
          <w:sz w:val="32"/>
          <w:szCs w:val="32"/>
        </w:rPr>
        <w:t>、信息系统运行维护支出</w:t>
      </w:r>
      <w:r>
        <w:rPr>
          <w:rFonts w:hint="eastAsia" w:ascii="Times New Roman" w:hAnsi="Times New Roman" w:eastAsia="仿宋_GB2312" w:cs="Times New Roman"/>
          <w:b w:val="0"/>
          <w:bCs w:val="0"/>
          <w:kern w:val="0"/>
          <w:sz w:val="32"/>
          <w:szCs w:val="32"/>
          <w:lang w:eastAsia="zh-CN"/>
        </w:rPr>
        <w:t>减少</w:t>
      </w:r>
      <w:r>
        <w:rPr>
          <w:rFonts w:hint="default" w:ascii="Times New Roman" w:hAnsi="Times New Roman" w:eastAsia="仿宋_GB2312" w:cs="Times New Roman"/>
          <w:b w:val="0"/>
          <w:bCs w:val="0"/>
          <w:kern w:val="0"/>
          <w:sz w:val="32"/>
          <w:szCs w:val="32"/>
        </w:rPr>
        <w:t>、人员编制数量增加、</w:t>
      </w:r>
      <w:r>
        <w:rPr>
          <w:rFonts w:hint="eastAsia" w:ascii="Times New Roman" w:hAnsi="Times New Roman" w:eastAsia="仿宋_GB2312" w:cs="Times New Roman"/>
          <w:b w:val="0"/>
          <w:bCs w:val="0"/>
          <w:kern w:val="0"/>
          <w:sz w:val="32"/>
          <w:szCs w:val="32"/>
          <w:lang w:eastAsia="zh-CN"/>
        </w:rPr>
        <w:t>劳务费减少</w:t>
      </w:r>
      <w:r>
        <w:rPr>
          <w:rFonts w:hint="default" w:ascii="Times New Roman" w:hAnsi="Times New Roman" w:eastAsia="仿宋_GB2312" w:cs="Times New Roman"/>
          <w:b w:val="0"/>
          <w:bCs w:val="0"/>
          <w:kern w:val="0"/>
          <w:sz w:val="32"/>
          <w:szCs w:val="32"/>
        </w:rPr>
        <w:t>等</w:t>
      </w:r>
      <w:r>
        <w:rPr>
          <w:rFonts w:hint="eastAsia" w:ascii="Times New Roman" w:hAnsi="Times New Roman" w:eastAsia="仿宋_GB2312" w:cs="Times New Roman"/>
          <w:b w:val="0"/>
          <w:bCs w:val="0"/>
          <w:kern w:val="0"/>
          <w:sz w:val="32"/>
          <w:szCs w:val="32"/>
          <w:lang w:eastAsia="zh-CN"/>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1238</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34.55</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w:t>
      </w:r>
      <w:r>
        <w:rPr>
          <w:rFonts w:hint="eastAsia" w:ascii="仿宋" w:hAnsi="仿宋" w:eastAsia="仿宋" w:cs="仿宋"/>
          <w:color w:val="000000" w:themeColor="text1"/>
          <w:sz w:val="32"/>
          <w:szCs w:val="32"/>
          <w:lang w:eastAsia="zh-CN"/>
          <w14:textFill>
            <w14:solidFill>
              <w14:schemeClr w14:val="tx1"/>
            </w14:solidFill>
          </w14:textFill>
        </w:rPr>
        <w:t>（本单位本年度没有</w:t>
      </w:r>
      <w:r>
        <w:rPr>
          <w:rFonts w:hint="eastAsia" w:ascii="仿宋" w:hAnsi="仿宋" w:eastAsia="仿宋" w:cs="仿宋"/>
          <w:color w:val="000000" w:themeColor="text1"/>
          <w:sz w:val="32"/>
          <w:szCs w:val="32"/>
          <w14:textFill>
            <w14:solidFill>
              <w14:schemeClr w14:val="tx1"/>
            </w14:solidFill>
          </w14:textFill>
        </w:rPr>
        <w:t>政府性基金</w:t>
      </w:r>
      <w:r>
        <w:rPr>
          <w:rFonts w:hint="eastAsia" w:ascii="仿宋" w:hAnsi="仿宋" w:eastAsia="仿宋" w:cs="仿宋"/>
          <w:color w:val="000000" w:themeColor="text1"/>
          <w:sz w:val="32"/>
          <w:szCs w:val="32"/>
          <w:lang w:eastAsia="zh-CN"/>
          <w14:textFill>
            <w14:solidFill>
              <w14:schemeClr w14:val="tx1"/>
            </w14:solidFill>
          </w14:textFill>
        </w:rPr>
        <w:t>收入和支出）</w:t>
      </w:r>
      <w:r>
        <w:rPr>
          <w:rFonts w:hint="eastAsia" w:ascii="仿宋" w:hAnsi="仿宋" w:eastAsia="仿宋" w:cs="仿宋"/>
          <w:color w:val="000000" w:themeColor="text1"/>
          <w:sz w:val="32"/>
          <w:szCs w:val="32"/>
          <w14:textFill>
            <w14:solidFill>
              <w14:schemeClr w14:val="tx1"/>
            </w14:solidFill>
          </w14:textFill>
        </w:rPr>
        <w:t>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w:t>
      </w:r>
      <w:r>
        <w:rPr>
          <w:rFonts w:hint="eastAsia" w:ascii="仿宋" w:hAnsi="仿宋" w:eastAsia="仿宋" w:cs="仿宋"/>
          <w:color w:val="000000" w:themeColor="text1"/>
          <w:sz w:val="32"/>
          <w:szCs w:val="32"/>
          <w:lang w:eastAsia="zh-CN"/>
          <w14:textFill>
            <w14:solidFill>
              <w14:schemeClr w14:val="tx1"/>
            </w14:solidFill>
          </w14:textFill>
        </w:rPr>
        <w:t>（本单位本年度没有</w:t>
      </w:r>
      <w:r>
        <w:rPr>
          <w:rFonts w:hint="eastAsia" w:ascii="仿宋" w:hAnsi="仿宋" w:eastAsia="仿宋" w:cs="仿宋"/>
          <w:color w:val="000000" w:themeColor="text1"/>
          <w:sz w:val="32"/>
          <w:szCs w:val="32"/>
          <w14:textFill>
            <w14:solidFill>
              <w14:schemeClr w14:val="tx1"/>
            </w14:solidFill>
          </w14:textFill>
        </w:rPr>
        <w:t>国有资本经营</w:t>
      </w:r>
      <w:r>
        <w:rPr>
          <w:rFonts w:hint="eastAsia" w:ascii="仿宋" w:hAnsi="仿宋" w:eastAsia="仿宋" w:cs="仿宋"/>
          <w:color w:val="000000" w:themeColor="text1"/>
          <w:sz w:val="32"/>
          <w:szCs w:val="32"/>
          <w:lang w:eastAsia="zh-CN"/>
          <w14:textFill>
            <w14:solidFill>
              <w14:schemeClr w14:val="tx1"/>
            </w14:solidFill>
          </w14:textFill>
        </w:rPr>
        <w:t>收入和支出）</w:t>
      </w:r>
      <w:r>
        <w:rPr>
          <w:rFonts w:hint="eastAsia" w:ascii="仿宋" w:hAnsi="仿宋" w:eastAsia="仿宋" w:cs="仿宋"/>
          <w:color w:val="000000" w:themeColor="text1"/>
          <w:sz w:val="32"/>
          <w:szCs w:val="32"/>
          <w14:textFill>
            <w14:solidFill>
              <w14:schemeClr w14:val="tx1"/>
            </w14:solidFill>
          </w14:textFill>
        </w:rPr>
        <w:t>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组织对“现代职业教育质量提升计划经费”等</w:t>
      </w:r>
      <w:r>
        <w:rPr>
          <w:rFonts w:hint="eastAsia" w:ascii="仿宋" w:hAnsi="仿宋" w:eastAsia="仿宋" w:cs="仿宋"/>
          <w:color w:val="000000" w:themeColor="text1"/>
          <w:sz w:val="32"/>
          <w:szCs w:val="32"/>
          <w:lang w:val="en-US" w:eastAsia="zh-CN"/>
          <w14:textFill>
            <w14:solidFill>
              <w14:schemeClr w14:val="tx1"/>
            </w14:solidFill>
          </w14:textFill>
        </w:rPr>
        <w:t>28</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1238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华文仿宋" w:hAnsi="华文仿宋" w:eastAsia="华文仿宋" w:cs="华文仿宋"/>
          <w:color w:val="auto"/>
          <w:kern w:val="0"/>
          <w:sz w:val="32"/>
          <w:szCs w:val="32"/>
        </w:rPr>
        <w:t>达到预期绩效目标</w:t>
      </w:r>
      <w:r>
        <w:rPr>
          <w:rFonts w:hint="eastAsia" w:ascii="华文仿宋" w:hAnsi="华文仿宋" w:eastAsia="华文仿宋" w:cs="华文仿宋"/>
          <w:color w:val="auto"/>
          <w:kern w:val="0"/>
          <w:sz w:val="32"/>
          <w:szCs w:val="32"/>
          <w:lang w:eastAsia="zh-CN"/>
        </w:rPr>
        <w:t>，</w:t>
      </w:r>
      <w:r>
        <w:rPr>
          <w:rFonts w:hint="eastAsia" w:ascii="仿宋" w:hAnsi="仿宋" w:eastAsia="仿宋" w:cs="仿宋"/>
          <w:color w:val="000000" w:themeColor="text1"/>
          <w:sz w:val="32"/>
          <w:szCs w:val="32"/>
          <w:lang w:eastAsia="zh-CN"/>
          <w14:textFill>
            <w14:solidFill>
              <w14:schemeClr w14:val="tx1"/>
            </w14:solidFill>
          </w14:textFill>
        </w:rPr>
        <w:t>取得了良好成果，具体如下：</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预算执行效果显著：</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单位在预算执行过程中，严格按照预算目标和计划进行，取得了显著的经济效益和社会效益，为单位的发展提供了有力保障。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预算管理规范有序：</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单位在预算编制、执行、监控和调整等环节，遵循了相关法规和制度要求，管理规范有序，为预算绩效评价提供了良好的基础。</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资源利用效率较高：</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单位在预算执行过程中，注重提高资源利用效率，合理分配和使用各类资源，有效降低了成本，提高了经济效益。</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服务质量稳步提升：</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单位在提供公共服务过程中，不断优化服务流程，提高服务质量，得到了</w:t>
      </w:r>
      <w:r>
        <w:rPr>
          <w:rFonts w:hint="eastAsia" w:ascii="仿宋" w:hAnsi="仿宋" w:eastAsia="仿宋" w:cs="仿宋"/>
          <w:color w:val="000000" w:themeColor="text1"/>
          <w:sz w:val="32"/>
          <w:szCs w:val="32"/>
          <w:lang w:eastAsia="zh-CN"/>
          <w14:textFill>
            <w14:solidFill>
              <w14:schemeClr w14:val="tx1"/>
            </w14:solidFill>
          </w14:textFill>
        </w:rPr>
        <w:t>师生、家长和社会</w:t>
      </w:r>
      <w:r>
        <w:rPr>
          <w:rFonts w:hint="eastAsia" w:ascii="仿宋" w:hAnsi="仿宋" w:eastAsia="仿宋" w:cs="仿宋"/>
          <w:color w:val="000000" w:themeColor="text1"/>
          <w:sz w:val="32"/>
          <w:szCs w:val="32"/>
          <w14:textFill>
            <w14:solidFill>
              <w14:schemeClr w14:val="tx1"/>
            </w14:solidFill>
          </w14:textFill>
        </w:rPr>
        <w:t>广泛好评，提升了单位的声誉。</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预算风险控制得当：</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单位在预算执行过程中，注重风险防范和控制，及时识别和应对潜在风险，确保了预算目标的顺利实现。</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创新能力较强：</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单位在预算执行过程中，积极探索创新，运用新技术、新方法提高预算管理水平，为提高预算绩效做出了积极贡献。</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预算沟通与协调能力突出：</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单位在预算执行过程中，注重与相关部门和单位的沟通与协调，形成了良好的工作合力，为预算绩效评价创造了有利条件。</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预算绩效评价体系完善：</w:t>
      </w:r>
      <w:r>
        <w:rPr>
          <w:rFonts w:hint="eastAsia" w:ascii="仿宋" w:hAnsi="仿宋" w:eastAsia="仿宋" w:cs="仿宋"/>
          <w:color w:val="000000" w:themeColor="text1"/>
          <w:sz w:val="32"/>
          <w:szCs w:val="32"/>
          <w:lang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单位在预算绩效评价方面，建立了完善的评价体系和方法，为提高预算管理水平和预算绩效提供了有力支持。</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华文仿宋" w:hAnsi="华文仿宋" w:eastAsia="华文仿宋" w:cs="华文仿宋"/>
          <w:color w:val="auto"/>
          <w:kern w:val="0"/>
          <w:sz w:val="32"/>
          <w:szCs w:val="32"/>
          <w:lang w:val="en-US" w:eastAsia="zh-CN"/>
        </w:rPr>
        <w:t>本单位不是预算绩效评价试点单位。</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2022年度我单位，绩效自评项目总共有28个，</w:t>
      </w:r>
      <w:r>
        <w:rPr>
          <w:rFonts w:hint="eastAsia" w:ascii="仿宋" w:hAnsi="仿宋" w:eastAsia="仿宋" w:cs="仿宋"/>
          <w:color w:val="000000" w:themeColor="text1"/>
          <w:sz w:val="32"/>
          <w:szCs w:val="32"/>
          <w14:textFill>
            <w14:solidFill>
              <w14:schemeClr w14:val="tx1"/>
            </w14:solidFill>
          </w14:textFill>
        </w:rPr>
        <w:t>现代职业教育质量提升计划经费项目</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15个</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，中等职业教育免学费补助资金等</w:t>
      </w:r>
      <w:r>
        <w:rPr>
          <w:rFonts w:hint="eastAsia" w:ascii="仿宋" w:hAnsi="仿宋" w:eastAsia="仿宋" w:cs="仿宋"/>
          <w:color w:val="000000" w:themeColor="text1"/>
          <w:sz w:val="32"/>
          <w:szCs w:val="32"/>
          <w:lang w:val="en-US" w:eastAsia="zh-CN"/>
          <w14:textFill>
            <w14:solidFill>
              <w14:schemeClr w14:val="tx1"/>
            </w14:solidFill>
          </w14:textFill>
        </w:rPr>
        <w:t>8个项目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90—99分，中等职业学校生均公用经费等5个项目</w:t>
      </w:r>
      <w:r>
        <w:rPr>
          <w:rFonts w:hint="eastAsia" w:ascii="仿宋" w:hAnsi="仿宋" w:eastAsia="仿宋" w:cs="仿宋"/>
          <w:color w:val="000000" w:themeColor="text1"/>
          <w:sz w:val="32"/>
          <w:szCs w:val="32"/>
          <w14:textFill>
            <w14:solidFill>
              <w14:schemeClr w14:val="tx1"/>
            </w14:solidFill>
          </w14:textFill>
        </w:rPr>
        <w:t>自评得分为</w:t>
      </w:r>
      <w:r>
        <w:rPr>
          <w:rFonts w:hint="eastAsia" w:ascii="仿宋" w:hAnsi="仿宋" w:eastAsia="仿宋" w:cs="仿宋"/>
          <w:color w:val="000000" w:themeColor="text1"/>
          <w:sz w:val="32"/>
          <w:szCs w:val="32"/>
          <w:lang w:val="en-US" w:eastAsia="zh-CN"/>
          <w14:textFill>
            <w14:solidFill>
              <w14:schemeClr w14:val="tx1"/>
            </w14:solidFill>
          </w14:textFill>
        </w:rPr>
        <w:t>80—89分，后附自评表。</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发现的主要问题及原因：</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目标设定不明确：在绩效自评过程中，发现</w:t>
      </w:r>
      <w:r>
        <w:rPr>
          <w:rFonts w:hint="eastAsia" w:ascii="仿宋" w:hAnsi="仿宋" w:eastAsia="仿宋" w:cs="仿宋"/>
          <w:color w:val="000000" w:themeColor="text1"/>
          <w:sz w:val="32"/>
          <w:szCs w:val="32"/>
          <w:lang w:eastAsia="zh-CN"/>
          <w14:textFill>
            <w14:solidFill>
              <w14:schemeClr w14:val="tx1"/>
            </w14:solidFill>
          </w14:textFill>
        </w:rPr>
        <w:t>一些</w:t>
      </w:r>
      <w:r>
        <w:rPr>
          <w:rFonts w:hint="eastAsia" w:ascii="仿宋" w:hAnsi="仿宋" w:eastAsia="仿宋" w:cs="仿宋"/>
          <w:color w:val="000000" w:themeColor="text1"/>
          <w:sz w:val="32"/>
          <w:szCs w:val="32"/>
          <w14:textFill>
            <w14:solidFill>
              <w14:schemeClr w14:val="tx1"/>
            </w14:solidFill>
          </w14:textFill>
        </w:rPr>
        <w:t>目标设定不够明确，导致工作重点和方向不清晰。原因是目标制定时沟通不足，或者目标过于宽泛、笼统。</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工作计划不合理：在执行</w:t>
      </w:r>
      <w:r>
        <w:rPr>
          <w:rFonts w:hint="eastAsia" w:ascii="仿宋" w:hAnsi="仿宋" w:eastAsia="仿宋" w:cs="仿宋"/>
          <w:color w:val="000000" w:themeColor="text1"/>
          <w:sz w:val="32"/>
          <w:szCs w:val="32"/>
          <w:lang w:eastAsia="zh-CN"/>
          <w14:textFill>
            <w14:solidFill>
              <w14:schemeClr w14:val="tx1"/>
            </w14:solidFill>
          </w14:textFill>
        </w:rPr>
        <w:t>预算绩效时</w:t>
      </w:r>
      <w:r>
        <w:rPr>
          <w:rFonts w:hint="eastAsia" w:ascii="仿宋" w:hAnsi="仿宋" w:eastAsia="仿宋" w:cs="仿宋"/>
          <w:color w:val="000000" w:themeColor="text1"/>
          <w:sz w:val="32"/>
          <w:szCs w:val="32"/>
          <w14:textFill>
            <w14:solidFill>
              <w14:schemeClr w14:val="tx1"/>
            </w14:solidFill>
          </w14:textFill>
        </w:rPr>
        <w:t>时，发现自己的工作计划不合理，导致工作效率低下。原因是计划制定时没有充分考虑实际情况，或者计划过于严格、缺乏灵活性。</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时间管理不佳：在绩效自评过程中，发现自己的时间管理能力有待提高，导致工作进度滞后。原因是没有合理安排工作时间，或者容易受到干扰、分心。</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技能不足：在完成</w:t>
      </w:r>
      <w:r>
        <w:rPr>
          <w:rFonts w:hint="eastAsia" w:ascii="仿宋" w:hAnsi="仿宋" w:eastAsia="仿宋" w:cs="仿宋"/>
          <w:color w:val="000000" w:themeColor="text1"/>
          <w:sz w:val="32"/>
          <w:szCs w:val="32"/>
          <w:lang w:eastAsia="zh-CN"/>
          <w14:textFill>
            <w14:solidFill>
              <w14:schemeClr w14:val="tx1"/>
            </w14:solidFill>
          </w14:textFill>
        </w:rPr>
        <w:t>预算绩效</w:t>
      </w:r>
      <w:r>
        <w:rPr>
          <w:rFonts w:hint="eastAsia" w:ascii="仿宋" w:hAnsi="仿宋" w:eastAsia="仿宋" w:cs="仿宋"/>
          <w:color w:val="000000" w:themeColor="text1"/>
          <w:sz w:val="32"/>
          <w:szCs w:val="32"/>
          <w14:textFill>
            <w14:solidFill>
              <w14:schemeClr w14:val="tx1"/>
            </w14:solidFill>
          </w14:textFill>
        </w:rPr>
        <w:t>任务时，发现自己的技能不足，导致工作质量不高。原因可能是没有及时学习和提升自己的技能，或者缺乏实践经验。</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沟通协作能力差：在绩效自评过程中，可能会发现自己的沟通协作能力有待提高，导致工作效果不佳。原因是沟通能力不强，或者缺乏团队合作精神。</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自我激励不足：在完成</w:t>
      </w:r>
      <w:r>
        <w:rPr>
          <w:rFonts w:hint="eastAsia" w:ascii="仿宋" w:hAnsi="仿宋" w:eastAsia="仿宋" w:cs="仿宋"/>
          <w:color w:val="000000" w:themeColor="text1"/>
          <w:sz w:val="32"/>
          <w:szCs w:val="32"/>
          <w:lang w:eastAsia="zh-CN"/>
          <w14:textFill>
            <w14:solidFill>
              <w14:schemeClr w14:val="tx1"/>
            </w14:solidFill>
          </w14:textFill>
        </w:rPr>
        <w:t>预算绩效</w:t>
      </w:r>
      <w:r>
        <w:rPr>
          <w:rFonts w:hint="eastAsia" w:ascii="仿宋" w:hAnsi="仿宋" w:eastAsia="仿宋" w:cs="仿宋"/>
          <w:color w:val="000000" w:themeColor="text1"/>
          <w:sz w:val="32"/>
          <w:szCs w:val="32"/>
          <w14:textFill>
            <w14:solidFill>
              <w14:schemeClr w14:val="tx1"/>
            </w14:solidFill>
          </w14:textFill>
        </w:rPr>
        <w:t>时，发现自己的自我激励能力不足，导致工作积极性不高。原因是缺乏明确的职业规划和发展目标，或者对工作缺乏热情和动力。</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反馈与改进不及时：在绩效自评过程中，发现自己在反馈和改进方面做得不够及时，导致问题无法及时发现和解决。原因是缺乏有效的反馈机制，或者对自身问题的认识不够深刻。</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工作压力过大：在完成</w:t>
      </w:r>
      <w:r>
        <w:rPr>
          <w:rFonts w:hint="eastAsia" w:ascii="仿宋" w:hAnsi="仿宋" w:eastAsia="仿宋" w:cs="仿宋"/>
          <w:color w:val="000000" w:themeColor="text1"/>
          <w:sz w:val="32"/>
          <w:szCs w:val="32"/>
          <w:lang w:eastAsia="zh-CN"/>
          <w14:textFill>
            <w14:solidFill>
              <w14:schemeClr w14:val="tx1"/>
            </w14:solidFill>
          </w14:textFill>
        </w:rPr>
        <w:t>预算绩效</w:t>
      </w:r>
      <w:r>
        <w:rPr>
          <w:rFonts w:hint="eastAsia" w:ascii="仿宋" w:hAnsi="仿宋" w:eastAsia="仿宋" w:cs="仿宋"/>
          <w:color w:val="000000" w:themeColor="text1"/>
          <w:sz w:val="32"/>
          <w:szCs w:val="32"/>
          <w14:textFill>
            <w14:solidFill>
              <w14:schemeClr w14:val="tx1"/>
            </w14:solidFill>
          </w14:textFill>
        </w:rPr>
        <w:t>时，可能会发现自己承受的工作压力过大，导致工作效率降低。原因是工作量过大，或者工作环境不佳。</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下一步改进措施：</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明确目标和责任：确保每个部门和</w:t>
      </w:r>
      <w:r>
        <w:rPr>
          <w:rFonts w:hint="eastAsia" w:ascii="仿宋" w:hAnsi="仿宋" w:eastAsia="仿宋" w:cs="仿宋"/>
          <w:color w:val="000000" w:themeColor="text1"/>
          <w:sz w:val="32"/>
          <w:szCs w:val="32"/>
          <w:lang w:eastAsia="zh-CN"/>
          <w14:textFill>
            <w14:solidFill>
              <w14:schemeClr w14:val="tx1"/>
            </w14:solidFill>
          </w14:textFill>
        </w:rPr>
        <w:t>部门人员</w:t>
      </w:r>
      <w:r>
        <w:rPr>
          <w:rFonts w:hint="eastAsia" w:ascii="仿宋" w:hAnsi="仿宋" w:eastAsia="仿宋" w:cs="仿宋"/>
          <w:color w:val="000000" w:themeColor="text1"/>
          <w:sz w:val="32"/>
          <w:szCs w:val="32"/>
          <w14:textFill>
            <w14:solidFill>
              <w14:schemeClr w14:val="tx1"/>
            </w14:solidFill>
          </w14:textFill>
        </w:rPr>
        <w:t>都清楚自己的预算目标和责任，以便更好地实现绩效目标。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加强预算编制和执行过程的监督：加强对预算编制和执行过程的监督，确保预算的合理性和有效性。</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提高预算编制的准确性：通过加强数据分析和预测，提高预算编制的准确性，以便更好地指导实际工作。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建立绩效考核体系：建立科学、合理的绩效考核体系，将预算绩效与</w:t>
      </w:r>
      <w:r>
        <w:rPr>
          <w:rFonts w:hint="eastAsia" w:ascii="仿宋" w:hAnsi="仿宋" w:eastAsia="仿宋" w:cs="仿宋"/>
          <w:color w:val="000000" w:themeColor="text1"/>
          <w:sz w:val="32"/>
          <w:szCs w:val="32"/>
          <w:lang w:eastAsia="zh-CN"/>
          <w14:textFill>
            <w14:solidFill>
              <w14:schemeClr w14:val="tx1"/>
            </w14:solidFill>
          </w14:textFill>
        </w:rPr>
        <w:t>项目负责人</w:t>
      </w:r>
      <w:r>
        <w:rPr>
          <w:rFonts w:hint="eastAsia" w:ascii="仿宋" w:hAnsi="仿宋" w:eastAsia="仿宋" w:cs="仿宋"/>
          <w:color w:val="000000" w:themeColor="text1"/>
          <w:sz w:val="32"/>
          <w:szCs w:val="32"/>
          <w14:textFill>
            <w14:solidFill>
              <w14:schemeClr w14:val="tx1"/>
            </w14:solidFill>
          </w14:textFill>
        </w:rPr>
        <w:t>的奖惩挂钩，激励</w:t>
      </w:r>
      <w:r>
        <w:rPr>
          <w:rFonts w:hint="eastAsia" w:ascii="仿宋" w:hAnsi="仿宋" w:eastAsia="仿宋" w:cs="仿宋"/>
          <w:color w:val="000000" w:themeColor="text1"/>
          <w:sz w:val="32"/>
          <w:szCs w:val="32"/>
          <w:lang w:eastAsia="zh-CN"/>
          <w14:textFill>
            <w14:solidFill>
              <w14:schemeClr w14:val="tx1"/>
            </w14:solidFill>
          </w14:textFill>
        </w:rPr>
        <w:t>项目负责人</w:t>
      </w:r>
      <w:r>
        <w:rPr>
          <w:rFonts w:hint="eastAsia" w:ascii="仿宋" w:hAnsi="仿宋" w:eastAsia="仿宋" w:cs="仿宋"/>
          <w:color w:val="000000" w:themeColor="text1"/>
          <w:sz w:val="32"/>
          <w:szCs w:val="32"/>
          <w14:textFill>
            <w14:solidFill>
              <w14:schemeClr w14:val="tx1"/>
            </w14:solidFill>
          </w14:textFill>
        </w:rPr>
        <w:t>提高工作效率。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加强培训和沟通：加强</w:t>
      </w:r>
      <w:r>
        <w:rPr>
          <w:rFonts w:hint="eastAsia" w:ascii="仿宋" w:hAnsi="仿宋" w:eastAsia="仿宋" w:cs="仿宋"/>
          <w:color w:val="000000" w:themeColor="text1"/>
          <w:sz w:val="32"/>
          <w:szCs w:val="32"/>
          <w:lang w:eastAsia="zh-CN"/>
          <w14:textFill>
            <w14:solidFill>
              <w14:schemeClr w14:val="tx1"/>
            </w14:solidFill>
          </w14:textFill>
        </w:rPr>
        <w:t>教职工</w:t>
      </w:r>
      <w:r>
        <w:rPr>
          <w:rFonts w:hint="eastAsia" w:ascii="仿宋" w:hAnsi="仿宋" w:eastAsia="仿宋" w:cs="仿宋"/>
          <w:color w:val="000000" w:themeColor="text1"/>
          <w:sz w:val="32"/>
          <w:szCs w:val="32"/>
          <w14:textFill>
            <w14:solidFill>
              <w14:schemeClr w14:val="tx1"/>
            </w14:solidFill>
          </w14:textFill>
        </w:rPr>
        <w:t>培训，提高</w:t>
      </w:r>
      <w:r>
        <w:rPr>
          <w:rFonts w:hint="eastAsia" w:ascii="仿宋" w:hAnsi="仿宋" w:eastAsia="仿宋" w:cs="仿宋"/>
          <w:color w:val="000000" w:themeColor="text1"/>
          <w:sz w:val="32"/>
          <w:szCs w:val="32"/>
          <w:lang w:eastAsia="zh-CN"/>
          <w14:textFill>
            <w14:solidFill>
              <w14:schemeClr w14:val="tx1"/>
            </w14:solidFill>
          </w14:textFill>
        </w:rPr>
        <w:t>项目负责人</w:t>
      </w:r>
      <w:r>
        <w:rPr>
          <w:rFonts w:hint="eastAsia" w:ascii="仿宋" w:hAnsi="仿宋" w:eastAsia="仿宋" w:cs="仿宋"/>
          <w:color w:val="000000" w:themeColor="text1"/>
          <w:sz w:val="32"/>
          <w:szCs w:val="32"/>
          <w14:textFill>
            <w14:solidFill>
              <w14:schemeClr w14:val="tx1"/>
            </w14:solidFill>
          </w14:textFill>
        </w:rPr>
        <w:t>的业务能力和预算管理水平；加强部门之间的沟通，确保预算信息的及时传递和共享。</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定期评估和调整预算：定期对预算进行评估和调整，确保预算与实际情况相适应，提高预算执行效果。</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强化风险管理：加强对预算风险的识别、评估和控制，降低预算执行过程中的风险。</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优化资源配置：合理配置资源，确保预算资金的有效利用，提高单位整体绩效。</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引入信息技术支持：利用信息技术手段，提高预算管理的效率和准确性，为预算绩效改进提供技术支持。</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建立激励机制：建立与预算绩效挂钩的激励机制，鼓励</w:t>
      </w:r>
      <w:r>
        <w:rPr>
          <w:rFonts w:hint="eastAsia" w:ascii="仿宋" w:hAnsi="仿宋" w:eastAsia="仿宋" w:cs="仿宋"/>
          <w:color w:val="000000" w:themeColor="text1"/>
          <w:sz w:val="32"/>
          <w:szCs w:val="32"/>
          <w:lang w:eastAsia="zh-CN"/>
          <w14:textFill>
            <w14:solidFill>
              <w14:schemeClr w14:val="tx1"/>
            </w14:solidFill>
          </w14:textFill>
        </w:rPr>
        <w:t>教职工</w:t>
      </w:r>
      <w:r>
        <w:rPr>
          <w:rFonts w:hint="eastAsia" w:ascii="仿宋" w:hAnsi="仿宋" w:eastAsia="仿宋" w:cs="仿宋"/>
          <w:color w:val="000000" w:themeColor="text1"/>
          <w:sz w:val="32"/>
          <w:szCs w:val="32"/>
          <w14:textFill>
            <w14:solidFill>
              <w14:schemeClr w14:val="tx1"/>
            </w14:solidFill>
          </w14:textFill>
        </w:rPr>
        <w:t>积极参与预算管理工作，提高预算绩效。</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1MWUwNGE2MmIxYzE1NzJhOGRlZmRlMDUzN2NjOW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BF5575"/>
    <w:rsid w:val="020C171D"/>
    <w:rsid w:val="0216715F"/>
    <w:rsid w:val="02E0291A"/>
    <w:rsid w:val="02EA149A"/>
    <w:rsid w:val="04E54546"/>
    <w:rsid w:val="054A15F9"/>
    <w:rsid w:val="05992762"/>
    <w:rsid w:val="07B0770E"/>
    <w:rsid w:val="08386081"/>
    <w:rsid w:val="0942143F"/>
    <w:rsid w:val="0D100297"/>
    <w:rsid w:val="0D202B45"/>
    <w:rsid w:val="0D7A2D67"/>
    <w:rsid w:val="0E3B7FF1"/>
    <w:rsid w:val="0F8D4C87"/>
    <w:rsid w:val="10505FAA"/>
    <w:rsid w:val="105C6685"/>
    <w:rsid w:val="105F7E7E"/>
    <w:rsid w:val="11812E78"/>
    <w:rsid w:val="11E56B5B"/>
    <w:rsid w:val="125C77AB"/>
    <w:rsid w:val="14CB726E"/>
    <w:rsid w:val="1674297A"/>
    <w:rsid w:val="16757273"/>
    <w:rsid w:val="17A353B8"/>
    <w:rsid w:val="17E92249"/>
    <w:rsid w:val="1821268E"/>
    <w:rsid w:val="18D304F1"/>
    <w:rsid w:val="19F32577"/>
    <w:rsid w:val="19F45B80"/>
    <w:rsid w:val="1AED3683"/>
    <w:rsid w:val="1B0C078D"/>
    <w:rsid w:val="1B2B31E2"/>
    <w:rsid w:val="1B305137"/>
    <w:rsid w:val="1B4C295A"/>
    <w:rsid w:val="1B973C63"/>
    <w:rsid w:val="1BA1001E"/>
    <w:rsid w:val="1BE834C2"/>
    <w:rsid w:val="1D317259"/>
    <w:rsid w:val="1DB05E6E"/>
    <w:rsid w:val="1E664F5B"/>
    <w:rsid w:val="1EAF4F1C"/>
    <w:rsid w:val="1EB34BE1"/>
    <w:rsid w:val="1F8F36C1"/>
    <w:rsid w:val="215E639F"/>
    <w:rsid w:val="21EC3183"/>
    <w:rsid w:val="225E72CD"/>
    <w:rsid w:val="246E2F77"/>
    <w:rsid w:val="254B4E2B"/>
    <w:rsid w:val="263C68E5"/>
    <w:rsid w:val="268274CE"/>
    <w:rsid w:val="283D7C94"/>
    <w:rsid w:val="28677AEB"/>
    <w:rsid w:val="29480E03"/>
    <w:rsid w:val="2983634D"/>
    <w:rsid w:val="2BB02055"/>
    <w:rsid w:val="2C575A56"/>
    <w:rsid w:val="2CFD3C05"/>
    <w:rsid w:val="2F257714"/>
    <w:rsid w:val="2F2942A2"/>
    <w:rsid w:val="2F3275E5"/>
    <w:rsid w:val="2F7A0DB2"/>
    <w:rsid w:val="3076564F"/>
    <w:rsid w:val="30AA08EF"/>
    <w:rsid w:val="30D23D1C"/>
    <w:rsid w:val="31221CF5"/>
    <w:rsid w:val="31400178"/>
    <w:rsid w:val="31C679AA"/>
    <w:rsid w:val="321E3342"/>
    <w:rsid w:val="3227669B"/>
    <w:rsid w:val="327759C8"/>
    <w:rsid w:val="33185FE3"/>
    <w:rsid w:val="34B32468"/>
    <w:rsid w:val="34EE2E36"/>
    <w:rsid w:val="36463152"/>
    <w:rsid w:val="36777241"/>
    <w:rsid w:val="371E78D5"/>
    <w:rsid w:val="37616C3A"/>
    <w:rsid w:val="38A951DB"/>
    <w:rsid w:val="38B31605"/>
    <w:rsid w:val="39003F4F"/>
    <w:rsid w:val="3B000A3A"/>
    <w:rsid w:val="3B5C320A"/>
    <w:rsid w:val="3B7D2E6E"/>
    <w:rsid w:val="3C07002B"/>
    <w:rsid w:val="3D0D152A"/>
    <w:rsid w:val="3D307C72"/>
    <w:rsid w:val="3DF62756"/>
    <w:rsid w:val="3F1B7587"/>
    <w:rsid w:val="41E57B4F"/>
    <w:rsid w:val="425D1C65"/>
    <w:rsid w:val="432F26F6"/>
    <w:rsid w:val="43880F63"/>
    <w:rsid w:val="43CF6B92"/>
    <w:rsid w:val="441C5A6F"/>
    <w:rsid w:val="44C44FCC"/>
    <w:rsid w:val="44CC7369"/>
    <w:rsid w:val="457F5108"/>
    <w:rsid w:val="46951B6B"/>
    <w:rsid w:val="46C43BD3"/>
    <w:rsid w:val="49A34401"/>
    <w:rsid w:val="4A3E30AB"/>
    <w:rsid w:val="4A803743"/>
    <w:rsid w:val="4AC14DAC"/>
    <w:rsid w:val="4BBB61B2"/>
    <w:rsid w:val="4D154C85"/>
    <w:rsid w:val="4DAD4799"/>
    <w:rsid w:val="4EB35ECE"/>
    <w:rsid w:val="508F4E24"/>
    <w:rsid w:val="51461E90"/>
    <w:rsid w:val="51463753"/>
    <w:rsid w:val="51645EC4"/>
    <w:rsid w:val="52553A93"/>
    <w:rsid w:val="53521F8B"/>
    <w:rsid w:val="53E22F47"/>
    <w:rsid w:val="54522FF8"/>
    <w:rsid w:val="547A122F"/>
    <w:rsid w:val="55450629"/>
    <w:rsid w:val="56692963"/>
    <w:rsid w:val="568B0F48"/>
    <w:rsid w:val="570325FA"/>
    <w:rsid w:val="5786217B"/>
    <w:rsid w:val="583351C4"/>
    <w:rsid w:val="59337A15"/>
    <w:rsid w:val="59810274"/>
    <w:rsid w:val="59B43532"/>
    <w:rsid w:val="5CA96A00"/>
    <w:rsid w:val="5CF730BC"/>
    <w:rsid w:val="5E5F0DCE"/>
    <w:rsid w:val="5FA40A7B"/>
    <w:rsid w:val="5FD56D29"/>
    <w:rsid w:val="5FEC7F3F"/>
    <w:rsid w:val="60F74BC3"/>
    <w:rsid w:val="617D3BF8"/>
    <w:rsid w:val="61841F6A"/>
    <w:rsid w:val="61DE34F3"/>
    <w:rsid w:val="623007A9"/>
    <w:rsid w:val="637D7558"/>
    <w:rsid w:val="644F19AC"/>
    <w:rsid w:val="64F023CA"/>
    <w:rsid w:val="65AA4920"/>
    <w:rsid w:val="65E31D0B"/>
    <w:rsid w:val="67380C66"/>
    <w:rsid w:val="67694F1E"/>
    <w:rsid w:val="69597934"/>
    <w:rsid w:val="6A8B096C"/>
    <w:rsid w:val="6B964DDC"/>
    <w:rsid w:val="6C783074"/>
    <w:rsid w:val="6CFA6A3B"/>
    <w:rsid w:val="6D9E65C6"/>
    <w:rsid w:val="6DA81947"/>
    <w:rsid w:val="6EB66DE2"/>
    <w:rsid w:val="6EBA0956"/>
    <w:rsid w:val="6ED3075F"/>
    <w:rsid w:val="6F2A2D4B"/>
    <w:rsid w:val="6F6C348A"/>
    <w:rsid w:val="6F8A0C1E"/>
    <w:rsid w:val="6F8F0E00"/>
    <w:rsid w:val="703F45D4"/>
    <w:rsid w:val="70763D6E"/>
    <w:rsid w:val="715D6546"/>
    <w:rsid w:val="71BE069E"/>
    <w:rsid w:val="73433EF0"/>
    <w:rsid w:val="73953409"/>
    <w:rsid w:val="73E069A3"/>
    <w:rsid w:val="73F52D10"/>
    <w:rsid w:val="78104AA8"/>
    <w:rsid w:val="78E257C5"/>
    <w:rsid w:val="794B35BE"/>
    <w:rsid w:val="7B0A3A31"/>
    <w:rsid w:val="7B3360ED"/>
    <w:rsid w:val="7BDF037E"/>
    <w:rsid w:val="7BF50948"/>
    <w:rsid w:val="7CE66A78"/>
    <w:rsid w:val="7D23564C"/>
    <w:rsid w:val="7D2F491B"/>
    <w:rsid w:val="7D5E062D"/>
    <w:rsid w:val="7DF76CD8"/>
    <w:rsid w:val="7F695C26"/>
    <w:rsid w:val="7FCF62D3"/>
    <w:rsid w:val="EEF98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事业收入</c:v>
                </c:pt>
              </c:strCache>
            </c:strRef>
          </c:cat>
          <c:val>
            <c:numRef>
              <c:f>Sheet1!$B$2:$B$3</c:f>
              <c:numCache>
                <c:formatCode>General</c:formatCode>
                <c:ptCount val="2"/>
                <c:pt idx="0">
                  <c:v>3511.22</c:v>
                </c:pt>
                <c:pt idx="1">
                  <c:v>71.5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37.19</c:v>
                </c:pt>
                <c:pt idx="4">
                  <c:v>57.35</c:v>
                </c:pt>
                <c:pt idx="5">
                  <c:v>0</c:v>
                </c:pt>
                <c:pt idx="6">
                  <c:v>0</c:v>
                </c:pt>
                <c:pt idx="7">
                  <c:v>0.2</c:v>
                </c:pt>
                <c:pt idx="8">
                  <c:v>0</c:v>
                </c:pt>
                <c:pt idx="9">
                  <c:v>0</c:v>
                </c:pt>
                <c:pt idx="10">
                  <c:v>0</c:v>
                </c:pt>
                <c:pt idx="11">
                  <c:v>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3046.58</c:v>
                </c:pt>
                <c:pt idx="2">
                  <c:v>237.07</c:v>
                </c:pt>
                <c:pt idx="3">
                  <c:v>61.76</c:v>
                </c:pt>
                <c:pt idx="4">
                  <c:v>205.86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32.81</c:v>
                </c:pt>
                <c:pt idx="1">
                  <c:v>2740.26</c:v>
                </c:pt>
                <c:pt idx="2">
                  <c:v>241.55</c:v>
                </c:pt>
                <c:pt idx="3">
                  <c:v>179.89</c:v>
                </c:pt>
                <c:pt idx="4">
                  <c:v>388.21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32.81</c:v>
                </c:pt>
                <c:pt idx="1">
                  <c:v>32.81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2050204</c:v>
                </c:pt>
                <c:pt idx="1">
                  <c:v>2050299</c:v>
                </c:pt>
                <c:pt idx="2">
                  <c:v>2050302</c:v>
                </c:pt>
                <c:pt idx="3">
                  <c:v>2050999</c:v>
                </c:pt>
                <c:pt idx="4">
                  <c:v>205x</c:v>
                </c:pt>
              </c:strCache>
            </c:strRef>
          </c:cat>
          <c:val>
            <c:numRef>
              <c:f>Sheet1!$B$2:$B$6</c:f>
              <c:numCache>
                <c:formatCode>General</c:formatCode>
                <c:ptCount val="5"/>
                <c:pt idx="0">
                  <c:v>1688.61</c:v>
                </c:pt>
                <c:pt idx="1">
                  <c:v>276.38</c:v>
                </c:pt>
                <c:pt idx="2">
                  <c:v>697.61</c:v>
                </c:pt>
                <c:pt idx="3">
                  <c:v>6.17</c:v>
                </c:pt>
                <c:pt idx="4">
                  <c:v>2668.76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241.55</c:v>
                </c:pt>
                <c:pt idx="1">
                  <c:v>241.55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179.89</c:v>
                </c:pt>
                <c:pt idx="1">
                  <c:v>179.89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388.21</c:v>
                </c:pt>
                <c:pt idx="1">
                  <c:v>388.21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886.53</c:v>
                </c:pt>
                <c:pt idx="1">
                  <c:v>69.28</c:v>
                </c:pt>
                <c:pt idx="2">
                  <c:v>405.52</c:v>
                </c:pt>
                <c:pt idx="3">
                  <c:v>0</c:v>
                </c:pt>
                <c:pt idx="4">
                  <c:v>375.54</c:v>
                </c:pt>
                <c:pt idx="5">
                  <c:v>241.55</c:v>
                </c:pt>
                <c:pt idx="6">
                  <c:v>0</c:v>
                </c:pt>
                <c:pt idx="7">
                  <c:v>114.98</c:v>
                </c:pt>
                <c:pt idx="8">
                  <c:v>0</c:v>
                </c:pt>
                <c:pt idx="9">
                  <c:v>13.58</c:v>
                </c:pt>
                <c:pt idx="10">
                  <c:v>179.89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1.49</c:v>
                </c:pt>
                <c:pt idx="1">
                  <c:v>0</c:v>
                </c:pt>
                <c:pt idx="2">
                  <c:v>0</c:v>
                </c:pt>
                <c:pt idx="3">
                  <c:v>0</c:v>
                </c:pt>
                <c:pt idx="4">
                  <c:v>4.22</c:v>
                </c:pt>
                <c:pt idx="5">
                  <c:v>0</c:v>
                </c:pt>
                <c:pt idx="6">
                  <c:v>0</c:v>
                </c:pt>
                <c:pt idx="7">
                  <c:v>0</c:v>
                </c:pt>
                <c:pt idx="8">
                  <c:v>0.3</c:v>
                </c:pt>
                <c:pt idx="9">
                  <c:v>0</c:v>
                </c:pt>
                <c:pt idx="10">
                  <c:v>0</c:v>
                </c:pt>
                <c:pt idx="11">
                  <c:v>0.97</c:v>
                </c:pt>
                <c:pt idx="12">
                  <c:v>0</c:v>
                </c:pt>
                <c:pt idx="13">
                  <c:v>0</c:v>
                </c:pt>
                <c:pt idx="14">
                  <c:v>0</c:v>
                </c:pt>
                <c:pt idx="15">
                  <c:v>0</c:v>
                </c:pt>
                <c:pt idx="16">
                  <c:v>0</c:v>
                </c:pt>
                <c:pt idx="17">
                  <c:v>0</c:v>
                </c:pt>
                <c:pt idx="18">
                  <c:v>0</c:v>
                </c:pt>
                <c:pt idx="19">
                  <c:v>0</c:v>
                </c:pt>
                <c:pt idx="20">
                  <c:v>0</c:v>
                </c:pt>
                <c:pt idx="21">
                  <c:v>32.81</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5</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2023-11-28T07:45:20Z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8C194C18805A4324961882FA2D352577_13</vt:lpwstr>
  </property>
</Properties>
</file>