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环江毛南族自治县第一初级中学2022年度部门决算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bookmarkStart w:id="5" w:name="_GoBack"/>
      <w:bookmarkEnd w:id="5"/>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环江毛南族自治县第一初级中学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环江毛南族自治县第一初级中学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环江毛南族自治县第一初级中学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环江毛南族自治县第一初级中学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（一）贯彻执行党和国家的教育方针、政策和法律法规；拟订</w:t>
      </w:r>
      <w:r>
        <w:rPr>
          <w:rFonts w:hint="eastAsia" w:ascii="仿宋_GB2312" w:eastAsia="仿宋_GB2312" w:cs="仿宋_GB2312"/>
          <w:kern w:val="0"/>
          <w:sz w:val="32"/>
          <w:szCs w:val="32"/>
          <w:highlight w:val="none"/>
          <w:lang w:eastAsia="zh-CN"/>
        </w:rPr>
        <w:t>全校</w:t>
      </w:r>
      <w:r>
        <w:rPr>
          <w:rFonts w:hint="eastAsia" w:ascii="仿宋_GB2312" w:eastAsia="仿宋_GB2312" w:cs="仿宋_GB2312"/>
          <w:kern w:val="0"/>
          <w:sz w:val="32"/>
          <w:szCs w:val="32"/>
          <w:highlight w:val="none"/>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（二）编制本</w:t>
      </w:r>
      <w:r>
        <w:rPr>
          <w:rFonts w:hint="eastAsia" w:ascii="仿宋_GB2312" w:eastAsia="仿宋_GB2312" w:cs="仿宋_GB2312"/>
          <w:kern w:val="0"/>
          <w:sz w:val="32"/>
          <w:szCs w:val="32"/>
          <w:highlight w:val="none"/>
          <w:lang w:eastAsia="zh-CN"/>
        </w:rPr>
        <w:t>校</w:t>
      </w:r>
      <w:r>
        <w:rPr>
          <w:rFonts w:hint="eastAsia" w:ascii="仿宋_GB2312" w:eastAsia="仿宋_GB2312" w:cs="仿宋_GB2312"/>
          <w:kern w:val="0"/>
          <w:sz w:val="32"/>
          <w:szCs w:val="32"/>
          <w:highlight w:val="none"/>
        </w:rPr>
        <w:t>教育事业发展规划并检查实施情况，向</w:t>
      </w:r>
      <w:r>
        <w:rPr>
          <w:rFonts w:hint="eastAsia" w:ascii="仿宋_GB2312" w:eastAsia="仿宋_GB2312" w:cs="仿宋_GB2312"/>
          <w:kern w:val="0"/>
          <w:sz w:val="32"/>
          <w:szCs w:val="32"/>
          <w:highlight w:val="none"/>
          <w:lang w:eastAsia="zh-CN"/>
        </w:rPr>
        <w:t>自治县教育局</w:t>
      </w:r>
      <w:r>
        <w:rPr>
          <w:rFonts w:hint="eastAsia" w:ascii="仿宋_GB2312" w:eastAsia="仿宋_GB2312" w:cs="仿宋_GB2312"/>
          <w:kern w:val="0"/>
          <w:sz w:val="32"/>
          <w:szCs w:val="32"/>
          <w:highlight w:val="none"/>
        </w:rPr>
        <w:t>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（三）督促检查全</w:t>
      </w:r>
      <w:r>
        <w:rPr>
          <w:rFonts w:hint="eastAsia" w:ascii="仿宋_GB2312" w:eastAsia="仿宋_GB2312" w:cs="仿宋_GB2312"/>
          <w:kern w:val="0"/>
          <w:sz w:val="32"/>
          <w:szCs w:val="32"/>
          <w:highlight w:val="none"/>
          <w:lang w:eastAsia="zh-CN"/>
        </w:rPr>
        <w:t>校</w:t>
      </w:r>
      <w:r>
        <w:rPr>
          <w:rFonts w:hint="eastAsia" w:ascii="仿宋_GB2312" w:eastAsia="仿宋_GB2312" w:cs="仿宋_GB2312"/>
          <w:kern w:val="0"/>
          <w:sz w:val="32"/>
          <w:szCs w:val="32"/>
          <w:highlight w:val="none"/>
        </w:rPr>
        <w:t>贯彻执行教育方针、政策、法令、法规和上级的各项规定；评估指导全</w:t>
      </w:r>
      <w:r>
        <w:rPr>
          <w:rFonts w:hint="eastAsia" w:ascii="仿宋_GB2312" w:eastAsia="仿宋_GB2312" w:cs="仿宋_GB2312"/>
          <w:kern w:val="0"/>
          <w:sz w:val="32"/>
          <w:szCs w:val="32"/>
          <w:highlight w:val="none"/>
          <w:lang w:eastAsia="zh-CN"/>
        </w:rPr>
        <w:t>校</w:t>
      </w:r>
      <w:r>
        <w:rPr>
          <w:rFonts w:hint="eastAsia" w:ascii="仿宋_GB2312" w:eastAsia="仿宋_GB2312" w:cs="仿宋_GB2312"/>
          <w:kern w:val="0"/>
          <w:sz w:val="32"/>
          <w:szCs w:val="32"/>
          <w:highlight w:val="none"/>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  （四）负责</w:t>
      </w:r>
      <w:r>
        <w:rPr>
          <w:rFonts w:hint="eastAsia" w:ascii="仿宋_GB2312" w:eastAsia="仿宋_GB2312" w:cs="仿宋_GB2312"/>
          <w:kern w:val="0"/>
          <w:sz w:val="32"/>
          <w:szCs w:val="32"/>
          <w:highlight w:val="none"/>
          <w:lang w:eastAsia="zh-CN"/>
        </w:rPr>
        <w:t>全校</w:t>
      </w:r>
      <w:r>
        <w:rPr>
          <w:rFonts w:hint="eastAsia" w:ascii="仿宋_GB2312" w:eastAsia="仿宋_GB2312" w:cs="仿宋_GB2312"/>
          <w:kern w:val="0"/>
          <w:sz w:val="32"/>
          <w:szCs w:val="32"/>
          <w:highlight w:val="none"/>
        </w:rPr>
        <w:t>推进义务教育均衡发展和促进教育公平，</w:t>
      </w:r>
      <w:r>
        <w:rPr>
          <w:rFonts w:hint="eastAsia" w:ascii="仿宋_GB2312" w:eastAsia="仿宋_GB2312" w:cs="仿宋_GB2312"/>
          <w:kern w:val="0"/>
          <w:sz w:val="32"/>
          <w:szCs w:val="32"/>
          <w:highlight w:val="none"/>
          <w:lang w:eastAsia="zh-CN"/>
        </w:rPr>
        <w:t>指导全校</w:t>
      </w:r>
      <w:r>
        <w:rPr>
          <w:rFonts w:hint="eastAsia" w:ascii="仿宋_GB2312" w:eastAsia="仿宋_GB2312" w:cs="仿宋_GB2312"/>
          <w:kern w:val="0"/>
          <w:sz w:val="32"/>
          <w:szCs w:val="32"/>
          <w:highlight w:val="none"/>
        </w:rPr>
        <w:t>教育工作。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（五）负责全</w:t>
      </w:r>
      <w:r>
        <w:rPr>
          <w:rFonts w:hint="eastAsia" w:ascii="仿宋_GB2312" w:eastAsia="仿宋_GB2312" w:cs="仿宋_GB2312"/>
          <w:kern w:val="0"/>
          <w:sz w:val="32"/>
          <w:szCs w:val="32"/>
          <w:highlight w:val="none"/>
          <w:lang w:eastAsia="zh-CN"/>
        </w:rPr>
        <w:t>校教师</w:t>
      </w:r>
      <w:r>
        <w:rPr>
          <w:rFonts w:hint="eastAsia" w:ascii="仿宋_GB2312" w:eastAsia="仿宋_GB2312" w:cs="仿宋_GB2312"/>
          <w:kern w:val="0"/>
          <w:sz w:val="32"/>
          <w:szCs w:val="32"/>
          <w:highlight w:val="none"/>
        </w:rPr>
        <w:t>队伍、人才队伍和教师队伍建设，包括岗位培训、后备干部队伍建设、教师学历教育、继续教育等。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（六）负责组织全</w:t>
      </w:r>
      <w:r>
        <w:rPr>
          <w:rFonts w:hint="eastAsia" w:ascii="仿宋_GB2312" w:eastAsia="仿宋_GB2312" w:cs="仿宋_GB2312"/>
          <w:kern w:val="0"/>
          <w:sz w:val="32"/>
          <w:szCs w:val="32"/>
          <w:highlight w:val="none"/>
          <w:lang w:eastAsia="zh-CN"/>
        </w:rPr>
        <w:t>校</w:t>
      </w:r>
      <w:r>
        <w:rPr>
          <w:rFonts w:hint="eastAsia" w:ascii="仿宋_GB2312" w:eastAsia="仿宋_GB2312" w:cs="仿宋_GB2312"/>
          <w:kern w:val="0"/>
          <w:sz w:val="32"/>
          <w:szCs w:val="32"/>
          <w:highlight w:val="none"/>
        </w:rPr>
        <w:t>做好中考的考务工作、招生录取工作和学籍管理工作。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 （七）按照中央关于全面推进素质教育要求，负责教育教学管理、教育教学改革及教育教学科学研究工作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（九）检查指导</w:t>
      </w:r>
      <w:r>
        <w:rPr>
          <w:rFonts w:hint="eastAsia" w:ascii="仿宋_GB2312" w:eastAsia="仿宋_GB2312" w:cs="仿宋_GB2312"/>
          <w:kern w:val="0"/>
          <w:sz w:val="32"/>
          <w:szCs w:val="32"/>
          <w:highlight w:val="none"/>
          <w:lang w:eastAsia="zh-CN"/>
        </w:rPr>
        <w:t>学校</w:t>
      </w:r>
      <w:r>
        <w:rPr>
          <w:rFonts w:hint="eastAsia" w:ascii="仿宋_GB2312" w:eastAsia="仿宋_GB2312" w:cs="仿宋_GB2312"/>
          <w:kern w:val="0"/>
          <w:sz w:val="32"/>
          <w:szCs w:val="32"/>
          <w:highlight w:val="none"/>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  （十）负责</w:t>
      </w:r>
      <w:r>
        <w:rPr>
          <w:rFonts w:hint="eastAsia" w:ascii="仿宋_GB2312" w:eastAsia="仿宋_GB2312" w:cs="仿宋_GB2312"/>
          <w:kern w:val="0"/>
          <w:sz w:val="32"/>
          <w:szCs w:val="32"/>
          <w:highlight w:val="none"/>
          <w:lang w:eastAsia="zh-CN"/>
        </w:rPr>
        <w:t>学校</w:t>
      </w:r>
      <w:r>
        <w:rPr>
          <w:rFonts w:hint="eastAsia" w:ascii="仿宋_GB2312" w:eastAsia="仿宋_GB2312" w:cs="仿宋_GB2312"/>
          <w:kern w:val="0"/>
          <w:sz w:val="32"/>
          <w:szCs w:val="32"/>
          <w:highlight w:val="none"/>
        </w:rPr>
        <w:t>教师初级专业技术职务资格的评审，中、高级专业技术职务资格的申报</w:t>
      </w:r>
      <w:r>
        <w:rPr>
          <w:rFonts w:hint="eastAsia" w:ascii="仿宋_GB2312" w:eastAsia="仿宋_GB2312" w:cs="仿宋_GB2312"/>
          <w:kern w:val="0"/>
          <w:sz w:val="32"/>
          <w:szCs w:val="32"/>
          <w:highlight w:val="none"/>
          <w:lang w:eastAsia="zh-CN"/>
        </w:rPr>
        <w:t>指导</w:t>
      </w:r>
      <w:r>
        <w:rPr>
          <w:rFonts w:hint="eastAsia" w:ascii="仿宋_GB2312" w:eastAsia="仿宋_GB2312" w:cs="仿宋_GB2312"/>
          <w:kern w:val="0"/>
          <w:sz w:val="32"/>
          <w:szCs w:val="32"/>
          <w:highlight w:val="none"/>
        </w:rPr>
        <w:t>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（十一）负责监督审计</w:t>
      </w:r>
      <w:r>
        <w:rPr>
          <w:rFonts w:hint="eastAsia" w:ascii="仿宋_GB2312" w:eastAsia="仿宋_GB2312" w:cs="仿宋_GB2312"/>
          <w:kern w:val="0"/>
          <w:sz w:val="32"/>
          <w:szCs w:val="32"/>
          <w:highlight w:val="none"/>
          <w:lang w:eastAsia="zh-CN"/>
        </w:rPr>
        <w:t>学校</w:t>
      </w:r>
      <w:r>
        <w:rPr>
          <w:rFonts w:hint="eastAsia" w:ascii="仿宋_GB2312" w:eastAsia="仿宋_GB2312" w:cs="仿宋_GB2312"/>
          <w:kern w:val="0"/>
          <w:sz w:val="32"/>
          <w:szCs w:val="32"/>
          <w:highlight w:val="none"/>
        </w:rPr>
        <w:t>教育经费管理与使用工作。</w:t>
      </w:r>
    </w:p>
    <w:p>
      <w:pPr>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 （十二）负责学校教学教育常规管理评估工作，指导学校德育、体育、卫生、艺术、安全工作以及团组织工作。</w:t>
      </w:r>
    </w:p>
    <w:p>
      <w:p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ind w:firstLine="617" w:firstLineChars="193"/>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我部门没有下属单位，按照部门决算编报要求，单独编制本部门决算。内设机构情况</w:t>
      </w:r>
      <w:r>
        <w:rPr>
          <w:rFonts w:hint="eastAsia" w:ascii="仿宋_GB2312" w:hAnsi="仿宋_GB2312" w:eastAsia="仿宋_GB2312" w:cs="仿宋_GB2312"/>
          <w:b w:val="0"/>
          <w:bCs w:val="0"/>
          <w:color w:val="auto"/>
          <w:sz w:val="32"/>
          <w:szCs w:val="32"/>
          <w:highlight w:val="none"/>
          <w:lang w:val="en-US" w:eastAsia="zh-CN"/>
        </w:rPr>
        <w:t>如下：总编制130人，设有</w:t>
      </w:r>
      <w:r>
        <w:rPr>
          <w:rFonts w:hint="eastAsia" w:ascii="仿宋_GB2312" w:hAnsi="仿宋_GB2312" w:eastAsia="仿宋_GB2312" w:cs="仿宋_GB2312"/>
          <w:b w:val="0"/>
          <w:bCs w:val="0"/>
          <w:color w:val="auto"/>
          <w:kern w:val="0"/>
          <w:sz w:val="32"/>
          <w:szCs w:val="32"/>
          <w:highlight w:val="none"/>
        </w:rPr>
        <w:t>行政办公室、</w:t>
      </w:r>
      <w:r>
        <w:rPr>
          <w:rFonts w:hint="eastAsia" w:ascii="仿宋_GB2312" w:hAnsi="仿宋_GB2312" w:eastAsia="仿宋_GB2312" w:cs="仿宋_GB2312"/>
          <w:b w:val="0"/>
          <w:bCs w:val="0"/>
          <w:color w:val="auto"/>
          <w:kern w:val="0"/>
          <w:sz w:val="32"/>
          <w:szCs w:val="32"/>
          <w:highlight w:val="none"/>
          <w:lang w:eastAsia="zh-CN"/>
        </w:rPr>
        <w:t>校长室</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书记室、政教处、教务处、教研处、总务处、资助办、工会、校团委等</w:t>
      </w:r>
      <w:r>
        <w:rPr>
          <w:rFonts w:hint="eastAsia" w:ascii="仿宋_GB2312" w:hAnsi="仿宋_GB2312" w:eastAsia="仿宋_GB2312" w:cs="仿宋_GB2312"/>
          <w:b w:val="0"/>
          <w:bCs w:val="0"/>
          <w:color w:val="auto"/>
          <w:kern w:val="0"/>
          <w:sz w:val="32"/>
          <w:szCs w:val="32"/>
          <w:highlight w:val="none"/>
          <w:lang w:val="en-US" w:eastAsia="zh-CN"/>
        </w:rPr>
        <w:t>十</w:t>
      </w:r>
      <w:r>
        <w:rPr>
          <w:rFonts w:hint="eastAsia" w:ascii="仿宋_GB2312" w:hAnsi="仿宋_GB2312" w:eastAsia="仿宋_GB2312" w:cs="仿宋_GB2312"/>
          <w:b w:val="0"/>
          <w:bCs w:val="0"/>
          <w:color w:val="auto"/>
          <w:kern w:val="0"/>
          <w:sz w:val="32"/>
          <w:szCs w:val="32"/>
          <w:highlight w:val="none"/>
          <w:lang w:eastAsia="zh-CN"/>
        </w:rPr>
        <w:t>部门。</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环江毛南族自治县第一初级中学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2355.69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2355.69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2355.69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2003.62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352.07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1550.32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1550.32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96.49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1602.78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1550.32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44.03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299.63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299.63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299.63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23.60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23.60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1646.81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1646.81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299.63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299.63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130.07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130.07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255.58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255.58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2355.69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2355.69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2355.69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2355.69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2003.62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352.07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1646.81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1550.32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1646.81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1550.32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96.49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1602.78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1550.32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44.03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255.58</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1609.48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7.25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265.98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6.10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299.63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24.29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1.15</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289.66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224.34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1899.14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104.48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环江毛南族自治县第一初级中学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环江毛南族自治县第一初级中学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2355.69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减少191.27</w:t>
      </w:r>
      <w:r>
        <w:rPr>
          <w:rFonts w:hint="eastAsia" w:ascii="仿宋" w:hAnsi="仿宋" w:eastAsia="仿宋" w:cs="仿宋"/>
          <w:sz w:val="32"/>
          <w:szCs w:val="32"/>
          <w:highlight w:val="none"/>
        </w:rPr>
        <w:t>万元，</w:t>
      </w:r>
      <w:r>
        <w:rPr>
          <w:rFonts w:ascii="仿宋" w:hAnsi="仿宋" w:eastAsia="仿宋" w:cs="仿宋"/>
          <w:sz w:val="32"/>
          <w:u w:color="auto"/>
        </w:rPr>
        <w:t>下降7.51%</w:t>
      </w:r>
      <w:r>
        <w:rPr>
          <w:rFonts w:hint="eastAsia" w:ascii="仿宋" w:hAnsi="仿宋" w:eastAsia="仿宋" w:cs="仿宋"/>
          <w:sz w:val="32"/>
          <w:szCs w:val="32"/>
          <w:highlight w:val="none"/>
        </w:rPr>
        <w:t>，其中本年收入</w:t>
      </w:r>
      <w:r>
        <w:rPr>
          <w:rFonts w:ascii="仿宋" w:hAnsi="仿宋" w:eastAsia="仿宋" w:cs="仿宋"/>
          <w:sz w:val="32"/>
          <w:u w:color="auto"/>
        </w:rPr>
        <w:t>2355.69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2355.69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增加209.48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增长9.76%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人员增加，工资提高，上级拨款增加。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减少400.75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本年度按预算实际开展工作，没有结余。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984750" cy="234378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2355.69</w:t>
      </w:r>
      <w:r>
        <w:rPr>
          <w:rFonts w:hint="eastAsia" w:ascii="仿宋" w:hAnsi="仿宋" w:eastAsia="仿宋" w:cs="仿宋"/>
          <w:sz w:val="32"/>
          <w:szCs w:val="32"/>
          <w:highlight w:val="none"/>
        </w:rPr>
        <w:t>万元，其中本年支出</w:t>
      </w:r>
      <w:r>
        <w:rPr>
          <w:rFonts w:ascii="仿宋" w:hAnsi="仿宋" w:eastAsia="仿宋" w:cs="仿宋"/>
          <w:sz w:val="32"/>
          <w:u w:color="auto"/>
        </w:rPr>
        <w:t>2355.69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减少191.27</w:t>
      </w:r>
      <w:r>
        <w:rPr>
          <w:rFonts w:hint="eastAsia" w:ascii="仿宋" w:hAnsi="仿宋" w:eastAsia="仿宋" w:cs="仿宋"/>
          <w:sz w:val="32"/>
          <w:szCs w:val="32"/>
          <w:highlight w:val="none"/>
        </w:rPr>
        <w:t>万元，</w:t>
      </w:r>
      <w:r>
        <w:rPr>
          <w:rFonts w:ascii="仿宋" w:hAnsi="仿宋" w:eastAsia="仿宋" w:cs="仿宋"/>
          <w:sz w:val="32"/>
          <w:u w:color="auto"/>
        </w:rPr>
        <w:t>下降7.51%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23.60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增加23.60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人员增加，工会费增加。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1646.81</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人员经费和办公经费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减少354.71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下降17.72%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主要原因是：教育教学活动开展开支减少，办公费用减少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299.63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人员养老保险支出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增加107.12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增长55.64%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人员工资上涨，人员增加，养老缴费增加。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130.07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人员住房公积金支出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增加55.62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增长74.71%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人员增加，工资提高，公积缴费额增长。</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255.58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w:t>
      </w:r>
      <w:r>
        <w:rPr>
          <w:rFonts w:hint="eastAsia" w:ascii="仿宋" w:hAnsi="仿宋" w:eastAsia="仿宋" w:cs="仿宋"/>
          <w:color w:val="auto"/>
          <w:sz w:val="32"/>
          <w:szCs w:val="32"/>
          <w:highlight w:val="none"/>
        </w:rPr>
        <w:t>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绩效考评奖和伙食费补助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w:t>
      </w:r>
      <w:r>
        <w:rPr>
          <w:rFonts w:hint="eastAsia" w:ascii="仿宋" w:hAnsi="仿宋" w:eastAsia="仿宋" w:cs="仿宋"/>
          <w:sz w:val="32"/>
          <w:szCs w:val="32"/>
          <w:highlight w:val="none"/>
          <w:lang w:bidi="ar"/>
        </w:rPr>
        <w:t>少22.89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下降8.22%</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绩效资金减少，伙食补助减少。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环江毛南族自治县第一初级中学2022年度一般公共预算财政拨款支出</w:t>
      </w:r>
      <w:r>
        <w:rPr>
          <w:rFonts w:ascii="仿宋" w:hAnsi="仿宋" w:eastAsia="仿宋" w:cs="仿宋"/>
          <w:sz w:val="32"/>
          <w:u w:color="auto"/>
        </w:rPr>
        <w:t>2355.69</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减少191.27</w:t>
      </w:r>
      <w:r>
        <w:rPr>
          <w:rFonts w:hint="eastAsia" w:ascii="仿宋" w:hAnsi="仿宋" w:eastAsia="仿宋" w:cs="仿宋"/>
          <w:sz w:val="32"/>
          <w:szCs w:val="32"/>
          <w:highlight w:val="none"/>
        </w:rPr>
        <w:t>万元，</w:t>
      </w:r>
      <w:r>
        <w:rPr>
          <w:rFonts w:ascii="仿宋" w:hAnsi="仿宋" w:eastAsia="仿宋" w:cs="仿宋"/>
          <w:sz w:val="32"/>
          <w:u w:color="auto"/>
        </w:rPr>
        <w:t>下降7.51%</w:t>
      </w:r>
      <w:r>
        <w:rPr>
          <w:rFonts w:hint="eastAsia" w:ascii="仿宋" w:hAnsi="仿宋" w:eastAsia="仿宋" w:cs="仿宋"/>
          <w:sz w:val="32"/>
          <w:szCs w:val="32"/>
          <w:highlight w:val="none"/>
        </w:rPr>
        <w:t>。其中：基本支出</w:t>
      </w:r>
      <w:r>
        <w:rPr>
          <w:rFonts w:ascii="仿宋" w:hAnsi="仿宋" w:eastAsia="仿宋" w:cs="仿宋"/>
          <w:sz w:val="32"/>
          <w:u w:color="auto"/>
        </w:rPr>
        <w:t>2003.62</w:t>
      </w:r>
      <w:r>
        <w:rPr>
          <w:rFonts w:hint="eastAsia" w:ascii="仿宋" w:hAnsi="仿宋" w:eastAsia="仿宋" w:cs="仿宋"/>
          <w:sz w:val="32"/>
          <w:szCs w:val="32"/>
          <w:highlight w:val="none"/>
        </w:rPr>
        <w:t>万元，项目支出</w:t>
      </w:r>
      <w:r>
        <w:rPr>
          <w:rFonts w:ascii="仿宋" w:hAnsi="仿宋" w:eastAsia="仿宋" w:cs="仿宋"/>
          <w:sz w:val="32"/>
          <w:u w:color="auto"/>
        </w:rPr>
        <w:t>352.07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环江毛南族自治县第一初级中学2022 年度一般公共预算财政拨款支出年初预算为</w:t>
      </w:r>
      <w:r>
        <w:rPr>
          <w:rFonts w:ascii="仿宋" w:hAnsi="仿宋" w:eastAsia="仿宋" w:cs="仿宋"/>
          <w:sz w:val="32"/>
          <w:u w:color="auto"/>
        </w:rPr>
        <w:t>1628.00</w:t>
      </w:r>
      <w:r>
        <w:rPr>
          <w:rFonts w:hint="eastAsia" w:ascii="仿宋" w:hAnsi="仿宋" w:eastAsia="仿宋" w:cs="仿宋"/>
          <w:sz w:val="32"/>
          <w:szCs w:val="32"/>
          <w:highlight w:val="none"/>
        </w:rPr>
        <w:t>万元，支出决算为</w:t>
      </w:r>
      <w:r>
        <w:rPr>
          <w:rFonts w:ascii="仿宋" w:hAnsi="仿宋" w:eastAsia="仿宋" w:cs="仿宋"/>
          <w:sz w:val="32"/>
          <w:u w:color="auto"/>
        </w:rPr>
        <w:t>2355.69</w:t>
      </w:r>
      <w:r>
        <w:rPr>
          <w:rFonts w:hint="eastAsia" w:ascii="仿宋" w:hAnsi="仿宋" w:eastAsia="仿宋" w:cs="仿宋"/>
          <w:sz w:val="32"/>
          <w:szCs w:val="32"/>
          <w:highlight w:val="none"/>
        </w:rPr>
        <w:t>万元，完成年初预算的</w:t>
      </w:r>
      <w:r>
        <w:rPr>
          <w:rFonts w:ascii="仿宋" w:hAnsi="仿宋" w:eastAsia="仿宋" w:cs="仿宋"/>
          <w:sz w:val="32"/>
          <w:u w:color="auto"/>
        </w:rPr>
        <w:t>144.70%</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23.60</w:t>
      </w:r>
      <w:r>
        <w:rPr>
          <w:rFonts w:hint="eastAsia" w:ascii="仿宋" w:hAnsi="仿宋" w:eastAsia="仿宋"/>
          <w:sz w:val="32"/>
          <w:szCs w:val="32"/>
          <w:highlight w:val="none"/>
        </w:rPr>
        <w:t>万元，支出决算为</w:t>
      </w:r>
      <w:r>
        <w:rPr>
          <w:rFonts w:ascii="仿宋" w:hAnsi="仿宋" w:eastAsia="仿宋"/>
          <w:sz w:val="32"/>
          <w:szCs w:val="32"/>
          <w:highlight w:val="none"/>
        </w:rPr>
        <w:t>23.60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人员增加，工资收入提高。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年度工会费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按时完成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23.60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23.60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年度工会费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按时完成</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1274.02</w:t>
      </w:r>
      <w:r>
        <w:rPr>
          <w:rFonts w:hint="eastAsia" w:ascii="仿宋" w:hAnsi="仿宋" w:eastAsia="仿宋"/>
          <w:sz w:val="32"/>
          <w:szCs w:val="32"/>
          <w:highlight w:val="none"/>
        </w:rPr>
        <w:t>万元，支出决算为</w:t>
      </w:r>
      <w:r>
        <w:rPr>
          <w:rFonts w:ascii="仿宋" w:hAnsi="仿宋" w:eastAsia="仿宋"/>
          <w:sz w:val="32"/>
          <w:szCs w:val="32"/>
          <w:highlight w:val="none"/>
        </w:rPr>
        <w:t>1646.81</w:t>
      </w:r>
      <w:r>
        <w:rPr>
          <w:rFonts w:hint="eastAsia" w:ascii="仿宋" w:hAnsi="仿宋" w:eastAsia="仿宋"/>
          <w:sz w:val="32"/>
          <w:szCs w:val="32"/>
          <w:highlight w:val="none"/>
        </w:rPr>
        <w:t>万元，完成年初预算的</w:t>
      </w:r>
      <w:r>
        <w:rPr>
          <w:rFonts w:ascii="仿宋" w:hAnsi="仿宋" w:eastAsia="仿宋"/>
          <w:sz w:val="32"/>
          <w:szCs w:val="32"/>
          <w:highlight w:val="none"/>
        </w:rPr>
        <w:t>129.26%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人员增加，工资收入提高。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1602.78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125.80%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1"/>
                <w:szCs w:val="11"/>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1"/>
                <w:szCs w:val="11"/>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1"/>
                <w:szCs w:val="11"/>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1"/>
                <w:szCs w:val="11"/>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1274.02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1646.81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人员增加，工资收入提高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188.79</w:t>
      </w:r>
      <w:r>
        <w:rPr>
          <w:rFonts w:hint="eastAsia" w:ascii="仿宋" w:hAnsi="仿宋" w:eastAsia="仿宋"/>
          <w:sz w:val="32"/>
          <w:szCs w:val="32"/>
          <w:highlight w:val="none"/>
        </w:rPr>
        <w:t>万元，支出决算为</w:t>
      </w:r>
      <w:r>
        <w:rPr>
          <w:rFonts w:ascii="仿宋" w:hAnsi="仿宋" w:eastAsia="仿宋"/>
          <w:sz w:val="32"/>
          <w:szCs w:val="32"/>
          <w:highlight w:val="none"/>
        </w:rPr>
        <w:t>299.63</w:t>
      </w:r>
      <w:r>
        <w:rPr>
          <w:rFonts w:hint="eastAsia" w:ascii="仿宋" w:hAnsi="仿宋" w:eastAsia="仿宋"/>
          <w:sz w:val="32"/>
          <w:szCs w:val="32"/>
          <w:highlight w:val="none"/>
        </w:rPr>
        <w:t>万元，完成年初预算的</w:t>
      </w:r>
      <w:r>
        <w:rPr>
          <w:rFonts w:ascii="仿宋" w:hAnsi="仿宋" w:eastAsia="仿宋"/>
          <w:sz w:val="32"/>
          <w:szCs w:val="32"/>
          <w:highlight w:val="none"/>
        </w:rPr>
        <w:t>158.71%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人员增加，费用增加。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299.63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158.71%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人员增加，费用增加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188.79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299.63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人员增加，费用增加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441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141.59</w:t>
      </w:r>
      <w:r>
        <w:rPr>
          <w:rFonts w:hint="eastAsia" w:ascii="仿宋" w:hAnsi="仿宋" w:eastAsia="仿宋"/>
          <w:sz w:val="32"/>
          <w:szCs w:val="32"/>
          <w:highlight w:val="none"/>
        </w:rPr>
        <w:t>万元，支出决算为</w:t>
      </w:r>
      <w:r>
        <w:rPr>
          <w:rFonts w:ascii="仿宋" w:hAnsi="仿宋" w:eastAsia="仿宋"/>
          <w:sz w:val="32"/>
          <w:szCs w:val="32"/>
          <w:highlight w:val="none"/>
        </w:rPr>
        <w:t>130.07</w:t>
      </w:r>
      <w:r>
        <w:rPr>
          <w:rFonts w:hint="eastAsia" w:ascii="仿宋" w:hAnsi="仿宋" w:eastAsia="仿宋"/>
          <w:sz w:val="32"/>
          <w:szCs w:val="32"/>
          <w:highlight w:val="none"/>
        </w:rPr>
        <w:t>万元，完成年初预算的</w:t>
      </w:r>
      <w:r>
        <w:rPr>
          <w:rFonts w:ascii="仿宋" w:hAnsi="仿宋" w:eastAsia="仿宋"/>
          <w:sz w:val="32"/>
          <w:szCs w:val="32"/>
          <w:highlight w:val="none"/>
        </w:rPr>
        <w:t>91.86%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年初预算公积金基数偏高，实际较少。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sz w:val="20"/>
                <w:szCs w:val="20"/>
                <w:highlight w:val="none"/>
                <w:lang w:val="en-US" w:eastAsia="zh-CN"/>
              </w:rPr>
              <w:t>年初预算基数偏高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130.07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sz w:val="20"/>
                <w:szCs w:val="20"/>
                <w:highlight w:val="none"/>
                <w:lang w:val="en-US" w:eastAsia="zh-CN"/>
              </w:rPr>
              <w:t>年初预算基数偏高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255.58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255.58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绩效及伙食补助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255.58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绩效及伙食补助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环江毛南族自治县第一初级中学2022年度一般公共预算财政拨款基本支出</w:t>
      </w:r>
      <w:r>
        <w:rPr>
          <w:rFonts w:ascii="仿宋" w:hAnsi="仿宋" w:eastAsia="仿宋" w:cs="仿宋"/>
          <w:sz w:val="32"/>
          <w:u w:color="auto"/>
        </w:rPr>
        <w:t>2003.62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1899.14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104.48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1609.48万元，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109.25%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人员增加，工资增长。</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707.39万元，30102津贴补贴44.48万元，30103奖金70.74万元，30107绩效工资265.98万元，30108机关事业单位基本养老保险缴费299.63万元，30110职工基本医疗保险缴费81.53万元，30112其他社会保障缴费9.66万元，30113住房公积金130.07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97.23万元，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411.99%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年初没有商品服务支出预算。</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9.23万元，30204手续费16.74万元，30206电费24.29万元，30207邮电费1.10万元，30211差旅费2.06万元，30213维修（护）费14.90万元，30218专用材料费2.72万元，30228工会经费23.60万元，30299其他商品和服务支出2.61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48915"/>
            <wp:effectExtent l="4445" t="4445" r="16510"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289.66万元，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929.29%</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主要原因是：年初只预算退休费，没有预算助学金和其他对个人和家庭的补助。</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30305生活补助38.33万元，30308助学金224.34万元，30399其他对个人和家庭的补助26.98万元。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color w:val="auto"/>
          <w:kern w:val="2"/>
          <w:sz w:val="32"/>
          <w:szCs w:val="32"/>
          <w:highlight w:val="none"/>
          <w:lang w:val="en-US" w:eastAsia="zh-CN" w:bidi="ar"/>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7.25万元，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年初没有资本性支出预算。</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31002办公设备购置6.10万元，31003专用设备购置1.15万元。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1620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color w:val="auto"/>
          <w:kern w:val="2"/>
          <w:sz w:val="32"/>
          <w:szCs w:val="32"/>
          <w:highlight w:val="none"/>
          <w:lang w:val="en-US" w:eastAsia="zh-CN" w:bidi="ar"/>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环江毛南族自治县第一初级中学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环江毛南族自治县第一初级中学2022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环江毛南族自治县第一初级中学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ascii="仿宋" w:hAnsi="仿宋" w:eastAsia="仿宋" w:cs="仿宋"/>
          <w:sz w:val="32"/>
          <w:u w:color="auto"/>
        </w:rPr>
        <w:t>环江毛南族自治县第一初级中学</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本部门无机关运行经费。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根据财政预算管理要求，本部门组织对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个，二</w:t>
      </w:r>
      <w:r>
        <w:rPr>
          <w:rFonts w:hint="eastAsia" w:ascii="仿宋" w:hAnsi="仿宋" w:eastAsia="仿宋" w:cs="仿宋"/>
          <w:color w:val="000000" w:themeColor="text1"/>
          <w:sz w:val="32"/>
          <w:szCs w:val="32"/>
          <w:highlight w:val="none"/>
          <w:lang w:val="en-US" w:eastAsia="zh-CN"/>
          <w14:textFill>
            <w14:solidFill>
              <w14:schemeClr w14:val="tx1"/>
            </w14:solidFill>
          </w14:textFill>
        </w:rPr>
        <w:t>等</w:t>
      </w:r>
      <w:r>
        <w:rPr>
          <w:rFonts w:hint="eastAsia" w:ascii="仿宋" w:hAnsi="仿宋" w:eastAsia="仿宋" w:cs="仿宋"/>
          <w:color w:val="000000" w:themeColor="text1"/>
          <w:sz w:val="32"/>
          <w:szCs w:val="32"/>
          <w:highlight w:val="none"/>
          <w14:textFill>
            <w14:solidFill>
              <w14:schemeClr w14:val="tx1"/>
            </w14:solidFill>
          </w14:textFill>
        </w:rPr>
        <w:t>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三等1个</w:t>
      </w:r>
      <w:r>
        <w:rPr>
          <w:rFonts w:hint="eastAsia" w:ascii="仿宋" w:hAnsi="仿宋" w:eastAsia="仿宋" w:cs="仿宋"/>
          <w:color w:val="000000" w:themeColor="text1"/>
          <w:sz w:val="32"/>
          <w:szCs w:val="32"/>
          <w:highlight w:val="none"/>
          <w14:textFill>
            <w14:solidFill>
              <w14:schemeClr w14:val="tx1"/>
            </w14:solidFill>
          </w14:textFill>
        </w:rPr>
        <w:t>，共涉及资金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600</w:t>
      </w:r>
      <w:r>
        <w:rPr>
          <w:rFonts w:hint="eastAsia" w:ascii="仿宋" w:hAnsi="仿宋" w:eastAsia="仿宋" w:cs="仿宋"/>
          <w:color w:val="000000" w:themeColor="text1"/>
          <w:sz w:val="32"/>
          <w:szCs w:val="32"/>
          <w:highlight w:val="none"/>
          <w14:textFill>
            <w14:solidFill>
              <w14:schemeClr w14:val="tx1"/>
            </w14:solidFill>
          </w14:textFill>
        </w:rPr>
        <w:t>万元，占一般公共预算项目支出总额的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eastAsia="zh-CN"/>
          <w14:textFill>
            <w14:solidFill>
              <w14:schemeClr w14:val="tx1"/>
            </w14:solidFill>
          </w14:textFill>
        </w:rPr>
        <w:t>2022年</w:t>
      </w:r>
      <w:r>
        <w:rPr>
          <w:rFonts w:hint="eastAsia" w:ascii="仿宋" w:hAnsi="仿宋" w:eastAsia="仿宋" w:cs="仿宋"/>
          <w:color w:val="000000" w:themeColor="text1"/>
          <w:sz w:val="32"/>
          <w:szCs w:val="32"/>
          <w:highlight w:val="none"/>
          <w14:textFill>
            <w14:solidFill>
              <w14:schemeClr w14:val="tx1"/>
            </w14:solidFill>
          </w14:textFill>
        </w:rPr>
        <w:t>度</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highlight w:val="none"/>
          <w:lang w:val="en-US" w:eastAsia="zh-CN"/>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highlight w:val="none"/>
          <w:lang w:val="en-US" w:eastAsia="zh-CN"/>
          <w14:textFill>
            <w14:solidFill>
              <w14:schemeClr w14:val="tx1"/>
            </w14:solidFill>
          </w14:textFill>
        </w:rPr>
        <w:t>0.00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组织对“</w:t>
      </w:r>
      <w:r>
        <w:rPr>
          <w:rFonts w:hint="eastAsia" w:ascii="仿宋" w:hAnsi="仿宋" w:eastAsia="仿宋" w:cs="仿宋"/>
          <w:color w:val="000000" w:themeColor="text1"/>
          <w:sz w:val="32"/>
          <w:szCs w:val="32"/>
          <w:highlight w:val="none"/>
          <w:lang w:val="en-US" w:eastAsia="zh-CN"/>
          <w14:textFill>
            <w14:solidFill>
              <w14:schemeClr w14:val="tx1"/>
            </w14:solidFill>
          </w14:textFill>
        </w:rPr>
        <w:t>一二三</w:t>
      </w:r>
      <w:r>
        <w:rPr>
          <w:rFonts w:hint="eastAsia" w:ascii="仿宋" w:hAnsi="仿宋" w:eastAsia="仿宋" w:cs="仿宋"/>
          <w:color w:val="000000" w:themeColor="text1"/>
          <w:sz w:val="32"/>
          <w:szCs w:val="32"/>
          <w:highlight w:val="none"/>
          <w14:textFill>
            <w14:solidFill>
              <w14:schemeClr w14:val="tx1"/>
            </w14:solidFill>
          </w14:textFill>
        </w:rPr>
        <w:t>”等</w:t>
      </w:r>
      <w:r>
        <w:rPr>
          <w:rFonts w:hint="eastAsia" w:ascii="仿宋" w:hAnsi="仿宋" w:eastAsia="仿宋" w:cs="仿宋"/>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color w:val="000000" w:themeColor="text1"/>
          <w:sz w:val="32"/>
          <w:szCs w:val="32"/>
          <w:highlight w:val="none"/>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highlight w:val="none"/>
          <w:lang w:val="en-US" w:eastAsia="zh-CN"/>
          <w14:textFill>
            <w14:solidFill>
              <w14:schemeClr w14:val="tx1"/>
            </w14:solidFill>
          </w14:textFill>
        </w:rPr>
        <w:t>600</w:t>
      </w:r>
      <w:r>
        <w:rPr>
          <w:rFonts w:hint="eastAsia" w:ascii="仿宋" w:hAnsi="仿宋" w:eastAsia="仿宋" w:cs="仿宋"/>
          <w:color w:val="000000" w:themeColor="text1"/>
          <w:sz w:val="32"/>
          <w:szCs w:val="32"/>
          <w:highlight w:val="none"/>
          <w14:textFill>
            <w14:solidFill>
              <w14:schemeClr w14:val="tx1"/>
            </w14:solidFill>
          </w14:textFill>
        </w:rPr>
        <w:t>万元，</w:t>
      </w:r>
      <w:r>
        <w:rPr>
          <w:rFonts w:hint="eastAsia" w:ascii="仿宋" w:hAnsi="仿宋" w:eastAsia="仿宋" w:cs="仿宋"/>
          <w:color w:val="auto"/>
          <w:sz w:val="32"/>
          <w:szCs w:val="32"/>
          <w:highlight w:val="none"/>
        </w:rPr>
        <w:t>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万元，国有资本经营预算支出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highlight w:val="none"/>
          <w:lang w:val="en-US" w:eastAsia="zh-CN"/>
        </w:rPr>
        <w:t>项目开展按年初预算进行，基本完成了所有的项目经费支出</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highlight w:val="none"/>
        </w:rPr>
        <w:t>组织对</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个部门（单位）开展整体支出绩效评价试点，涉及一般公共预算支出</w:t>
      </w:r>
      <w:r>
        <w:rPr>
          <w:rFonts w:hint="eastAsia" w:ascii="仿宋" w:hAnsi="仿宋" w:eastAsia="仿宋" w:cs="仿宋"/>
          <w:color w:val="auto"/>
          <w:sz w:val="32"/>
          <w:szCs w:val="32"/>
          <w:highlight w:val="none"/>
          <w:lang w:val="en-US" w:eastAsia="zh-CN"/>
        </w:rPr>
        <w:t>600</w:t>
      </w:r>
      <w:r>
        <w:rPr>
          <w:rFonts w:hint="eastAsia" w:ascii="仿宋" w:hAnsi="仿宋" w:eastAsia="仿宋" w:cs="仿宋"/>
          <w:color w:val="auto"/>
          <w:sz w:val="32"/>
          <w:szCs w:val="32"/>
          <w:highlight w:val="none"/>
        </w:rPr>
        <w:t>万元，政府性基金预算支出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万元。从评价情况来看，</w:t>
      </w:r>
      <w:r>
        <w:rPr>
          <w:rFonts w:hint="eastAsia" w:ascii="仿宋" w:hAnsi="仿宋" w:eastAsia="仿宋" w:cs="仿宋"/>
          <w:color w:val="auto"/>
          <w:sz w:val="32"/>
          <w:szCs w:val="32"/>
          <w:highlight w:val="none"/>
          <w:lang w:val="en-US" w:eastAsia="zh-CN"/>
        </w:rPr>
        <w:t>项目开展按年初预算正常进行，基本完成了所有的项目经费支出，效果良好</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我部门根据年初设定的绩效目标，义务教育阶段家庭经济困难学生生活自治区补助资金项目自评得分为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分。奖励性补贴项目自评得分为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;义务教育中央级公用经费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93.94</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经费支出效率低，没有发挥经费应有的作用，主要原因是工作开展不积极，没有完成预期效果</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各项工作进展，加大建设。项目进度监督，每一个内容完成尽快完成结账，提高经费支付力度。年初预算经费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98.57</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经费支出效率低，没有发挥经费应有的作用，主要原因是工作开展不积极，没有完成预期效果</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各项工作进展，加大建设项目进度监督，每一个内容完成尽快完成结账，提高经费支付力度</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全县校长绩效工资</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,环江县一中2022年年初预算经费(经销店管理费)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80.36</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w:t>
      </w:r>
      <w:r>
        <w:rPr>
          <w:rFonts w:hint="eastAsia" w:ascii="仿宋" w:hAnsi="仿宋" w:eastAsia="仿宋" w:cs="仿宋"/>
          <w:color w:val="000000" w:themeColor="text1"/>
          <w:sz w:val="32"/>
          <w:szCs w:val="32"/>
          <w:highlight w:val="none"/>
          <w:lang w:val="en-US" w:eastAsia="zh-CN"/>
          <w14:textFill>
            <w14:solidFill>
              <w14:schemeClr w14:val="tx1"/>
            </w14:solidFill>
          </w14:textFill>
        </w:rPr>
        <w:t>门面租金没有及时上缴，经费使用率低</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租金收缴力度，加大经费使用效率。城乡义务教育公用经费县级配套资金</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92.8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经费支出效率低，没有发挥经费应有的作用，主要原因是工作开展不积极，没有完成预期效果</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各项工作进展，加大建设。项目进度监督，每一个内容完成尽快完成结账，提高经费支付力度</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环江县一中2022年年初预算经费(门面租金)</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w:t>
      </w:r>
      <w:r>
        <w:rPr>
          <w:rFonts w:hint="eastAsia" w:ascii="仿宋" w:hAnsi="仿宋" w:eastAsia="仿宋" w:cs="仿宋"/>
          <w:color w:val="000000" w:themeColor="text1"/>
          <w:sz w:val="32"/>
          <w:szCs w:val="32"/>
          <w:highlight w:val="none"/>
          <w:lang w:val="en-US" w:eastAsia="zh-CN"/>
          <w14:textFill>
            <w14:solidFill>
              <w14:schemeClr w14:val="tx1"/>
            </w14:solidFill>
          </w14:textFill>
        </w:rPr>
        <w:t>门面租金没有及时上缴，经费使用率低</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租金收缴力度，加大经费使用效率。伙食补助</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;班主任津贴</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94.07</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,发现主要问题及原因是部分班级班主任安排有误，没有跟预算时相吻合，下一步改进措施是规范班主任津贴上报程序，做到数据准确。教师节经费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;义务教育公用经费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经费支出效率低，没有发挥经费应有的作用，主要原因是工作开展不积极，没有完成预期效果</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各项工作进展，加大建设项目进度监督，每一个内容完成尽快完成结账，提高经费支付力度</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自治区公用经费</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72.06</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发现的主要问题及原因：一是</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经费支出效率低，没有发挥经费应有的作用，主要原因是工作开展不积极，没有完成预期效果</w:t>
      </w:r>
      <w:r>
        <w:rPr>
          <w:rFonts w:hint="eastAsia" w:ascii="仿宋" w:hAnsi="仿宋" w:eastAsia="仿宋" w:cs="仿宋"/>
          <w:color w:val="000000" w:themeColor="text1"/>
          <w:sz w:val="32"/>
          <w:szCs w:val="32"/>
          <w:highlight w:val="none"/>
          <w14:textFill>
            <w14:solidFill>
              <w14:schemeClr w14:val="tx1"/>
            </w14:solidFill>
          </w14:textFill>
        </w:rPr>
        <w:t>。下一步改进措施：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加强</w:t>
      </w:r>
      <w:r>
        <w:rPr>
          <w:rFonts w:hint="eastAsia" w:ascii="仿宋" w:hAnsi="仿宋" w:eastAsia="仿宋" w:cs="仿宋"/>
          <w:color w:val="000000" w:themeColor="text1"/>
          <w:sz w:val="32"/>
          <w:szCs w:val="32"/>
          <w:highlight w:val="none"/>
          <w:lang w:val="en-US" w:eastAsia="zh-CN"/>
          <w14:textFill>
            <w14:solidFill>
              <w14:schemeClr w14:val="tx1"/>
            </w14:solidFill>
          </w14:textFill>
        </w:rPr>
        <w:t>各项工作进展，加大建设项目进度监督，每一个内容完成尽快完成结账，提高经费支付力度</w:t>
      </w:r>
      <w:r>
        <w:rPr>
          <w:rFonts w:hint="eastAsia" w:ascii="仿宋" w:hAnsi="仿宋" w:eastAsia="仿宋" w:cs="仿宋"/>
          <w:color w:val="000000" w:themeColor="text1"/>
          <w:sz w:val="32"/>
          <w:szCs w:val="32"/>
          <w:highlight w:val="none"/>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textAlignment w:val="auto"/>
        <w:rPr>
          <w:rFonts w:hint="eastAsia" w:ascii="仿宋" w:hAnsi="仿宋" w:eastAsia="仿宋" w:cs="仿宋"/>
          <w:sz w:val="32"/>
          <w:szCs w:val="32"/>
          <w:highlight w:val="none"/>
        </w:rPr>
      </w:pPr>
    </w:p>
    <w:p>
      <w:pPr>
        <w:ind w:firstLine="640" w:firstLineChars="200"/>
        <w:jc w:val="left"/>
        <w:rPr>
          <w:rFonts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ZGJiMzk3NmE4MTFmY2I0NmVkOTVhODY4OTk3OTc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A717F5"/>
    <w:rsid w:val="14CB726E"/>
    <w:rsid w:val="17E92249"/>
    <w:rsid w:val="18D304F1"/>
    <w:rsid w:val="19F32577"/>
    <w:rsid w:val="19F45B80"/>
    <w:rsid w:val="1B0C078D"/>
    <w:rsid w:val="1B1C5B58"/>
    <w:rsid w:val="1B2B31E2"/>
    <w:rsid w:val="1B4C295A"/>
    <w:rsid w:val="1B973C63"/>
    <w:rsid w:val="1BA1001E"/>
    <w:rsid w:val="1D317259"/>
    <w:rsid w:val="1E664F5B"/>
    <w:rsid w:val="1EB34BE1"/>
    <w:rsid w:val="1ED12380"/>
    <w:rsid w:val="1FDD4C1F"/>
    <w:rsid w:val="215E639F"/>
    <w:rsid w:val="21EC3183"/>
    <w:rsid w:val="225E72CD"/>
    <w:rsid w:val="241038D6"/>
    <w:rsid w:val="246E2F77"/>
    <w:rsid w:val="254B4E2B"/>
    <w:rsid w:val="25F80EA9"/>
    <w:rsid w:val="283D7C94"/>
    <w:rsid w:val="29333183"/>
    <w:rsid w:val="29480E03"/>
    <w:rsid w:val="2983634D"/>
    <w:rsid w:val="2BB02055"/>
    <w:rsid w:val="2C575A56"/>
    <w:rsid w:val="2F257714"/>
    <w:rsid w:val="2F3275E5"/>
    <w:rsid w:val="2FE720EB"/>
    <w:rsid w:val="30AA08EF"/>
    <w:rsid w:val="30D23D1C"/>
    <w:rsid w:val="31221CF5"/>
    <w:rsid w:val="31400178"/>
    <w:rsid w:val="321E3342"/>
    <w:rsid w:val="327759C8"/>
    <w:rsid w:val="33185FE3"/>
    <w:rsid w:val="34EE2E36"/>
    <w:rsid w:val="36777241"/>
    <w:rsid w:val="371E78D5"/>
    <w:rsid w:val="38A951DB"/>
    <w:rsid w:val="38B31605"/>
    <w:rsid w:val="39003F4F"/>
    <w:rsid w:val="39037B98"/>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0F3C66"/>
    <w:rsid w:val="59337A15"/>
    <w:rsid w:val="59810274"/>
    <w:rsid w:val="5AA24788"/>
    <w:rsid w:val="5CA96A00"/>
    <w:rsid w:val="5CF730BC"/>
    <w:rsid w:val="5E5F0DCE"/>
    <w:rsid w:val="5FA40A7B"/>
    <w:rsid w:val="5FD56D29"/>
    <w:rsid w:val="5FEC7F3F"/>
    <w:rsid w:val="604D3E2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78159F"/>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2355.69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38.33</c:v>
                </c:pt>
                <c:pt idx="5">
                  <c:v>0</c:v>
                </c:pt>
                <c:pt idx="6">
                  <c:v>0</c:v>
                </c:pt>
                <c:pt idx="7">
                  <c:v>224.34</c:v>
                </c:pt>
                <c:pt idx="8">
                  <c:v>0</c:v>
                </c:pt>
                <c:pt idx="9">
                  <c:v>0</c:v>
                </c:pt>
                <c:pt idx="10">
                  <c:v>0</c:v>
                </c:pt>
                <c:pt idx="11">
                  <c:v>26.98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6.1</c:v>
                </c:pt>
                <c:pt idx="2">
                  <c:v>1.15</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2001.52</c:v>
                </c:pt>
                <c:pt idx="2">
                  <c:v>192.51</c:v>
                </c:pt>
                <c:pt idx="3">
                  <c:v>74.45</c:v>
                </c:pt>
                <c:pt idx="4">
                  <c:v>278.47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23.6</c:v>
                </c:pt>
                <c:pt idx="1">
                  <c:v>1646.81</c:v>
                </c:pt>
                <c:pt idx="2">
                  <c:v>299.63</c:v>
                </c:pt>
                <c:pt idx="3">
                  <c:v>130.07</c:v>
                </c:pt>
                <c:pt idx="4">
                  <c:v>255.58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23.6</c:v>
                </c:pt>
                <c:pt idx="1">
                  <c:v>23.6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1602.78</c:v>
                </c:pt>
                <c:pt idx="1">
                  <c:v>44.03</c:v>
                </c:pt>
                <c:pt idx="2">
                  <c:v>1646.81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299.63</c:v>
                </c:pt>
                <c:pt idx="1">
                  <c:v>299.63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130.07</c:v>
                </c:pt>
                <c:pt idx="1">
                  <c:v>130.07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255.58</c:v>
                </c:pt>
                <c:pt idx="1">
                  <c:v>255.58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707.39</c:v>
                </c:pt>
                <c:pt idx="1">
                  <c:v>44.48</c:v>
                </c:pt>
                <c:pt idx="2">
                  <c:v>70.74</c:v>
                </c:pt>
                <c:pt idx="3">
                  <c:v>0</c:v>
                </c:pt>
                <c:pt idx="4">
                  <c:v>265.98</c:v>
                </c:pt>
                <c:pt idx="5">
                  <c:v>299.63</c:v>
                </c:pt>
                <c:pt idx="6">
                  <c:v>0</c:v>
                </c:pt>
                <c:pt idx="7">
                  <c:v>81.53</c:v>
                </c:pt>
                <c:pt idx="8">
                  <c:v>0</c:v>
                </c:pt>
                <c:pt idx="9">
                  <c:v>9.66</c:v>
                </c:pt>
                <c:pt idx="10">
                  <c:v>130.07</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9.23</c:v>
                </c:pt>
                <c:pt idx="1">
                  <c:v>0</c:v>
                </c:pt>
                <c:pt idx="2">
                  <c:v>0</c:v>
                </c:pt>
                <c:pt idx="3">
                  <c:v>16.74</c:v>
                </c:pt>
                <c:pt idx="4">
                  <c:v>0</c:v>
                </c:pt>
                <c:pt idx="5">
                  <c:v>24.29</c:v>
                </c:pt>
                <c:pt idx="6">
                  <c:v>1.1</c:v>
                </c:pt>
                <c:pt idx="7">
                  <c:v>0</c:v>
                </c:pt>
                <c:pt idx="8">
                  <c:v>0</c:v>
                </c:pt>
                <c:pt idx="9">
                  <c:v>2.06</c:v>
                </c:pt>
                <c:pt idx="10">
                  <c:v>0</c:v>
                </c:pt>
                <c:pt idx="11">
                  <c:v>14.9</c:v>
                </c:pt>
                <c:pt idx="12">
                  <c:v>0</c:v>
                </c:pt>
                <c:pt idx="13">
                  <c:v>0</c:v>
                </c:pt>
                <c:pt idx="14">
                  <c:v>0</c:v>
                </c:pt>
                <c:pt idx="15">
                  <c:v>0</c:v>
                </c:pt>
                <c:pt idx="16">
                  <c:v>2.72</c:v>
                </c:pt>
                <c:pt idx="17">
                  <c:v>0</c:v>
                </c:pt>
                <c:pt idx="18">
                  <c:v>0</c:v>
                </c:pt>
                <c:pt idx="19">
                  <c:v>0</c:v>
                </c:pt>
                <c:pt idx="20">
                  <c:v>0</c:v>
                </c:pt>
                <c:pt idx="21">
                  <c:v>23.6</c:v>
                </c:pt>
                <c:pt idx="22">
                  <c:v>0</c:v>
                </c:pt>
                <c:pt idx="23">
                  <c:v>0</c:v>
                </c:pt>
                <c:pt idx="24">
                  <c:v>0</c:v>
                </c:pt>
                <c:pt idx="25">
                  <c:v>0</c:v>
                </c:pt>
                <c:pt idx="26">
                  <c:v>2.61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2023-11-28T07:46:51Z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10C4A1E8558E4A4AAEB1F187CA9D3AF2_13</vt:lpwstr>
  </property>
</Properties>
</file>