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eastAsia" w:ascii="黑体" w:hAnsi="黑体" w:eastAsia="黑体" w:cs="黑体"/>
          <w:b/>
          <w:bCs/>
          <w:sz w:val="52"/>
          <w:szCs w:val="52"/>
        </w:rPr>
      </w:pPr>
      <w:r>
        <w:rPr>
          <w:rFonts w:hint="eastAsia" w:ascii="黑体" w:hAnsi="黑体" w:eastAsia="黑体" w:cs="黑体"/>
          <w:b/>
          <w:bCs/>
          <w:sz w:val="52"/>
          <w:szCs w:val="52"/>
        </w:rPr>
        <w:t>环江毛南族自治县第一幼儿园</w:t>
      </w:r>
    </w:p>
    <w:p>
      <w:pPr>
        <w:jc w:val="center"/>
        <w:rPr>
          <w:rFonts w:ascii="黑体" w:hAnsi="黑体" w:eastAsia="黑体" w:cs="黑体"/>
          <w:b/>
          <w:bCs/>
          <w:sz w:val="52"/>
          <w:szCs w:val="52"/>
        </w:rPr>
      </w:pPr>
      <w:r>
        <w:rPr>
          <w:rFonts w:hint="eastAsia" w:ascii="黑体" w:hAnsi="黑体" w:eastAsia="黑体" w:cs="黑体"/>
          <w:b/>
          <w:bCs/>
          <w:sz w:val="52"/>
          <w:szCs w:val="52"/>
        </w:rPr>
        <w:t>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2880" w:firstLineChars="900"/>
        <w:rPr>
          <w:rFonts w:ascii="黑体" w:hAnsi="黑体" w:eastAsia="黑体" w:cs="仿宋"/>
          <w:sz w:val="32"/>
          <w:szCs w:val="32"/>
        </w:rPr>
      </w:pPr>
      <w:r>
        <w:rPr>
          <w:rFonts w:hint="eastAsia" w:ascii="黑体" w:hAnsi="黑体" w:eastAsia="黑体" w:cs="仿宋"/>
          <w:sz w:val="32"/>
          <w:szCs w:val="32"/>
        </w:rPr>
        <w:t>单位负责人：何鸿</w:t>
      </w:r>
    </w:p>
    <w:p>
      <w:pPr>
        <w:jc w:val="center"/>
        <w:rPr>
          <w:rFonts w:ascii="黑体" w:hAnsi="黑体" w:eastAsia="黑体" w:cs="黑体"/>
          <w:b/>
          <w:bCs/>
          <w:sz w:val="36"/>
          <w:szCs w:val="36"/>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环江毛南族自治县第一幼儿园</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环江毛南族自治县第一幼儿园</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环江毛南族自治县第一幼儿园</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环江毛南族自治县第一幼儿园</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（一）贯彻执行党和国家的教育方针、政策和法律法规；拟订学校教育改革与发展规划并组织实施。</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（二）编制本校幼儿教育发展规划并检查实施情况，向上级教育局作出报告。</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（三）督促检查本园贯彻执行教育方针、政策、法令、法规和上级的各项规定；评估指导全园教育教学工作。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（四）负责推进幼儿教育持续、稳定、健康发展。指导全园教育事业的发展。</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（五）负责全园幼儿教师队伍建设，岗位培训、教师培训。</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（六）负责组织本园做好幼儿园学籍管理工作。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（七）负责指导全园学生资助管理工作。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（八）负责指导推进语言文字和指导推广普通话工作。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（九）完成自治县教育局交办的其他工作。</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本部门决算编制为环江毛南族自治县第一幼儿园本级决算，无内设科室。</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32"/>
                <w:szCs w:val="32"/>
              </w:rPr>
            </w:pPr>
            <w:r>
              <w:rPr>
                <w:rFonts w:hint="eastAsia" w:ascii="仿宋_GB2312" w:hAnsi="Calibri" w:eastAsia="仿宋_GB2312" w:cs="仿宋_GB2312"/>
                <w:kern w:val="0"/>
                <w:sz w:val="32"/>
                <w:szCs w:val="32"/>
              </w:rPr>
              <w:t>环江毛南族自治县第一幼儿园</w:t>
            </w:r>
          </w:p>
        </w:tc>
        <w:tc>
          <w:tcPr>
            <w:tcW w:w="373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32"/>
                <w:szCs w:val="32"/>
              </w:rPr>
            </w:pPr>
            <w:r>
              <w:rPr>
                <w:rFonts w:hint="eastAsia" w:ascii="仿宋" w:hAnsi="仿宋" w:eastAsia="仿宋" w:cs="仿宋"/>
                <w:sz w:val="32"/>
                <w:szCs w:val="32"/>
              </w:rPr>
              <w:t>财政全额拨款</w:t>
            </w:r>
          </w:p>
        </w:tc>
      </w:tr>
      <w:bookmarkEnd w:id="0"/>
    </w:tbl>
    <w:p>
      <w:pPr>
        <w:ind w:firstLine="320" w:firstLineChars="100"/>
        <w:jc w:val="lef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本部门没有下属单位，按照部门决算编报要求，单独编制本部门决算。</w:t>
      </w:r>
    </w:p>
    <w:p>
      <w:pPr>
        <w:jc w:val="cente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环江毛南族自治县第一幼儿园</w:t>
      </w:r>
      <w:r>
        <w:rPr>
          <w:rFonts w:hint="eastAsia" w:ascii="黑体" w:hAnsi="黑体" w:eastAsia="黑体" w:cs="黑体"/>
          <w:sz w:val="32"/>
          <w:szCs w:val="32"/>
        </w:rPr>
        <w:t xml:space="preserve"> 2022年度部门决算报表</w:t>
      </w:r>
    </w:p>
    <w:tbl>
      <w:tblPr>
        <w:tblStyle w:val="6"/>
        <w:tblW w:w="13985" w:type="dxa"/>
        <w:tblInd w:w="96" w:type="dxa"/>
        <w:tblLayout w:type="fixed"/>
        <w:tblCellMar>
          <w:top w:w="0" w:type="dxa"/>
          <w:left w:w="108" w:type="dxa"/>
          <w:bottom w:w="0" w:type="dxa"/>
          <w:right w:w="108" w:type="dxa"/>
        </w:tblCellMar>
      </w:tblPr>
      <w:tblGrid>
        <w:gridCol w:w="2551"/>
        <w:gridCol w:w="2401"/>
        <w:gridCol w:w="2238"/>
        <w:gridCol w:w="2678"/>
        <w:gridCol w:w="2209"/>
        <w:gridCol w:w="1908"/>
      </w:tblGrid>
      <w:tr>
        <w:tblPrEx>
          <w:tblCellMar>
            <w:top w:w="0" w:type="dxa"/>
            <w:left w:w="108" w:type="dxa"/>
            <w:bottom w:w="0" w:type="dxa"/>
            <w:right w:w="108" w:type="dxa"/>
          </w:tblCellMar>
        </w:tblPrEx>
        <w:trPr>
          <w:trHeight w:val="722" w:hRule="atLeast"/>
        </w:trPr>
        <w:tc>
          <w:tcPr>
            <w:tcW w:w="13985"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收入支出决算总表</w:t>
            </w:r>
          </w:p>
        </w:tc>
      </w:tr>
      <w:tr>
        <w:tblPrEx>
          <w:tblCellMar>
            <w:top w:w="0" w:type="dxa"/>
            <w:left w:w="108" w:type="dxa"/>
            <w:bottom w:w="0" w:type="dxa"/>
            <w:right w:w="108" w:type="dxa"/>
          </w:tblCellMar>
        </w:tblPrEx>
        <w:trPr>
          <w:trHeight w:val="241" w:hRule="atLeast"/>
        </w:trPr>
        <w:tc>
          <w:tcPr>
            <w:tcW w:w="2551" w:type="dxa"/>
            <w:tcBorders>
              <w:top w:val="nil"/>
              <w:left w:val="nil"/>
              <w:bottom w:val="nil"/>
              <w:right w:val="nil"/>
            </w:tcBorders>
            <w:shd w:val="clear" w:color="auto" w:fill="auto"/>
            <w:noWrap/>
            <w:vAlign w:val="bottom"/>
          </w:tcPr>
          <w:p>
            <w:pPr>
              <w:rPr>
                <w:rFonts w:ascii="Arial" w:hAnsi="Arial" w:cs="Arial"/>
                <w:sz w:val="20"/>
                <w:szCs w:val="20"/>
              </w:rPr>
            </w:pPr>
          </w:p>
        </w:tc>
        <w:tc>
          <w:tcPr>
            <w:tcW w:w="2401" w:type="dxa"/>
            <w:tcBorders>
              <w:top w:val="nil"/>
              <w:left w:val="nil"/>
              <w:bottom w:val="nil"/>
              <w:right w:val="nil"/>
            </w:tcBorders>
            <w:shd w:val="clear" w:color="auto" w:fill="auto"/>
            <w:noWrap/>
            <w:vAlign w:val="bottom"/>
          </w:tcPr>
          <w:p>
            <w:pPr>
              <w:rPr>
                <w:rFonts w:ascii="Arial" w:hAnsi="Arial" w:cs="Arial"/>
                <w:sz w:val="20"/>
                <w:szCs w:val="20"/>
              </w:rPr>
            </w:pPr>
          </w:p>
        </w:tc>
        <w:tc>
          <w:tcPr>
            <w:tcW w:w="2238" w:type="dxa"/>
            <w:tcBorders>
              <w:top w:val="nil"/>
              <w:left w:val="nil"/>
              <w:bottom w:val="nil"/>
              <w:right w:val="nil"/>
            </w:tcBorders>
            <w:shd w:val="clear" w:color="auto" w:fill="auto"/>
            <w:noWrap/>
            <w:vAlign w:val="bottom"/>
          </w:tcPr>
          <w:p>
            <w:pPr>
              <w:rPr>
                <w:rFonts w:ascii="Arial" w:hAnsi="Arial" w:cs="Arial"/>
                <w:sz w:val="20"/>
                <w:szCs w:val="20"/>
              </w:rPr>
            </w:pPr>
          </w:p>
        </w:tc>
        <w:tc>
          <w:tcPr>
            <w:tcW w:w="2678" w:type="dxa"/>
            <w:tcBorders>
              <w:top w:val="nil"/>
              <w:left w:val="nil"/>
              <w:bottom w:val="nil"/>
              <w:right w:val="nil"/>
            </w:tcBorders>
            <w:shd w:val="clear" w:color="auto" w:fill="auto"/>
            <w:noWrap/>
            <w:vAlign w:val="bottom"/>
          </w:tcPr>
          <w:p>
            <w:pPr>
              <w:rPr>
                <w:rFonts w:ascii="Arial" w:hAnsi="Arial" w:cs="Arial"/>
                <w:sz w:val="20"/>
                <w:szCs w:val="20"/>
              </w:rPr>
            </w:pPr>
          </w:p>
        </w:tc>
        <w:tc>
          <w:tcPr>
            <w:tcW w:w="2209" w:type="dxa"/>
            <w:tcBorders>
              <w:top w:val="nil"/>
              <w:left w:val="nil"/>
              <w:bottom w:val="nil"/>
              <w:right w:val="nil"/>
            </w:tcBorders>
            <w:shd w:val="clear" w:color="auto" w:fill="auto"/>
            <w:noWrap/>
            <w:vAlign w:val="bottom"/>
          </w:tcPr>
          <w:p>
            <w:pPr>
              <w:rPr>
                <w:rFonts w:ascii="Arial" w:hAnsi="Arial" w:cs="Arial"/>
                <w:sz w:val="20"/>
                <w:szCs w:val="20"/>
              </w:rPr>
            </w:pPr>
          </w:p>
        </w:tc>
        <w:tc>
          <w:tcPr>
            <w:tcW w:w="190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公开01表</w:t>
            </w:r>
          </w:p>
        </w:tc>
      </w:tr>
      <w:tr>
        <w:tblPrEx>
          <w:tblCellMar>
            <w:top w:w="0" w:type="dxa"/>
            <w:left w:w="108" w:type="dxa"/>
            <w:bottom w:w="0" w:type="dxa"/>
            <w:right w:w="108" w:type="dxa"/>
          </w:tblCellMar>
        </w:tblPrEx>
        <w:trPr>
          <w:trHeight w:val="241" w:hRule="atLeast"/>
        </w:trPr>
        <w:tc>
          <w:tcPr>
            <w:tcW w:w="7190" w:type="dxa"/>
            <w:gridSpan w:val="3"/>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2678"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209"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90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252" w:hRule="atLeast"/>
        </w:trPr>
        <w:tc>
          <w:tcPr>
            <w:tcW w:w="71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收入</w:t>
            </w:r>
          </w:p>
        </w:tc>
        <w:tc>
          <w:tcPr>
            <w:tcW w:w="6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支出</w:t>
            </w:r>
          </w:p>
        </w:tc>
      </w:tr>
      <w:tr>
        <w:tblPrEx>
          <w:tblCellMar>
            <w:top w:w="0" w:type="dxa"/>
            <w:left w:w="108" w:type="dxa"/>
            <w:bottom w:w="0" w:type="dxa"/>
            <w:right w:w="108" w:type="dxa"/>
          </w:tblCellMar>
        </w:tblPrEx>
        <w:trPr>
          <w:trHeight w:val="252"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r>
      <w:tr>
        <w:tblPrEx>
          <w:tblCellMar>
            <w:top w:w="0" w:type="dxa"/>
            <w:left w:w="108" w:type="dxa"/>
            <w:bottom w:w="0" w:type="dxa"/>
            <w:right w:w="108" w:type="dxa"/>
          </w:tblCellMar>
        </w:tblPrEx>
        <w:trPr>
          <w:trHeight w:val="252"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32</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33</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34</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4</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35</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36</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6</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37</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38</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39</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9</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九、卫生健康支出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40</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十、节能环保支出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41</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十一、城乡社区支出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42</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43</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十三、交通运输支出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44</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45</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46</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十六、金融支出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47</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48</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18</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49</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19</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十九、住房保障支出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50</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20</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51</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21</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52</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22</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53</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23</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54</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24</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55</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25</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56</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26</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57</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27</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58</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结余分配</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59</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年末结转和结余</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60</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30</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61</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7" w:hRule="atLeast"/>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4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总计</w:t>
            </w:r>
          </w:p>
        </w:tc>
        <w:tc>
          <w:tcPr>
            <w:tcW w:w="22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62</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r>
    </w:tbl>
    <w:p>
      <w:pPr>
        <w:rPr>
          <w:rFonts w:ascii="宋体" w:hAnsi="宋体" w:eastAsia="宋体" w:cs="宋体"/>
          <w:kern w:val="0"/>
          <w:sz w:val="30"/>
          <w:szCs w:val="30"/>
        </w:rPr>
      </w:pPr>
      <w:r>
        <w:rPr>
          <w:rFonts w:hint="eastAsia" w:ascii="宋体" w:hAnsi="宋体" w:eastAsia="宋体" w:cs="宋体"/>
          <w:kern w:val="0"/>
          <w:sz w:val="30"/>
          <w:szCs w:val="30"/>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524" w:type="dxa"/>
            <w:tcBorders>
              <w:top w:val="nil"/>
              <w:left w:val="nil"/>
              <w:bottom w:val="nil"/>
              <w:right w:val="nil"/>
            </w:tcBorders>
            <w:shd w:val="clear" w:color="auto" w:fill="auto"/>
            <w:noWrap/>
            <w:vAlign w:val="bottom"/>
          </w:tcPr>
          <w:p>
            <w:pPr>
              <w:rPr>
                <w:rFonts w:ascii="Arial" w:hAnsi="Arial" w:cs="Arial"/>
                <w:sz w:val="20"/>
                <w:szCs w:val="20"/>
              </w:rPr>
            </w:pPr>
          </w:p>
        </w:tc>
        <w:tc>
          <w:tcPr>
            <w:tcW w:w="1520" w:type="dxa"/>
            <w:tcBorders>
              <w:top w:val="nil"/>
              <w:left w:val="nil"/>
              <w:bottom w:val="nil"/>
              <w:right w:val="nil"/>
            </w:tcBorders>
            <w:shd w:val="clear" w:color="auto" w:fill="auto"/>
            <w:noWrap/>
            <w:vAlign w:val="bottom"/>
          </w:tcPr>
          <w:p>
            <w:pPr>
              <w:rPr>
                <w:rFonts w:ascii="Arial" w:hAnsi="Arial" w:cs="Arial"/>
                <w:sz w:val="20"/>
                <w:szCs w:val="20"/>
              </w:rPr>
            </w:pPr>
          </w:p>
        </w:tc>
        <w:tc>
          <w:tcPr>
            <w:tcW w:w="1453" w:type="dxa"/>
            <w:tcBorders>
              <w:top w:val="nil"/>
              <w:left w:val="nil"/>
              <w:bottom w:val="nil"/>
              <w:right w:val="nil"/>
            </w:tcBorders>
            <w:shd w:val="clear" w:color="auto" w:fill="auto"/>
            <w:noWrap/>
            <w:vAlign w:val="bottom"/>
          </w:tcPr>
          <w:p>
            <w:pPr>
              <w:rPr>
                <w:rFonts w:ascii="Arial" w:hAnsi="Arial" w:cs="Arial"/>
                <w:sz w:val="20"/>
                <w:szCs w:val="20"/>
              </w:rPr>
            </w:pPr>
          </w:p>
        </w:tc>
        <w:tc>
          <w:tcPr>
            <w:tcW w:w="1373" w:type="dxa"/>
            <w:tcBorders>
              <w:top w:val="nil"/>
              <w:left w:val="nil"/>
              <w:bottom w:val="nil"/>
              <w:right w:val="nil"/>
            </w:tcBorders>
            <w:shd w:val="clear" w:color="auto" w:fill="auto"/>
            <w:noWrap/>
            <w:vAlign w:val="bottom"/>
          </w:tcPr>
          <w:p>
            <w:pPr>
              <w:rPr>
                <w:rFonts w:ascii="Arial" w:hAnsi="Arial" w:cs="Arial"/>
                <w:sz w:val="20"/>
                <w:szCs w:val="20"/>
              </w:rPr>
            </w:pPr>
          </w:p>
        </w:tc>
        <w:tc>
          <w:tcPr>
            <w:tcW w:w="1467" w:type="dxa"/>
            <w:tcBorders>
              <w:top w:val="nil"/>
              <w:left w:val="nil"/>
              <w:bottom w:val="nil"/>
              <w:right w:val="nil"/>
            </w:tcBorders>
            <w:shd w:val="clear" w:color="auto" w:fill="auto"/>
            <w:noWrap/>
            <w:vAlign w:val="bottom"/>
          </w:tcPr>
          <w:p>
            <w:pPr>
              <w:rPr>
                <w:rFonts w:ascii="Arial" w:hAnsi="Arial" w:cs="Arial"/>
                <w:sz w:val="20"/>
                <w:szCs w:val="20"/>
              </w:rPr>
            </w:pPr>
          </w:p>
        </w:tc>
        <w:tc>
          <w:tcPr>
            <w:tcW w:w="1480" w:type="dxa"/>
            <w:tcBorders>
              <w:top w:val="nil"/>
              <w:left w:val="nil"/>
              <w:bottom w:val="nil"/>
              <w:right w:val="nil"/>
            </w:tcBorders>
            <w:shd w:val="clear" w:color="auto" w:fill="auto"/>
            <w:noWrap/>
            <w:vAlign w:val="bottom"/>
          </w:tcPr>
          <w:p>
            <w:pPr>
              <w:rPr>
                <w:rFonts w:ascii="Arial" w:hAnsi="Arial" w:cs="Arial"/>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37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603.85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603.85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425.97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425.97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sz w:val="30"/>
                <w:szCs w:val="30"/>
              </w:rPr>
            </w:pPr>
            <w:r>
              <w:rPr>
                <w:rFonts w:hint="eastAsia" w:ascii="宋体" w:hAnsi="宋体" w:eastAsia="宋体" w:cs="宋体"/>
                <w:kern w:val="0"/>
                <w:sz w:val="32"/>
                <w:szCs w:val="32"/>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sz w:val="20"/>
                <w:szCs w:val="20"/>
              </w:rPr>
            </w:pPr>
          </w:p>
        </w:tc>
        <w:tc>
          <w:tcPr>
            <w:tcW w:w="237" w:type="dxa"/>
            <w:tcBorders>
              <w:top w:val="nil"/>
              <w:left w:val="nil"/>
              <w:bottom w:val="nil"/>
              <w:right w:val="nil"/>
            </w:tcBorders>
            <w:shd w:val="clear" w:color="auto" w:fill="auto"/>
            <w:noWrap/>
            <w:vAlign w:val="center"/>
          </w:tcPr>
          <w:p>
            <w:pPr>
              <w:rPr>
                <w:rFonts w:ascii="Arial" w:hAnsi="Arial" w:cs="Arial"/>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2222" w:type="dxa"/>
            <w:tcBorders>
              <w:top w:val="nil"/>
              <w:left w:val="nil"/>
              <w:bottom w:val="nil"/>
              <w:right w:val="nil"/>
            </w:tcBorders>
            <w:shd w:val="clear" w:color="auto" w:fill="auto"/>
            <w:noWrap/>
            <w:vAlign w:val="center"/>
          </w:tcPr>
          <w:p>
            <w:pPr>
              <w:rPr>
                <w:rFonts w:ascii="Arial" w:hAnsi="Arial" w:cs="Arial"/>
                <w:sz w:val="20"/>
                <w:szCs w:val="20"/>
              </w:rPr>
            </w:pPr>
          </w:p>
        </w:tc>
        <w:tc>
          <w:tcPr>
            <w:tcW w:w="1627" w:type="dxa"/>
            <w:tcBorders>
              <w:top w:val="nil"/>
              <w:left w:val="nil"/>
              <w:bottom w:val="nil"/>
              <w:right w:val="nil"/>
            </w:tcBorders>
            <w:shd w:val="clear" w:color="auto" w:fill="auto"/>
            <w:noWrap/>
            <w:vAlign w:val="center"/>
          </w:tcPr>
          <w:p>
            <w:pPr>
              <w:rPr>
                <w:rFonts w:ascii="Arial" w:hAnsi="Arial" w:cs="Arial"/>
                <w:sz w:val="20"/>
                <w:szCs w:val="20"/>
              </w:rPr>
            </w:pPr>
          </w:p>
        </w:tc>
        <w:tc>
          <w:tcPr>
            <w:tcW w:w="1680" w:type="dxa"/>
            <w:tcBorders>
              <w:top w:val="nil"/>
              <w:left w:val="nil"/>
              <w:bottom w:val="nil"/>
              <w:right w:val="nil"/>
            </w:tcBorders>
            <w:shd w:val="clear" w:color="auto" w:fill="auto"/>
            <w:noWrap/>
            <w:vAlign w:val="center"/>
          </w:tcPr>
          <w:p>
            <w:pPr>
              <w:rPr>
                <w:rFonts w:ascii="Arial" w:hAnsi="Arial" w:cs="Arial"/>
                <w:sz w:val="20"/>
                <w:szCs w:val="20"/>
              </w:rPr>
            </w:pPr>
          </w:p>
        </w:tc>
        <w:tc>
          <w:tcPr>
            <w:tcW w:w="1760" w:type="dxa"/>
            <w:tcBorders>
              <w:top w:val="nil"/>
              <w:left w:val="nil"/>
              <w:bottom w:val="nil"/>
              <w:right w:val="nil"/>
            </w:tcBorders>
            <w:shd w:val="clear" w:color="auto" w:fill="auto"/>
            <w:noWrap/>
            <w:vAlign w:val="center"/>
          </w:tcPr>
          <w:p>
            <w:pPr>
              <w:rPr>
                <w:rFonts w:ascii="Arial" w:hAnsi="Arial" w:cs="Arial"/>
                <w:sz w:val="20"/>
                <w:szCs w:val="20"/>
              </w:rPr>
            </w:pPr>
          </w:p>
        </w:tc>
        <w:tc>
          <w:tcPr>
            <w:tcW w:w="1653" w:type="dxa"/>
            <w:tcBorders>
              <w:top w:val="nil"/>
              <w:left w:val="nil"/>
              <w:bottom w:val="nil"/>
              <w:right w:val="nil"/>
            </w:tcBorders>
            <w:shd w:val="clear" w:color="auto" w:fill="auto"/>
            <w:noWrap/>
            <w:vAlign w:val="center"/>
          </w:tcPr>
          <w:p>
            <w:pPr>
              <w:rPr>
                <w:rFonts w:ascii="Arial" w:hAnsi="Arial" w:cs="Arial"/>
                <w:sz w:val="20"/>
                <w:szCs w:val="20"/>
              </w:rPr>
            </w:pPr>
          </w:p>
        </w:tc>
        <w:tc>
          <w:tcPr>
            <w:tcW w:w="1654" w:type="dxa"/>
            <w:tcBorders>
              <w:top w:val="nil"/>
              <w:left w:val="nil"/>
              <w:bottom w:val="nil"/>
              <w:right w:val="nil"/>
            </w:tcBorders>
            <w:shd w:val="clear" w:color="auto" w:fill="auto"/>
            <w:noWrap/>
            <w:vAlign w:val="center"/>
          </w:tcPr>
          <w:p>
            <w:pPr>
              <w:rPr>
                <w:rFonts w:ascii="Arial" w:hAnsi="Arial" w:cs="Arial"/>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603.85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332.31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271.54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ascii="宋体" w:hAnsi="宋体" w:eastAsia="宋体" w:cs="宋体"/>
                <w:b/>
                <w:bCs/>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232.58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254.27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232.58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254.27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425.97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231.58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194.39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59.89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32.38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32.38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32.38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38.62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17.27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38.62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17.27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38.62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17.27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sz w:val="20"/>
                <w:szCs w:val="20"/>
              </w:rPr>
            </w:pPr>
          </w:p>
        </w:tc>
        <w:tc>
          <w:tcPr>
            <w:tcW w:w="279" w:type="pct"/>
            <w:tcBorders>
              <w:top w:val="nil"/>
              <w:left w:val="nil"/>
              <w:bottom w:val="nil"/>
              <w:right w:val="nil"/>
            </w:tcBorders>
            <w:shd w:val="clear" w:color="auto" w:fill="auto"/>
            <w:noWrap/>
            <w:vAlign w:val="bottom"/>
          </w:tcPr>
          <w:p>
            <w:pPr>
              <w:rPr>
                <w:rFonts w:ascii="Arial" w:hAnsi="Arial" w:cs="Arial"/>
                <w:sz w:val="20"/>
                <w:szCs w:val="20"/>
              </w:rPr>
            </w:pPr>
          </w:p>
        </w:tc>
        <w:tc>
          <w:tcPr>
            <w:tcW w:w="464" w:type="pct"/>
            <w:tcBorders>
              <w:top w:val="nil"/>
              <w:left w:val="nil"/>
              <w:bottom w:val="nil"/>
              <w:right w:val="nil"/>
            </w:tcBorders>
            <w:shd w:val="clear" w:color="auto" w:fill="auto"/>
            <w:noWrap/>
            <w:vAlign w:val="bottom"/>
          </w:tcPr>
          <w:p>
            <w:pPr>
              <w:rPr>
                <w:rFonts w:ascii="Arial" w:hAnsi="Arial" w:cs="Arial"/>
                <w:sz w:val="20"/>
                <w:szCs w:val="20"/>
              </w:rPr>
            </w:pPr>
          </w:p>
        </w:tc>
        <w:tc>
          <w:tcPr>
            <w:tcW w:w="838" w:type="pct"/>
            <w:tcBorders>
              <w:top w:val="nil"/>
              <w:left w:val="nil"/>
              <w:bottom w:val="nil"/>
              <w:right w:val="nil"/>
            </w:tcBorders>
            <w:shd w:val="clear" w:color="auto" w:fill="auto"/>
            <w:noWrap/>
            <w:vAlign w:val="bottom"/>
          </w:tcPr>
          <w:p>
            <w:pPr>
              <w:rPr>
                <w:rFonts w:ascii="Arial" w:hAnsi="Arial" w:cs="Arial"/>
                <w:sz w:val="20"/>
                <w:szCs w:val="20"/>
              </w:rPr>
            </w:pPr>
          </w:p>
        </w:tc>
        <w:tc>
          <w:tcPr>
            <w:tcW w:w="302" w:type="pct"/>
            <w:tcBorders>
              <w:top w:val="nil"/>
              <w:left w:val="nil"/>
              <w:bottom w:val="nil"/>
              <w:right w:val="nil"/>
            </w:tcBorders>
            <w:shd w:val="clear" w:color="auto" w:fill="auto"/>
            <w:noWrap/>
            <w:vAlign w:val="bottom"/>
          </w:tcPr>
          <w:p>
            <w:pPr>
              <w:rPr>
                <w:rFonts w:ascii="Arial" w:hAnsi="Arial" w:cs="Arial"/>
                <w:sz w:val="20"/>
                <w:szCs w:val="20"/>
              </w:rPr>
            </w:pPr>
          </w:p>
        </w:tc>
        <w:tc>
          <w:tcPr>
            <w:tcW w:w="386" w:type="pct"/>
            <w:tcBorders>
              <w:top w:val="nil"/>
              <w:left w:val="nil"/>
              <w:bottom w:val="nil"/>
              <w:right w:val="nil"/>
            </w:tcBorders>
            <w:shd w:val="clear" w:color="auto" w:fill="auto"/>
            <w:noWrap/>
            <w:vAlign w:val="bottom"/>
          </w:tcPr>
          <w:p>
            <w:pPr>
              <w:rPr>
                <w:rFonts w:ascii="Arial" w:hAnsi="Arial" w:cs="Arial"/>
                <w:sz w:val="20"/>
                <w:szCs w:val="20"/>
              </w:rPr>
            </w:pPr>
          </w:p>
        </w:tc>
        <w:tc>
          <w:tcPr>
            <w:tcW w:w="629" w:type="pct"/>
            <w:tcBorders>
              <w:top w:val="nil"/>
              <w:left w:val="nil"/>
              <w:bottom w:val="nil"/>
              <w:right w:val="nil"/>
            </w:tcBorders>
            <w:shd w:val="clear" w:color="auto" w:fill="auto"/>
            <w:noWrap/>
            <w:vAlign w:val="bottom"/>
          </w:tcPr>
          <w:p>
            <w:pPr>
              <w:rPr>
                <w:rFonts w:ascii="Arial" w:hAnsi="Arial" w:cs="Arial"/>
                <w:sz w:val="20"/>
                <w:szCs w:val="20"/>
              </w:rPr>
            </w:pPr>
          </w:p>
        </w:tc>
        <w:tc>
          <w:tcPr>
            <w:tcW w:w="640" w:type="pct"/>
            <w:tcBorders>
              <w:top w:val="nil"/>
              <w:left w:val="nil"/>
              <w:bottom w:val="nil"/>
              <w:right w:val="nil"/>
            </w:tcBorders>
            <w:shd w:val="clear" w:color="auto" w:fill="auto"/>
            <w:noWrap/>
            <w:vAlign w:val="bottom"/>
          </w:tcPr>
          <w:p>
            <w:pPr>
              <w:rPr>
                <w:rFonts w:ascii="Arial" w:hAnsi="Arial" w:cs="Arial"/>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4.59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4.59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486.85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486.85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32.38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32.38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24.14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55.88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55.88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603.85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603.85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603.85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8" w:type="dxa"/>
            <w:tcBorders>
              <w:top w:val="nil"/>
              <w:left w:val="nil"/>
              <w:bottom w:val="nil"/>
              <w:right w:val="nil"/>
            </w:tcBorders>
            <w:shd w:val="clear" w:color="auto" w:fill="auto"/>
            <w:noWrap/>
            <w:vAlign w:val="bottom"/>
          </w:tcPr>
          <w:p>
            <w:pPr>
              <w:rPr>
                <w:rFonts w:ascii="Arial" w:hAnsi="Arial" w:cs="Arial"/>
                <w:sz w:val="20"/>
                <w:szCs w:val="20"/>
              </w:rPr>
            </w:pPr>
          </w:p>
        </w:tc>
        <w:tc>
          <w:tcPr>
            <w:tcW w:w="238" w:type="dxa"/>
            <w:tcBorders>
              <w:top w:val="nil"/>
              <w:left w:val="nil"/>
              <w:bottom w:val="nil"/>
              <w:right w:val="nil"/>
            </w:tcBorders>
            <w:shd w:val="clear" w:color="auto" w:fill="auto"/>
            <w:noWrap/>
            <w:vAlign w:val="bottom"/>
          </w:tcPr>
          <w:p>
            <w:pPr>
              <w:rPr>
                <w:rFonts w:ascii="Arial" w:hAnsi="Arial" w:cs="Arial"/>
                <w:sz w:val="20"/>
                <w:szCs w:val="20"/>
              </w:rPr>
            </w:pPr>
          </w:p>
        </w:tc>
        <w:tc>
          <w:tcPr>
            <w:tcW w:w="2052" w:type="dxa"/>
            <w:tcBorders>
              <w:top w:val="nil"/>
              <w:left w:val="nil"/>
              <w:bottom w:val="nil"/>
              <w:right w:val="nil"/>
            </w:tcBorders>
            <w:shd w:val="clear" w:color="auto" w:fill="auto"/>
            <w:noWrap/>
            <w:vAlign w:val="bottom"/>
          </w:tcPr>
          <w:p>
            <w:pPr>
              <w:rPr>
                <w:rFonts w:ascii="Arial" w:hAnsi="Arial" w:cs="Arial"/>
                <w:sz w:val="20"/>
                <w:szCs w:val="20"/>
              </w:rPr>
            </w:pPr>
          </w:p>
        </w:tc>
        <w:tc>
          <w:tcPr>
            <w:tcW w:w="3173" w:type="dxa"/>
            <w:tcBorders>
              <w:top w:val="nil"/>
              <w:left w:val="nil"/>
              <w:bottom w:val="nil"/>
              <w:right w:val="nil"/>
            </w:tcBorders>
            <w:shd w:val="clear" w:color="auto" w:fill="auto"/>
            <w:noWrap/>
            <w:vAlign w:val="bottom"/>
          </w:tcPr>
          <w:p>
            <w:pPr>
              <w:rPr>
                <w:rFonts w:ascii="Arial" w:hAnsi="Arial" w:cs="Arial"/>
                <w:sz w:val="20"/>
                <w:szCs w:val="20"/>
              </w:rPr>
            </w:pPr>
          </w:p>
        </w:tc>
        <w:tc>
          <w:tcPr>
            <w:tcW w:w="3107" w:type="dxa"/>
            <w:tcBorders>
              <w:top w:val="nil"/>
              <w:left w:val="nil"/>
              <w:bottom w:val="nil"/>
              <w:right w:val="nil"/>
            </w:tcBorders>
            <w:shd w:val="clear" w:color="auto" w:fill="auto"/>
            <w:noWrap/>
            <w:vAlign w:val="bottom"/>
          </w:tcPr>
          <w:p>
            <w:pPr>
              <w:rPr>
                <w:rFonts w:ascii="Arial" w:hAnsi="Arial" w:cs="Arial"/>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3107"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603.85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332.31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271.54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486.85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232.58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254.27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486.85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232.58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254.27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425.97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231.58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194.39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60.89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59.89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55.88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38.62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17.27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55.88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38.62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17.27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55.88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38.62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17.27</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sz w:val="20"/>
                <w:szCs w:val="20"/>
              </w:rPr>
            </w:pPr>
          </w:p>
        </w:tc>
        <w:tc>
          <w:tcPr>
            <w:tcW w:w="2371" w:type="dxa"/>
            <w:tcBorders>
              <w:top w:val="nil"/>
              <w:left w:val="nil"/>
              <w:bottom w:val="nil"/>
              <w:right w:val="nil"/>
            </w:tcBorders>
            <w:shd w:val="clear" w:color="auto" w:fill="auto"/>
            <w:noWrap/>
            <w:vAlign w:val="bottom"/>
          </w:tcPr>
          <w:p>
            <w:pPr>
              <w:rPr>
                <w:rFonts w:ascii="Arial" w:hAnsi="Arial" w:cs="Arial"/>
                <w:sz w:val="20"/>
                <w:szCs w:val="20"/>
              </w:rPr>
            </w:pPr>
          </w:p>
        </w:tc>
        <w:tc>
          <w:tcPr>
            <w:tcW w:w="1106" w:type="dxa"/>
            <w:tcBorders>
              <w:top w:val="nil"/>
              <w:left w:val="nil"/>
              <w:bottom w:val="nil"/>
              <w:right w:val="nil"/>
            </w:tcBorders>
            <w:shd w:val="clear" w:color="auto" w:fill="auto"/>
            <w:noWrap/>
            <w:vAlign w:val="bottom"/>
          </w:tcPr>
          <w:p>
            <w:pPr>
              <w:rPr>
                <w:rFonts w:ascii="Arial" w:hAnsi="Arial" w:cs="Arial"/>
                <w:sz w:val="20"/>
                <w:szCs w:val="20"/>
              </w:rPr>
            </w:pPr>
          </w:p>
        </w:tc>
        <w:tc>
          <w:tcPr>
            <w:tcW w:w="1280" w:type="dxa"/>
            <w:tcBorders>
              <w:top w:val="nil"/>
              <w:left w:val="nil"/>
              <w:bottom w:val="nil"/>
              <w:right w:val="nil"/>
            </w:tcBorders>
            <w:shd w:val="clear" w:color="auto" w:fill="auto"/>
            <w:noWrap/>
            <w:vAlign w:val="bottom"/>
          </w:tcPr>
          <w:p>
            <w:pPr>
              <w:rPr>
                <w:rFonts w:ascii="Arial" w:hAnsi="Arial" w:cs="Arial"/>
                <w:sz w:val="20"/>
                <w:szCs w:val="20"/>
              </w:rPr>
            </w:pPr>
          </w:p>
        </w:tc>
        <w:tc>
          <w:tcPr>
            <w:tcW w:w="2347" w:type="dxa"/>
            <w:tcBorders>
              <w:top w:val="nil"/>
              <w:left w:val="nil"/>
              <w:bottom w:val="nil"/>
              <w:right w:val="nil"/>
            </w:tcBorders>
            <w:shd w:val="clear" w:color="auto" w:fill="auto"/>
            <w:noWrap/>
            <w:vAlign w:val="bottom"/>
          </w:tcPr>
          <w:p>
            <w:pPr>
              <w:rPr>
                <w:rFonts w:ascii="Arial" w:hAnsi="Arial" w:cs="Arial"/>
                <w:sz w:val="20"/>
                <w:szCs w:val="20"/>
              </w:rPr>
            </w:pPr>
          </w:p>
        </w:tc>
        <w:tc>
          <w:tcPr>
            <w:tcW w:w="1160" w:type="dxa"/>
            <w:tcBorders>
              <w:top w:val="nil"/>
              <w:left w:val="nil"/>
              <w:bottom w:val="nil"/>
              <w:right w:val="nil"/>
            </w:tcBorders>
            <w:shd w:val="clear" w:color="auto" w:fill="auto"/>
            <w:noWrap/>
            <w:vAlign w:val="bottom"/>
          </w:tcPr>
          <w:p>
            <w:pPr>
              <w:rPr>
                <w:rFonts w:ascii="Arial" w:hAnsi="Arial" w:cs="Arial"/>
                <w:sz w:val="20"/>
                <w:szCs w:val="20"/>
              </w:rPr>
            </w:pPr>
          </w:p>
        </w:tc>
        <w:tc>
          <w:tcPr>
            <w:tcW w:w="1173" w:type="dxa"/>
            <w:tcBorders>
              <w:top w:val="nil"/>
              <w:left w:val="nil"/>
              <w:bottom w:val="nil"/>
              <w:right w:val="nil"/>
            </w:tcBorders>
            <w:shd w:val="clear" w:color="auto" w:fill="auto"/>
            <w:noWrap/>
            <w:vAlign w:val="bottom"/>
          </w:tcPr>
          <w:p>
            <w:pPr>
              <w:rPr>
                <w:rFonts w:ascii="Arial" w:hAnsi="Arial" w:cs="Arial"/>
                <w:sz w:val="20"/>
                <w:szCs w:val="20"/>
              </w:rPr>
            </w:pPr>
          </w:p>
        </w:tc>
        <w:tc>
          <w:tcPr>
            <w:tcW w:w="2147" w:type="dxa"/>
            <w:tcBorders>
              <w:top w:val="nil"/>
              <w:left w:val="nil"/>
              <w:bottom w:val="nil"/>
              <w:right w:val="nil"/>
            </w:tcBorders>
            <w:shd w:val="clear" w:color="auto" w:fill="auto"/>
            <w:noWrap/>
            <w:vAlign w:val="bottom"/>
          </w:tcPr>
          <w:p>
            <w:pPr>
              <w:rPr>
                <w:rFonts w:ascii="Arial" w:hAnsi="Arial" w:cs="Arial"/>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科目编码</w:t>
            </w:r>
          </w:p>
          <w:p>
            <w:pPr>
              <w:widowControl/>
              <w:jc w:val="center"/>
              <w:textAlignment w:val="center"/>
              <w:rPr>
                <w:rFonts w:ascii="宋体" w:hAnsi="宋体" w:eastAsia="宋体" w:cs="宋体"/>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300.49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110.87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7.58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57.43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16.16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27.23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22.21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bookmarkStart w:id="1" w:name="OLE_LINK4"/>
            <w:bookmarkEnd w:id="1"/>
            <w:bookmarkStart w:id="2" w:name="OLE_LINK3"/>
            <w:bookmarkEnd w:id="2"/>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327.72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4.59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sz w:val="20"/>
                <w:szCs w:val="20"/>
              </w:rPr>
            </w:pPr>
          </w:p>
        </w:tc>
        <w:tc>
          <w:tcPr>
            <w:tcW w:w="240" w:type="dxa"/>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1625" w:type="dxa"/>
            <w:tcBorders>
              <w:top w:val="nil"/>
              <w:left w:val="nil"/>
              <w:bottom w:val="nil"/>
              <w:right w:val="nil"/>
            </w:tcBorders>
            <w:shd w:val="clear" w:color="auto" w:fill="auto"/>
            <w:noWrap/>
            <w:vAlign w:val="bottom"/>
          </w:tcPr>
          <w:p>
            <w:pPr>
              <w:rPr>
                <w:rFonts w:ascii="Arial" w:hAnsi="Arial" w:cs="Arial"/>
                <w:sz w:val="20"/>
                <w:szCs w:val="20"/>
              </w:rPr>
            </w:pPr>
          </w:p>
        </w:tc>
        <w:tc>
          <w:tcPr>
            <w:tcW w:w="1973" w:type="dxa"/>
            <w:tcBorders>
              <w:top w:val="nil"/>
              <w:left w:val="nil"/>
              <w:bottom w:val="nil"/>
              <w:right w:val="nil"/>
            </w:tcBorders>
            <w:shd w:val="clear" w:color="auto" w:fill="auto"/>
            <w:noWrap/>
            <w:vAlign w:val="bottom"/>
          </w:tcPr>
          <w:p>
            <w:pPr>
              <w:rPr>
                <w:rFonts w:ascii="Arial" w:hAnsi="Arial" w:cs="Arial"/>
                <w:sz w:val="20"/>
                <w:szCs w:val="20"/>
              </w:rPr>
            </w:pPr>
          </w:p>
        </w:tc>
        <w:tc>
          <w:tcPr>
            <w:tcW w:w="1653" w:type="dxa"/>
            <w:tcBorders>
              <w:top w:val="nil"/>
              <w:left w:val="nil"/>
              <w:bottom w:val="nil"/>
              <w:right w:val="nil"/>
            </w:tcBorders>
            <w:shd w:val="clear" w:color="auto" w:fill="auto"/>
            <w:noWrap/>
            <w:vAlign w:val="bottom"/>
          </w:tcPr>
          <w:p>
            <w:pPr>
              <w:rPr>
                <w:rFonts w:ascii="Arial" w:hAnsi="Arial" w:cs="Arial"/>
                <w:sz w:val="20"/>
                <w:szCs w:val="20"/>
              </w:rPr>
            </w:pPr>
          </w:p>
        </w:tc>
        <w:tc>
          <w:tcPr>
            <w:tcW w:w="1600" w:type="dxa"/>
            <w:tcBorders>
              <w:top w:val="nil"/>
              <w:left w:val="nil"/>
              <w:bottom w:val="nil"/>
              <w:right w:val="nil"/>
            </w:tcBorders>
            <w:shd w:val="clear" w:color="auto" w:fill="auto"/>
            <w:noWrap/>
            <w:vAlign w:val="bottom"/>
          </w:tcPr>
          <w:p>
            <w:pPr>
              <w:rPr>
                <w:rFonts w:ascii="Arial" w:hAnsi="Arial" w:cs="Arial"/>
                <w:sz w:val="20"/>
                <w:szCs w:val="20"/>
              </w:rPr>
            </w:pPr>
          </w:p>
        </w:tc>
        <w:tc>
          <w:tcPr>
            <w:tcW w:w="1680" w:type="dxa"/>
            <w:tcBorders>
              <w:top w:val="nil"/>
              <w:left w:val="nil"/>
              <w:bottom w:val="nil"/>
              <w:right w:val="nil"/>
            </w:tcBorders>
            <w:shd w:val="clear" w:color="auto" w:fill="auto"/>
            <w:noWrap/>
            <w:vAlign w:val="bottom"/>
          </w:tcPr>
          <w:p>
            <w:pPr>
              <w:rPr>
                <w:rFonts w:ascii="Arial" w:hAnsi="Arial" w:cs="Arial"/>
                <w:sz w:val="20"/>
                <w:szCs w:val="20"/>
              </w:rPr>
            </w:pPr>
          </w:p>
        </w:tc>
        <w:tc>
          <w:tcPr>
            <w:tcW w:w="1730" w:type="dxa"/>
            <w:tcBorders>
              <w:top w:val="nil"/>
              <w:left w:val="nil"/>
              <w:bottom w:val="nil"/>
              <w:right w:val="nil"/>
            </w:tcBorders>
            <w:shd w:val="clear" w:color="auto" w:fill="auto"/>
            <w:noWrap/>
            <w:vAlign w:val="bottom"/>
          </w:tcPr>
          <w:p>
            <w:pPr>
              <w:rPr>
                <w:rFonts w:ascii="Arial" w:hAnsi="Arial" w:cs="Arial"/>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注：本表反映部门本年度政府性基金预算财政拨款收入、支出及结转和结余情况。</w:t>
            </w:r>
          </w:p>
          <w:p>
            <w:r>
              <w:rPr>
                <w:rFonts w:hint="eastAsia" w:ascii="宋体" w:hAnsi="宋体" w:eastAsia="宋体" w:cs="宋体"/>
                <w:szCs w:val="21"/>
              </w:rPr>
              <w:t>没有数据的表格要零报告，列出空表并在表格下方说明“本部门</w:t>
            </w:r>
            <w:r>
              <w:rPr>
                <w:rFonts w:ascii="Times New Roman" w:hAnsi="Times New Roman" w:eastAsia="宋体" w:cs="Times New Roman"/>
                <w:szCs w:val="21"/>
              </w:rPr>
              <w:t>2022</w:t>
            </w:r>
            <w:r>
              <w:rPr>
                <w:rFonts w:hint="eastAsia" w:ascii="宋体" w:hAnsi="宋体" w:eastAsia="宋体" w:cs="宋体"/>
                <w:szCs w:val="21"/>
              </w:rPr>
              <w:t>年度没有政府性基金预算财政拨款收入，也没有政府性基金预算财政拨款安排的支出，故本表无数据”。有数据可删除本段</w:t>
            </w:r>
            <w:r>
              <w:rPr>
                <w:rFonts w:hint="eastAsia" w:ascii="Times New Roman" w:hAnsi="Times New Roman" w:eastAsia="宋体" w:cs="Times New Roman"/>
                <w:szCs w:val="21"/>
              </w:rPr>
              <w:t xml:space="preserve"> </w:t>
            </w:r>
          </w:p>
          <w:p>
            <w:pPr>
              <w:widowControl/>
              <w:jc w:val="left"/>
              <w:textAlignment w:val="center"/>
              <w:rPr>
                <w:rFonts w:ascii="宋体" w:hAnsi="宋体" w:eastAsia="宋体" w:cs="宋体"/>
                <w:kern w:val="0"/>
                <w:sz w:val="22"/>
                <w:szCs w:val="22"/>
              </w:rPr>
            </w:pPr>
          </w:p>
        </w:tc>
      </w:tr>
    </w:tbl>
    <w:p>
      <w:pPr>
        <w:jc w:val="left"/>
        <w:rPr>
          <w:rFonts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85" w:type="dxa"/>
            <w:tcBorders>
              <w:top w:val="nil"/>
              <w:left w:val="nil"/>
              <w:bottom w:val="nil"/>
              <w:right w:val="nil"/>
            </w:tcBorders>
            <w:shd w:val="clear" w:color="auto" w:fill="auto"/>
            <w:noWrap/>
            <w:vAlign w:val="bottom"/>
          </w:tcPr>
          <w:p>
            <w:pPr>
              <w:rPr>
                <w:rFonts w:ascii="Arial" w:hAnsi="Arial" w:cs="Arial"/>
                <w:sz w:val="20"/>
                <w:szCs w:val="20"/>
              </w:rPr>
            </w:pPr>
          </w:p>
        </w:tc>
        <w:tc>
          <w:tcPr>
            <w:tcW w:w="363" w:type="dxa"/>
            <w:tcBorders>
              <w:top w:val="nil"/>
              <w:left w:val="nil"/>
              <w:bottom w:val="nil"/>
              <w:right w:val="nil"/>
            </w:tcBorders>
            <w:shd w:val="clear" w:color="auto" w:fill="auto"/>
            <w:noWrap/>
            <w:vAlign w:val="bottom"/>
          </w:tcPr>
          <w:p>
            <w:pPr>
              <w:rPr>
                <w:rFonts w:ascii="Arial" w:hAnsi="Arial" w:cs="Arial"/>
                <w:sz w:val="20"/>
                <w:szCs w:val="20"/>
              </w:rPr>
            </w:pPr>
          </w:p>
        </w:tc>
        <w:tc>
          <w:tcPr>
            <w:tcW w:w="1960" w:type="dxa"/>
            <w:tcBorders>
              <w:top w:val="nil"/>
              <w:left w:val="nil"/>
              <w:bottom w:val="nil"/>
              <w:right w:val="nil"/>
            </w:tcBorders>
            <w:shd w:val="clear" w:color="auto" w:fill="auto"/>
            <w:noWrap/>
            <w:vAlign w:val="bottom"/>
          </w:tcPr>
          <w:p>
            <w:pPr>
              <w:rPr>
                <w:rFonts w:ascii="Arial" w:hAnsi="Arial" w:cs="Arial"/>
                <w:sz w:val="20"/>
                <w:szCs w:val="20"/>
              </w:rPr>
            </w:pPr>
          </w:p>
        </w:tc>
        <w:tc>
          <w:tcPr>
            <w:tcW w:w="2993" w:type="dxa"/>
            <w:tcBorders>
              <w:top w:val="nil"/>
              <w:left w:val="nil"/>
              <w:bottom w:val="nil"/>
              <w:right w:val="nil"/>
            </w:tcBorders>
            <w:shd w:val="clear" w:color="auto" w:fill="auto"/>
            <w:noWrap/>
            <w:vAlign w:val="bottom"/>
          </w:tcPr>
          <w:p>
            <w:pPr>
              <w:rPr>
                <w:rFonts w:ascii="Arial" w:hAnsi="Arial" w:cs="Arial"/>
                <w:sz w:val="20"/>
                <w:szCs w:val="20"/>
              </w:rPr>
            </w:pP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bl>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注：本表反映部门本年度国有资本经营预算财政拨款支出情况。</w:t>
      </w:r>
    </w:p>
    <w:p>
      <w:pPr>
        <w:widowControl/>
        <w:jc w:val="left"/>
        <w:textAlignment w:val="center"/>
        <w:rPr>
          <w:rFonts w:ascii="宋体" w:hAnsi="宋体" w:eastAsia="宋体" w:cs="宋体"/>
          <w:kern w:val="0"/>
          <w:sz w:val="22"/>
          <w:szCs w:val="22"/>
        </w:rPr>
      </w:pPr>
      <w:r>
        <w:rPr>
          <w:rFonts w:hint="eastAsia" w:ascii="宋体" w:hAnsi="宋体" w:eastAsia="宋体" w:cs="宋体"/>
          <w:szCs w:val="21"/>
        </w:rPr>
        <w:t>没有数据的表格要零报告，列出空表并在表格下方说明“本部门</w:t>
      </w:r>
      <w:r>
        <w:rPr>
          <w:rFonts w:ascii="Times New Roman" w:hAnsi="Times New Roman" w:eastAsia="宋体" w:cs="Times New Roman"/>
          <w:szCs w:val="21"/>
        </w:rPr>
        <w:t>2022</w:t>
      </w:r>
      <w:r>
        <w:rPr>
          <w:rFonts w:hint="eastAsia" w:ascii="宋体" w:hAnsi="宋体" w:eastAsia="宋体" w:cs="宋体"/>
          <w:szCs w:val="21"/>
        </w:rPr>
        <w:t>年度没有国有资本经营预算财政拨款收入，也没有国有资本经营预算财政拨款安排的支出，故本表无数据”。有数据可删除本段</w:t>
      </w:r>
    </w:p>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kern w:val="0"/>
                <w:sz w:val="30"/>
                <w:szCs w:val="30"/>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425" w:type="dxa"/>
            <w:tcBorders>
              <w:top w:val="nil"/>
              <w:left w:val="nil"/>
              <w:bottom w:val="nil"/>
              <w:right w:val="nil"/>
            </w:tcBorders>
            <w:shd w:val="clear" w:color="auto" w:fill="auto"/>
            <w:noWrap/>
            <w:vAlign w:val="bottom"/>
          </w:tcPr>
          <w:p>
            <w:pPr>
              <w:rPr>
                <w:rFonts w:ascii="Arial" w:hAnsi="Arial" w:cs="Arial"/>
                <w:sz w:val="20"/>
                <w:szCs w:val="20"/>
              </w:rPr>
            </w:pPr>
          </w:p>
        </w:tc>
        <w:tc>
          <w:tcPr>
            <w:tcW w:w="1094" w:type="dxa"/>
            <w:tcBorders>
              <w:top w:val="nil"/>
              <w:left w:val="nil"/>
              <w:bottom w:val="nil"/>
              <w:right w:val="nil"/>
            </w:tcBorders>
            <w:shd w:val="clear" w:color="auto" w:fill="auto"/>
            <w:noWrap/>
            <w:vAlign w:val="bottom"/>
          </w:tcPr>
          <w:p>
            <w:pPr>
              <w:rPr>
                <w:rFonts w:ascii="Arial" w:hAnsi="Arial" w:cs="Arial"/>
                <w:sz w:val="20"/>
                <w:szCs w:val="20"/>
              </w:rPr>
            </w:pPr>
          </w:p>
        </w:tc>
        <w:tc>
          <w:tcPr>
            <w:tcW w:w="1159"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40" w:type="dxa"/>
            <w:tcBorders>
              <w:top w:val="nil"/>
              <w:left w:val="nil"/>
              <w:bottom w:val="nil"/>
              <w:right w:val="nil"/>
            </w:tcBorders>
            <w:shd w:val="clear" w:color="auto" w:fill="auto"/>
            <w:noWrap/>
            <w:vAlign w:val="bottom"/>
          </w:tcPr>
          <w:p>
            <w:pPr>
              <w:rPr>
                <w:rFonts w:ascii="Arial" w:hAnsi="Arial" w:cs="Arial"/>
                <w:sz w:val="20"/>
                <w:szCs w:val="20"/>
              </w:rPr>
            </w:pP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p>
            <w:pPr>
              <w:widowControl/>
              <w:jc w:val="center"/>
              <w:textAlignment w:val="center"/>
              <w:rPr>
                <w:rFonts w:ascii="宋体" w:hAnsi="宋体" w:eastAsia="宋体" w:cs="宋体"/>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kern w:val="0"/>
                <w:sz w:val="22"/>
                <w:szCs w:val="22"/>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kern w:val="0"/>
                <w:sz w:val="22"/>
                <w:szCs w:val="22"/>
              </w:rPr>
            </w:pPr>
            <w:r>
              <w:rPr>
                <w:rFonts w:hint="eastAsia" w:ascii="宋体" w:hAnsi="宋体" w:eastAsia="宋体" w:cs="宋体"/>
                <w:szCs w:val="21"/>
              </w:rPr>
              <w:t>没有数据的表格要零报告，列出空表并在表格下方说明“本部门</w:t>
            </w:r>
            <w:r>
              <w:rPr>
                <w:rFonts w:ascii="Times New Roman" w:hAnsi="Times New Roman" w:eastAsia="宋体" w:cs="Times New Roman"/>
                <w:szCs w:val="21"/>
              </w:rPr>
              <w:t>2022</w:t>
            </w:r>
            <w:r>
              <w:rPr>
                <w:rFonts w:hint="eastAsia" w:ascii="宋体" w:hAnsi="宋体" w:eastAsia="宋体" w:cs="宋体"/>
                <w:szCs w:val="21"/>
              </w:rPr>
              <w:t xml:space="preserve">年度没有财政拨款“三公”经费收入，也没有财政拨款“三公”经费安排的支出，故本表无数据”。有数据可删除本段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环江毛南族自治县第一幼儿园</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603.85</w:t>
      </w:r>
      <w:r>
        <w:rPr>
          <w:rFonts w:hint="eastAsia" w:ascii="仿宋" w:hAnsi="仿宋" w:eastAsia="仿宋" w:cs="仿宋"/>
          <w:sz w:val="32"/>
          <w:szCs w:val="32"/>
        </w:rPr>
        <w:t>万元，较2021年度决算数</w:t>
      </w:r>
      <w:r>
        <w:rPr>
          <w:rFonts w:ascii="仿宋" w:hAnsi="仿宋" w:eastAsia="仿宋" w:cs="仿宋"/>
          <w:sz w:val="32"/>
        </w:rPr>
        <w:t>增加134.24</w:t>
      </w:r>
      <w:r>
        <w:rPr>
          <w:rFonts w:hint="eastAsia" w:ascii="仿宋" w:hAnsi="仿宋" w:eastAsia="仿宋" w:cs="仿宋"/>
          <w:sz w:val="32"/>
          <w:szCs w:val="32"/>
        </w:rPr>
        <w:t>万元，</w:t>
      </w:r>
      <w:r>
        <w:rPr>
          <w:rFonts w:ascii="仿宋" w:hAnsi="仿宋" w:eastAsia="仿宋" w:cs="仿宋"/>
          <w:sz w:val="32"/>
        </w:rPr>
        <w:t>增长28.59%</w:t>
      </w:r>
      <w:r>
        <w:rPr>
          <w:rFonts w:hint="eastAsia" w:ascii="仿宋" w:hAnsi="仿宋" w:eastAsia="仿宋" w:cs="仿宋"/>
          <w:sz w:val="32"/>
          <w:szCs w:val="32"/>
        </w:rPr>
        <w:t>，其中本年收入</w:t>
      </w:r>
      <w:r>
        <w:rPr>
          <w:rFonts w:ascii="仿宋" w:hAnsi="仿宋" w:eastAsia="仿宋" w:cs="仿宋"/>
          <w:sz w:val="32"/>
        </w:rPr>
        <w:t>603.85</w:t>
      </w:r>
      <w:r>
        <w:rPr>
          <w:rFonts w:hint="eastAsia" w:ascii="仿宋" w:hAnsi="仿宋" w:eastAsia="仿宋" w:cs="仿宋"/>
          <w:sz w:val="32"/>
          <w:szCs w:val="32"/>
        </w:rPr>
        <w:t>万元。收入具体情况如下。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1.一般公共预算财政拨款收入</w:t>
      </w:r>
      <w:r>
        <w:rPr>
          <w:rFonts w:ascii="仿宋" w:hAnsi="仿宋" w:eastAsia="仿宋" w:cs="仿宋"/>
          <w:sz w:val="32"/>
        </w:rPr>
        <w:t>603.85</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增加212.25</w:t>
      </w:r>
      <w:r>
        <w:rPr>
          <w:rFonts w:hint="eastAsia" w:ascii="仿宋" w:hAnsi="仿宋" w:eastAsia="仿宋" w:cs="仿宋"/>
          <w:sz w:val="32"/>
          <w:szCs w:val="32"/>
        </w:rPr>
        <w:t>万元，</w:t>
      </w:r>
      <w:r>
        <w:rPr>
          <w:rFonts w:ascii="仿宋" w:hAnsi="仿宋" w:eastAsia="仿宋" w:cs="仿宋"/>
          <w:sz w:val="32"/>
        </w:rPr>
        <w:t>增长54.20%</w:t>
      </w:r>
      <w:r>
        <w:rPr>
          <w:rFonts w:hint="eastAsia" w:ascii="仿宋" w:hAnsi="仿宋" w:eastAsia="仿宋" w:cs="仿宋"/>
          <w:sz w:val="32"/>
          <w:szCs w:val="32"/>
        </w:rPr>
        <w:t>，主要原因：事业收入全部纳入一般公共预算财政收入；2022年度调整工资标准。</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。本部门2</w:t>
      </w:r>
      <w:r>
        <w:rPr>
          <w:rFonts w:ascii="仿宋" w:hAnsi="仿宋" w:eastAsia="仿宋" w:cs="仿宋"/>
          <w:sz w:val="32"/>
          <w:szCs w:val="32"/>
        </w:rPr>
        <w:t>022</w:t>
      </w:r>
      <w:r>
        <w:rPr>
          <w:rFonts w:hint="eastAsia" w:ascii="仿宋" w:hAnsi="仿宋" w:eastAsia="仿宋" w:cs="仿宋"/>
          <w:sz w:val="32"/>
          <w:szCs w:val="32"/>
        </w:rPr>
        <w:t>年度无政府性基金预算财政拨款收入。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。主要原因是：本部门2022年度无国有资本经营预算财政拨款收入。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。主要原因：事业收入全部纳入一般公共预算财政收入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6.经营收入0.00万,为事业单位在业务活动之外开展非独立核算经营活动取得的收入。较2021年度决算数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万元，为以前年度支出预算因客观条件变化未执行完毕、结转到本年度按有关规定继续使用的资金。较2021年度决算数</w:t>
      </w:r>
      <w:r>
        <w:rPr>
          <w:rFonts w:ascii="仿宋" w:hAnsi="仿宋" w:eastAsia="仿宋" w:cs="仿宋"/>
          <w:sz w:val="32"/>
        </w:rPr>
        <w:t>减少78.02</w:t>
      </w:r>
      <w:r>
        <w:rPr>
          <w:rFonts w:hint="eastAsia" w:ascii="仿宋" w:hAnsi="仿宋" w:eastAsia="仿宋" w:cs="仿宋"/>
          <w:sz w:val="32"/>
          <w:szCs w:val="32"/>
        </w:rPr>
        <w:t>万元，</w:t>
      </w:r>
      <w:r>
        <w:rPr>
          <w:rFonts w:ascii="仿宋" w:hAnsi="仿宋" w:eastAsia="仿宋" w:cs="仿宋"/>
          <w:sz w:val="32"/>
        </w:rPr>
        <w:t>下降100.00%</w:t>
      </w:r>
      <w:r>
        <w:rPr>
          <w:rFonts w:hint="eastAsia" w:ascii="仿宋" w:hAnsi="仿宋" w:eastAsia="仿宋" w:cs="仿宋"/>
          <w:sz w:val="32"/>
          <w:szCs w:val="32"/>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603.85</w:t>
      </w:r>
      <w:r>
        <w:rPr>
          <w:rFonts w:hint="eastAsia" w:ascii="仿宋" w:hAnsi="仿宋" w:eastAsia="仿宋" w:cs="仿宋"/>
          <w:sz w:val="32"/>
          <w:szCs w:val="32"/>
        </w:rPr>
        <w:t>万元，其中本年支出</w:t>
      </w:r>
      <w:r>
        <w:rPr>
          <w:rFonts w:ascii="仿宋" w:hAnsi="仿宋" w:eastAsia="仿宋" w:cs="仿宋"/>
          <w:sz w:val="32"/>
        </w:rPr>
        <w:t>603.85</w:t>
      </w:r>
      <w:r>
        <w:rPr>
          <w:rFonts w:hint="eastAsia" w:ascii="仿宋" w:hAnsi="仿宋" w:eastAsia="仿宋" w:cs="仿宋"/>
          <w:sz w:val="32"/>
          <w:szCs w:val="32"/>
        </w:rPr>
        <w:t>万元，较2021年度决算数</w:t>
      </w:r>
      <w:r>
        <w:rPr>
          <w:rFonts w:ascii="仿宋" w:hAnsi="仿宋" w:eastAsia="仿宋" w:cs="仿宋"/>
          <w:sz w:val="32"/>
        </w:rPr>
        <w:t>增加134.24</w:t>
      </w:r>
      <w:r>
        <w:rPr>
          <w:rFonts w:hint="eastAsia" w:ascii="仿宋" w:hAnsi="仿宋" w:eastAsia="仿宋" w:cs="仿宋"/>
          <w:sz w:val="32"/>
          <w:szCs w:val="32"/>
        </w:rPr>
        <w:t>万元，</w:t>
      </w:r>
      <w:r>
        <w:rPr>
          <w:rFonts w:ascii="仿宋" w:hAnsi="仿宋" w:eastAsia="仿宋" w:cs="仿宋"/>
          <w:sz w:val="32"/>
        </w:rPr>
        <w:t>增长28.59%</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rPr>
        <w:t>一般公共服务支出（201</w:t>
      </w:r>
      <w:r>
        <w:rPr>
          <w:rFonts w:ascii="Calibri" w:hAnsi="Calibri" w:eastAsia="宋体" w:cs="Times New Roman"/>
        </w:rPr>
        <w:t xml:space="preserve"> </w:t>
      </w:r>
      <w:r>
        <w:rPr>
          <w:rFonts w:hint="eastAsia" w:ascii="仿宋" w:hAnsi="仿宋" w:eastAsia="仿宋" w:cs="仿宋"/>
          <w:sz w:val="32"/>
          <w:szCs w:val="32"/>
        </w:rPr>
        <w:t>类）4.59万元：主要用于：工会经费支出。较2021年度决算数增加4.59万元，增长100%，主要原因是：无差异。</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rPr>
        <w:t>教育支出（205</w:t>
      </w:r>
      <w:r>
        <w:rPr>
          <w:rFonts w:ascii="Calibri" w:hAnsi="Calibri" w:eastAsia="宋体" w:cs="Times New Roman"/>
        </w:rPr>
        <w:t xml:space="preserve"> </w:t>
      </w:r>
      <w:r>
        <w:rPr>
          <w:rFonts w:hint="eastAsia" w:ascii="仿宋" w:hAnsi="仿宋" w:eastAsia="仿宋" w:cs="仿宋"/>
          <w:sz w:val="32"/>
          <w:szCs w:val="32"/>
        </w:rPr>
        <w:t>类）486.85万元：主要用于：人员工资、日常运转办公经费等支出。较2021年度决算数增加165.34万元，增长51.43%，主要原因是：教育各项收支比上年度均有所增加。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rPr>
        <w:t>社会保障和就业支出（208</w:t>
      </w:r>
      <w:r>
        <w:rPr>
          <w:rFonts w:ascii="Calibri" w:hAnsi="Calibri" w:eastAsia="宋体" w:cs="Times New Roman"/>
        </w:rPr>
        <w:t xml:space="preserve"> </w:t>
      </w:r>
      <w:r>
        <w:rPr>
          <w:rFonts w:hint="eastAsia" w:ascii="仿宋" w:hAnsi="仿宋" w:eastAsia="仿宋" w:cs="仿宋"/>
          <w:sz w:val="32"/>
          <w:szCs w:val="32"/>
        </w:rPr>
        <w:t>类）32.38万元：主要用于：主要用于缴纳教职工社保费单位部分。较2021年度决算数减少14.96万元，下降31.60%，主要原因是：本单位人员分流减少；上年补缴往年社保欠费。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类）24.14万元：主要用于：缴纳教职员工住房公积金单位部分。较2021年度决算数增加5.65万元，增长30.56%，主要原因是：人员年总收入增加，缴纳基数提高。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rPr>
        <w:t>其他支出（229</w:t>
      </w:r>
      <w:r>
        <w:rPr>
          <w:rFonts w:ascii="Calibri" w:hAnsi="Calibri" w:eastAsia="宋体" w:cs="Times New Roman"/>
        </w:rPr>
        <w:t xml:space="preserve"> </w:t>
      </w:r>
      <w:r>
        <w:rPr>
          <w:rFonts w:hint="eastAsia" w:ascii="仿宋" w:hAnsi="仿宋" w:eastAsia="仿宋" w:cs="仿宋"/>
          <w:sz w:val="32"/>
          <w:szCs w:val="32"/>
        </w:rPr>
        <w:t>类）55.88万元：主要用于：其他工资福利支出。较2021年度决算数减少26.40万元，下降32.09%，主要原因是：主要原因是：2</w:t>
      </w:r>
      <w:r>
        <w:rPr>
          <w:rFonts w:ascii="仿宋" w:hAnsi="仿宋" w:eastAsia="仿宋" w:cs="仿宋"/>
          <w:sz w:val="32"/>
          <w:szCs w:val="32"/>
        </w:rPr>
        <w:t>022</w:t>
      </w:r>
      <w:r>
        <w:rPr>
          <w:rFonts w:hint="eastAsia" w:ascii="仿宋" w:hAnsi="仿宋" w:eastAsia="仿宋" w:cs="仿宋"/>
          <w:sz w:val="32"/>
          <w:szCs w:val="32"/>
        </w:rPr>
        <w:t>年度下半年无伙食补助费。</w:t>
      </w:r>
    </w:p>
    <w:p>
      <w:pPr>
        <w:ind w:firstLine="620" w:firstLineChars="200"/>
        <w:jc w:val="left"/>
        <w:rPr>
          <w:rFonts w:ascii="仿宋" w:hAnsi="仿宋" w:eastAsia="仿宋_GB2312" w:cs="仿宋"/>
          <w:sz w:val="32"/>
          <w:szCs w:val="32"/>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1</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rPr>
        <w:t>：</w:t>
      </w:r>
      <w:bookmarkStart w:id="3" w:name="_Hlk151197655"/>
      <w:r>
        <w:rPr>
          <w:rFonts w:hint="eastAsia" w:ascii="仿宋" w:hAnsi="仿宋" w:eastAsia="仿宋" w:cs="仿宋"/>
          <w:sz w:val="32"/>
          <w:szCs w:val="32"/>
        </w:rPr>
        <w:t>本部门2</w:t>
      </w:r>
      <w:r>
        <w:rPr>
          <w:rFonts w:ascii="仿宋" w:hAnsi="仿宋" w:eastAsia="仿宋" w:cs="仿宋"/>
          <w:sz w:val="32"/>
          <w:szCs w:val="32"/>
        </w:rPr>
        <w:t>022</w:t>
      </w:r>
      <w:r>
        <w:rPr>
          <w:rFonts w:hint="eastAsia" w:ascii="仿宋" w:hAnsi="仿宋" w:eastAsia="仿宋" w:cs="仿宋"/>
          <w:sz w:val="32"/>
          <w:szCs w:val="32"/>
        </w:rPr>
        <w:t>年度无结余分配资金。</w:t>
      </w:r>
      <w:bookmarkEnd w:id="3"/>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，主要原因是：本部门2022年度无结余分配资金。</w:t>
      </w:r>
      <w:r>
        <w:rPr>
          <w:rFonts w:hint="eastAsia" w:ascii="仿宋" w:hAnsi="仿宋" w:eastAsia="仿宋" w:cs="仿宋"/>
          <w:sz w:val="32"/>
          <w:szCs w:val="32"/>
        </w:rPr>
        <w:drawing>
          <wp:inline distT="0" distB="0" distL="114300" distR="114300">
            <wp:extent cx="5229225" cy="226695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4" w:name="OLE_LINK1"/>
      <w:r>
        <w:rPr>
          <w:rFonts w:hint="eastAsia" w:ascii="黑体" w:hAnsi="黑体" w:eastAsia="黑体" w:cs="黑体"/>
          <w:sz w:val="32"/>
          <w:szCs w:val="32"/>
        </w:rPr>
        <w:t>一般公共预算财政拨款支出决算情况</w:t>
      </w:r>
      <w:bookmarkEnd w:id="4"/>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环江毛南族自治县第一幼儿园2022年度一般公共预算财政拨款支出</w:t>
      </w:r>
      <w:r>
        <w:rPr>
          <w:rFonts w:ascii="仿宋" w:hAnsi="仿宋" w:eastAsia="仿宋" w:cs="仿宋"/>
          <w:sz w:val="32"/>
        </w:rPr>
        <w:t>603.85</w:t>
      </w:r>
      <w:r>
        <w:rPr>
          <w:rFonts w:hint="eastAsia" w:ascii="仿宋" w:hAnsi="仿宋" w:eastAsia="仿宋" w:cs="仿宋"/>
          <w:sz w:val="32"/>
          <w:szCs w:val="32"/>
        </w:rPr>
        <w:t>万元，较2021年度决算数</w:t>
      </w:r>
      <w:r>
        <w:rPr>
          <w:rFonts w:ascii="仿宋" w:hAnsi="仿宋" w:eastAsia="仿宋" w:cs="仿宋"/>
          <w:sz w:val="32"/>
        </w:rPr>
        <w:t>增加134.24</w:t>
      </w:r>
      <w:r>
        <w:rPr>
          <w:rFonts w:hint="eastAsia" w:ascii="仿宋" w:hAnsi="仿宋" w:eastAsia="仿宋" w:cs="仿宋"/>
          <w:sz w:val="32"/>
          <w:szCs w:val="32"/>
        </w:rPr>
        <w:t>万元，</w:t>
      </w:r>
      <w:r>
        <w:rPr>
          <w:rFonts w:ascii="仿宋" w:hAnsi="仿宋" w:eastAsia="仿宋" w:cs="仿宋"/>
          <w:sz w:val="32"/>
        </w:rPr>
        <w:t>增长28.59%</w:t>
      </w:r>
      <w:r>
        <w:rPr>
          <w:rFonts w:hint="eastAsia" w:ascii="仿宋" w:hAnsi="仿宋" w:eastAsia="仿宋" w:cs="仿宋"/>
          <w:sz w:val="32"/>
          <w:szCs w:val="32"/>
        </w:rPr>
        <w:t>。其中：基本支出</w:t>
      </w:r>
      <w:r>
        <w:rPr>
          <w:rFonts w:ascii="仿宋" w:hAnsi="仿宋" w:eastAsia="仿宋" w:cs="仿宋"/>
          <w:sz w:val="32"/>
        </w:rPr>
        <w:t>332.31</w:t>
      </w:r>
      <w:r>
        <w:rPr>
          <w:rFonts w:hint="eastAsia" w:ascii="仿宋" w:hAnsi="仿宋" w:eastAsia="仿宋" w:cs="仿宋"/>
          <w:sz w:val="32"/>
          <w:szCs w:val="32"/>
        </w:rPr>
        <w:t>万元，项目支出</w:t>
      </w:r>
      <w:r>
        <w:rPr>
          <w:rFonts w:ascii="仿宋" w:hAnsi="仿宋" w:eastAsia="仿宋" w:cs="仿宋"/>
          <w:sz w:val="32"/>
        </w:rPr>
        <w:t>271.54</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 年度一般公共预算财政拨款支出年初预算为</w:t>
      </w:r>
      <w:r>
        <w:rPr>
          <w:rFonts w:ascii="仿宋" w:hAnsi="仿宋" w:eastAsia="仿宋" w:cs="仿宋"/>
          <w:sz w:val="32"/>
        </w:rPr>
        <w:t>466.67</w:t>
      </w:r>
      <w:r>
        <w:rPr>
          <w:rFonts w:hint="eastAsia" w:ascii="仿宋" w:hAnsi="仿宋" w:eastAsia="仿宋" w:cs="仿宋"/>
          <w:sz w:val="32"/>
          <w:szCs w:val="32"/>
        </w:rPr>
        <w:t>万元，支出决算为</w:t>
      </w:r>
      <w:r>
        <w:rPr>
          <w:rFonts w:ascii="仿宋" w:hAnsi="仿宋" w:eastAsia="仿宋" w:cs="仿宋"/>
          <w:sz w:val="32"/>
        </w:rPr>
        <w:t>603.85</w:t>
      </w:r>
      <w:r>
        <w:rPr>
          <w:rFonts w:hint="eastAsia" w:ascii="仿宋" w:hAnsi="仿宋" w:eastAsia="仿宋" w:cs="仿宋"/>
          <w:sz w:val="32"/>
          <w:szCs w:val="32"/>
        </w:rPr>
        <w:t>万元，完成年初预算的</w:t>
      </w:r>
      <w:r>
        <w:rPr>
          <w:rFonts w:ascii="仿宋" w:hAnsi="仿宋" w:eastAsia="仿宋" w:cs="仿宋"/>
          <w:sz w:val="32"/>
        </w:rPr>
        <w:t>129.40%</w:t>
      </w:r>
      <w:r>
        <w:rPr>
          <w:rFonts w:hint="eastAsia" w:ascii="仿宋" w:hAnsi="仿宋" w:eastAsia="仿宋" w:cs="仿宋"/>
          <w:sz w:val="32"/>
          <w:szCs w:val="32"/>
        </w:rPr>
        <w:t>。</w:t>
      </w:r>
      <w:bookmarkStart w:id="5" w:name="OLE_LINK2"/>
      <w:bookmarkEnd w:id="5"/>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4.59</w:t>
      </w:r>
      <w:r>
        <w:rPr>
          <w:rFonts w:hint="eastAsia" w:ascii="仿宋" w:hAnsi="仿宋" w:eastAsia="仿宋"/>
          <w:sz w:val="32"/>
          <w:szCs w:val="32"/>
        </w:rPr>
        <w:t>万元，支出决算为</w:t>
      </w:r>
      <w:r>
        <w:rPr>
          <w:rFonts w:ascii="仿宋" w:hAnsi="仿宋" w:eastAsia="仿宋"/>
          <w:sz w:val="32"/>
          <w:szCs w:val="32"/>
        </w:rPr>
        <w:t>4.59</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529840"/>
            <wp:effectExtent l="4445" t="4445" r="16510" b="184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397.84</w:t>
      </w:r>
      <w:r>
        <w:rPr>
          <w:rFonts w:hint="eastAsia" w:ascii="仿宋" w:hAnsi="仿宋" w:eastAsia="仿宋"/>
          <w:sz w:val="32"/>
          <w:szCs w:val="32"/>
        </w:rPr>
        <w:t>万元，支出决算为</w:t>
      </w:r>
      <w:r>
        <w:rPr>
          <w:rFonts w:ascii="仿宋" w:hAnsi="仿宋" w:eastAsia="仿宋"/>
          <w:sz w:val="32"/>
          <w:szCs w:val="32"/>
        </w:rPr>
        <w:t>486.85</w:t>
      </w:r>
      <w:r>
        <w:rPr>
          <w:rFonts w:hint="eastAsia" w:ascii="仿宋" w:hAnsi="仿宋" w:eastAsia="仿宋"/>
          <w:sz w:val="32"/>
          <w:szCs w:val="32"/>
        </w:rPr>
        <w:t>万元，完成年初预算的</w:t>
      </w:r>
      <w:r>
        <w:rPr>
          <w:rFonts w:ascii="仿宋" w:hAnsi="仿宋" w:eastAsia="仿宋"/>
          <w:sz w:val="32"/>
          <w:szCs w:val="32"/>
        </w:rPr>
        <w:t>122.37%</w:t>
      </w:r>
      <w:r>
        <w:rPr>
          <w:rFonts w:hint="eastAsia" w:ascii="仿宋" w:hAnsi="仿宋" w:eastAsia="仿宋"/>
          <w:sz w:val="32"/>
          <w:szCs w:val="32"/>
        </w:rPr>
        <w:t>。预决算存有差异原因是：</w:t>
      </w:r>
      <w:r>
        <w:rPr>
          <w:rFonts w:hint="eastAsia" w:ascii="仿宋" w:hAnsi="仿宋" w:eastAsia="仿宋" w:cs="仿宋"/>
          <w:sz w:val="32"/>
          <w:szCs w:val="32"/>
        </w:rPr>
        <w:t>人员增加，调整工资标准。</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397.84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425.97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107.07%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60.89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民办幼儿园人员工资福利支出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397.84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486.85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both"/>
        <w:rPr>
          <w:rFonts w:ascii="仿宋" w:hAnsi="仿宋" w:eastAsia="仿宋"/>
          <w:sz w:val="32"/>
          <w:szCs w:val="32"/>
        </w:rPr>
      </w:pPr>
      <w:r>
        <w:rPr>
          <w:rFonts w:hint="eastAsia" w:ascii="仿宋" w:hAnsi="仿宋" w:eastAsia="仿宋" w:cs="仿宋"/>
          <w:sz w:val="32"/>
          <w:szCs w:val="32"/>
        </w:rPr>
        <w:drawing>
          <wp:inline distT="0" distB="0" distL="114300" distR="114300">
            <wp:extent cx="4474845" cy="2883535"/>
            <wp:effectExtent l="4445" t="4445" r="16510" b="762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36.71</w:t>
      </w:r>
      <w:r>
        <w:rPr>
          <w:rFonts w:hint="eastAsia" w:ascii="仿宋" w:hAnsi="仿宋" w:eastAsia="仿宋"/>
          <w:sz w:val="32"/>
          <w:szCs w:val="32"/>
        </w:rPr>
        <w:t>万元，支出决算为</w:t>
      </w:r>
      <w:r>
        <w:rPr>
          <w:rFonts w:ascii="仿宋" w:hAnsi="仿宋" w:eastAsia="仿宋"/>
          <w:sz w:val="32"/>
          <w:szCs w:val="32"/>
        </w:rPr>
        <w:t>32.38</w:t>
      </w:r>
      <w:r>
        <w:rPr>
          <w:rFonts w:hint="eastAsia" w:ascii="仿宋" w:hAnsi="仿宋" w:eastAsia="仿宋"/>
          <w:sz w:val="32"/>
          <w:szCs w:val="32"/>
        </w:rPr>
        <w:t>万元，完成年初预算的</w:t>
      </w:r>
      <w:r>
        <w:rPr>
          <w:rFonts w:ascii="仿宋" w:hAnsi="仿宋" w:eastAsia="仿宋"/>
          <w:sz w:val="32"/>
          <w:szCs w:val="32"/>
        </w:rPr>
        <w:t>88.20%</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36.71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32.38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88.20%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bookmarkStart w:id="6" w:name="_Hlk151198286"/>
            <w:r>
              <w:rPr>
                <w:rFonts w:hint="eastAsia" w:ascii="仿宋" w:hAnsi="仿宋" w:eastAsia="仿宋" w:cs="仿宋"/>
                <w:sz w:val="18"/>
                <w:szCs w:val="18"/>
              </w:rPr>
              <w:t>年初预算缴费基数过高。</w:t>
            </w:r>
            <w:bookmarkEnd w:id="6"/>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36.71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32.38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27.53</w:t>
      </w:r>
      <w:r>
        <w:rPr>
          <w:rFonts w:hint="eastAsia" w:ascii="仿宋" w:hAnsi="仿宋" w:eastAsia="仿宋"/>
          <w:sz w:val="32"/>
          <w:szCs w:val="32"/>
        </w:rPr>
        <w:t>万元，支出决算为</w:t>
      </w:r>
      <w:r>
        <w:rPr>
          <w:rFonts w:ascii="仿宋" w:hAnsi="仿宋" w:eastAsia="仿宋"/>
          <w:sz w:val="32"/>
          <w:szCs w:val="32"/>
        </w:rPr>
        <w:t>24.14</w:t>
      </w:r>
      <w:r>
        <w:rPr>
          <w:rFonts w:hint="eastAsia" w:ascii="仿宋" w:hAnsi="仿宋" w:eastAsia="仿宋"/>
          <w:sz w:val="32"/>
          <w:szCs w:val="32"/>
        </w:rPr>
        <w:t>万元，完成年初预算的</w:t>
      </w:r>
      <w:r>
        <w:rPr>
          <w:rFonts w:ascii="仿宋" w:hAnsi="仿宋" w:eastAsia="仿宋"/>
          <w:sz w:val="32"/>
          <w:szCs w:val="32"/>
        </w:rPr>
        <w:t>87.69%</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27.53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87.69%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年初预算缴费基数过高。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27.53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55.88</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55.88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其他工资福利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55.88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环江毛南族自治县第一幼儿园2022年度一般公共预算财政拨款基本支出</w:t>
      </w:r>
      <w:r>
        <w:rPr>
          <w:rFonts w:ascii="仿宋" w:hAnsi="仿宋" w:eastAsia="仿宋" w:cs="仿宋"/>
          <w:sz w:val="32"/>
        </w:rPr>
        <w:t>332.31</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327.72</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4.59</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300.49万元，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106.14%</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主要原因是：人员增加；2022年度调整工资标准；职工五险一金基数调整。</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110.87万元，30102津贴补贴7.58万元，30103奖金57.43万元，30107绩效工资50.10万元，30108机关事业单位基本养老保险缴费32.38万元，30110职工基本医疗保险缴费16.16万元，30112其他社会保障缴费1.82万元，30113住房公积金24.14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4.59万元，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主要原因是：无差异。</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：30228工会经费4.59万元。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27.23万元，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140.65%</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主要原因是：退休人员增加，生活补助发放标准提高。</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：30305生活补助22.21万元，30309奖励金0.02万元，30399其他对个人和家庭的补助5.00万元。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30500"/>
            <wp:effectExtent l="4445" t="4445" r="16510" b="825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主要原因是：无资本性支出。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主要原因是：无债务利息及费用支出。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87650"/>
            <wp:effectExtent l="4445" t="4445" r="16510" b="825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9" w:name="_GoBack"/>
      <w:bookmarkEnd w:id="9"/>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环江毛南族自治县第一幼儿园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7" w:name="PO_part3A5B1C1DiffReason1"/>
      <w:r>
        <w:rPr>
          <w:rFonts w:hint="eastAsia" w:ascii="仿宋_GB2312" w:hAnsi="Times New Roman" w:eastAsia="仿宋_GB2312" w:cs="Times New Roman"/>
          <w:sz w:val="32"/>
          <w:szCs w:val="32"/>
        </w:rPr>
        <w:t>环江毛南族自治县第一幼儿园</w:t>
      </w:r>
      <w:r>
        <w:rPr>
          <w:rFonts w:ascii="仿宋_GB2312" w:hAnsi="仿宋_GB2312" w:eastAsia="仿宋_GB2312" w:cs="仿宋_GB2312"/>
          <w:sz w:val="32"/>
        </w:rPr>
        <w:t>没有国有资本经营预算收入，也没有国有资本经营预算收入</w:t>
      </w:r>
      <w:r>
        <w:rPr>
          <w:rFonts w:hint="eastAsia" w:ascii="仿宋_GB2312" w:hAnsi="仿宋_GB2312" w:eastAsia="仿宋_GB2312" w:cs="仿宋_GB2312"/>
          <w:sz w:val="32"/>
          <w:lang w:val="en-US" w:eastAsia="zh-CN"/>
        </w:rPr>
        <w:t>安排的支出</w:t>
      </w:r>
      <w:r>
        <w:rPr>
          <w:rFonts w:hint="eastAsia" w:ascii="仿宋_GB2312" w:hAnsi="Times New Roman" w:eastAsia="仿宋_GB2312" w:cs="Times New Roman"/>
          <w:sz w:val="32"/>
          <w:szCs w:val="32"/>
        </w:rPr>
        <w:t>。</w:t>
      </w:r>
      <w:bookmarkEnd w:id="7"/>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主要原因是：本单位严格执行贯彻中央八项规定精神,不安排三公经费支出。</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rPr>
        <w:t>原因是：本单位无因公出国（境）相关工作安排。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8" w:name="PO_part3A6B2IncReason1"/>
      <w:r>
        <w:rPr>
          <w:rFonts w:hint="eastAsia" w:ascii="仿宋" w:hAnsi="仿宋" w:eastAsia="仿宋" w:cs="仿宋"/>
          <w:color w:val="000000" w:themeColor="text1"/>
          <w:sz w:val="32"/>
          <w:szCs w:val="32"/>
        </w:rPr>
        <w:t>本部门无公务用车购置</w:t>
      </w:r>
      <w:bookmarkEnd w:id="8"/>
      <w:r>
        <w:rPr>
          <w:rFonts w:hint="eastAsia" w:ascii="仿宋" w:hAnsi="仿宋" w:eastAsia="仿宋" w:cs="仿宋"/>
          <w:color w:val="000000" w:themeColor="text1"/>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rPr>
        <w:t>主要原因是：</w:t>
      </w:r>
      <w:r>
        <w:rPr>
          <w:rFonts w:hint="eastAsia" w:ascii="仿宋" w:hAnsi="仿宋" w:eastAsia="仿宋" w:cs="仿宋"/>
          <w:color w:val="000000" w:themeColor="text1"/>
          <w:sz w:val="32"/>
          <w:szCs w:val="32"/>
        </w:rPr>
        <w:t>本部门无公务用车购置。</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rPr>
        <w:t>平均每辆</w:t>
      </w:r>
      <w:r>
        <w:rPr>
          <w:rFonts w:hint="eastAsia" w:ascii="仿宋" w:hAnsi="仿宋" w:eastAsia="仿宋" w:cs="仿宋"/>
          <w:color w:val="000000" w:themeColor="text1"/>
          <w:sz w:val="32"/>
          <w:szCs w:val="32"/>
          <w:highlight w:val="none"/>
          <w:lang w:val="en-US" w:eastAsia="zh-CN"/>
        </w:rPr>
        <w:t>0</w:t>
      </w:r>
      <w:r>
        <w:rPr>
          <w:rFonts w:hint="eastAsia" w:ascii="仿宋" w:hAnsi="仿宋" w:eastAsia="仿宋" w:cs="仿宋"/>
          <w:color w:val="000000" w:themeColor="text1"/>
          <w:sz w:val="32"/>
          <w:szCs w:val="32"/>
          <w:highlight w:val="none"/>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公务接待费支出</w:t>
      </w:r>
      <w:r>
        <w:rPr>
          <w:rFonts w:ascii="仿宋" w:hAnsi="仿宋" w:eastAsia="仿宋" w:cs="仿宋"/>
          <w:color w:val="000000" w:themeColor="text1"/>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主要原因是：公务接待人次与上年持平。</w:t>
      </w:r>
      <w:r>
        <w:rPr>
          <w:rFonts w:hint="eastAsia" w:ascii="仿宋" w:hAnsi="仿宋" w:eastAsia="仿宋" w:cs="仿宋"/>
          <w:color w:val="000000" w:themeColor="text1"/>
          <w:sz w:val="32"/>
          <w:szCs w:val="32"/>
          <w:highlight w:val="none"/>
        </w:rPr>
        <w:t>国内公务接待批次</w:t>
      </w:r>
      <w:r>
        <w:rPr>
          <w:rFonts w:hint="eastAsia" w:ascii="仿宋" w:hAnsi="仿宋" w:eastAsia="仿宋" w:cs="仿宋"/>
          <w:color w:val="000000" w:themeColor="text1"/>
          <w:sz w:val="32"/>
          <w:szCs w:val="32"/>
          <w:highlight w:val="none"/>
          <w:lang w:val="en-US" w:eastAsia="zh-CN"/>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r>
        <w:rPr>
          <w:rFonts w:ascii="仿宋" w:hAnsi="仿宋" w:eastAsia="仿宋" w:cs="仿宋"/>
          <w:sz w:val="32"/>
          <w:szCs w:val="32"/>
        </w:rPr>
        <w:t>下降</w:t>
      </w:r>
      <w:r>
        <w:rPr>
          <w:rFonts w:hint="eastAsia" w:ascii="仿宋" w:hAnsi="仿宋" w:eastAsia="仿宋" w:cs="仿宋"/>
          <w:sz w:val="32"/>
          <w:szCs w:val="32"/>
          <w:lang w:val="en-US" w:eastAsia="zh-CN"/>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w:t>
      </w:r>
      <w:r>
        <w:rPr>
          <w:rFonts w:hint="eastAsia" w:ascii="仿宋" w:hAnsi="仿宋" w:eastAsia="仿宋" w:cs="仿宋"/>
          <w:sz w:val="32"/>
          <w:szCs w:val="32"/>
          <w:lang w:val="en-US" w:eastAsia="zh-CN"/>
        </w:rPr>
        <w:t>本部门无机关运行经费。</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根据财政预算管理要求，本部门组织对2022年度一般公共预算项目支出全面开展绩效自评。其中，一等项目16个，二等项目</w:t>
      </w:r>
      <w:r>
        <w:rPr>
          <w:rFonts w:ascii="仿宋" w:hAnsi="仿宋" w:eastAsia="仿宋" w:cs="仿宋"/>
          <w:sz w:val="32"/>
          <w:szCs w:val="32"/>
        </w:rPr>
        <w:t>1</w:t>
      </w:r>
      <w:r>
        <w:rPr>
          <w:rFonts w:hint="eastAsia" w:ascii="仿宋" w:hAnsi="仿宋" w:eastAsia="仿宋" w:cs="仿宋"/>
          <w:sz w:val="32"/>
          <w:szCs w:val="32"/>
        </w:rPr>
        <w:t>个，共涉及资金</w:t>
      </w:r>
      <w:r>
        <w:rPr>
          <w:rFonts w:ascii="仿宋" w:hAnsi="仿宋" w:eastAsia="仿宋" w:cs="仿宋"/>
          <w:sz w:val="32"/>
          <w:szCs w:val="32"/>
        </w:rPr>
        <w:t>346</w:t>
      </w:r>
      <w:r>
        <w:rPr>
          <w:rFonts w:hint="eastAsia" w:ascii="仿宋" w:hAnsi="仿宋" w:eastAsia="仿宋" w:cs="仿宋"/>
          <w:sz w:val="32"/>
          <w:szCs w:val="32"/>
        </w:rPr>
        <w:t>.</w:t>
      </w:r>
      <w:r>
        <w:rPr>
          <w:rFonts w:ascii="仿宋" w:hAnsi="仿宋" w:eastAsia="仿宋" w:cs="仿宋"/>
          <w:sz w:val="32"/>
          <w:szCs w:val="32"/>
        </w:rPr>
        <w:t>56</w:t>
      </w:r>
      <w:r>
        <w:rPr>
          <w:rFonts w:hint="eastAsia" w:ascii="仿宋" w:hAnsi="仿宋" w:eastAsia="仿宋" w:cs="仿宋"/>
          <w:sz w:val="32"/>
          <w:szCs w:val="32"/>
        </w:rPr>
        <w:t>元，占一般公共预算项目支出总额的77.97%。组织对2022年度</w:t>
      </w:r>
      <w:r>
        <w:rPr>
          <w:rFonts w:ascii="仿宋" w:hAnsi="仿宋" w:eastAsia="仿宋" w:cs="仿宋"/>
          <w:sz w:val="32"/>
          <w:szCs w:val="32"/>
        </w:rPr>
        <w:t>0</w:t>
      </w:r>
      <w:r>
        <w:rPr>
          <w:rFonts w:hint="eastAsia" w:ascii="仿宋" w:hAnsi="仿宋" w:eastAsia="仿宋" w:cs="仿宋"/>
          <w:sz w:val="32"/>
          <w:szCs w:val="32"/>
        </w:rPr>
        <w:t>等个政府性基金预算项目支出开展绩效自评，共涉及资金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万元，占政府性基金预算项目支出总额的</w:t>
      </w:r>
      <w:r>
        <w:rPr>
          <w:rFonts w:ascii="仿宋" w:hAnsi="仿宋" w:eastAsia="仿宋" w:cs="仿宋"/>
          <w:sz w:val="32"/>
          <w:szCs w:val="32"/>
        </w:rPr>
        <w:t>0</w:t>
      </w:r>
      <w:r>
        <w:rPr>
          <w:rFonts w:hint="eastAsia" w:ascii="仿宋" w:hAnsi="仿宋" w:eastAsia="仿宋" w:cs="仿宋"/>
          <w:sz w:val="32"/>
          <w:szCs w:val="32"/>
        </w:rPr>
        <w:t>%。组织对2022年度</w:t>
      </w:r>
      <w:r>
        <w:rPr>
          <w:rFonts w:ascii="仿宋" w:hAnsi="仿宋" w:eastAsia="仿宋" w:cs="仿宋"/>
          <w:sz w:val="32"/>
          <w:szCs w:val="32"/>
        </w:rPr>
        <w:t>0</w:t>
      </w:r>
      <w:r>
        <w:rPr>
          <w:rFonts w:hint="eastAsia" w:ascii="仿宋" w:hAnsi="仿宋" w:eastAsia="仿宋" w:cs="仿宋"/>
          <w:sz w:val="32"/>
          <w:szCs w:val="32"/>
        </w:rPr>
        <w:t>等</w:t>
      </w:r>
      <w:r>
        <w:rPr>
          <w:rFonts w:ascii="仿宋" w:hAnsi="仿宋" w:eastAsia="仿宋" w:cs="仿宋"/>
          <w:sz w:val="32"/>
          <w:szCs w:val="32"/>
        </w:rPr>
        <w:t>0</w:t>
      </w:r>
      <w:r>
        <w:rPr>
          <w:rFonts w:hint="eastAsia" w:ascii="仿宋" w:hAnsi="仿宋" w:eastAsia="仿宋" w:cs="仿宋"/>
          <w:sz w:val="32"/>
          <w:szCs w:val="32"/>
        </w:rPr>
        <w:t>个国有资本经营预算项目支出开展绩效自评，共涉及资金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万元，占国有资本经营预算项目支出总额的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组织对“环江县第一幼儿园2022年年初预算经费(教育保育费)”等</w:t>
      </w:r>
      <w:r>
        <w:rPr>
          <w:rFonts w:ascii="仿宋" w:hAnsi="仿宋" w:eastAsia="仿宋" w:cs="仿宋"/>
          <w:sz w:val="32"/>
          <w:szCs w:val="32"/>
        </w:rPr>
        <w:t>1</w:t>
      </w:r>
      <w:r>
        <w:rPr>
          <w:rFonts w:hint="eastAsia" w:ascii="仿宋" w:hAnsi="仿宋" w:eastAsia="仿宋" w:cs="仿宋"/>
          <w:sz w:val="32"/>
          <w:szCs w:val="32"/>
        </w:rPr>
        <w:t>7个项目进行了部门评价，涉及一般公共预算支出</w:t>
      </w:r>
      <w:r>
        <w:rPr>
          <w:rFonts w:ascii="仿宋" w:hAnsi="仿宋" w:eastAsia="仿宋" w:cs="仿宋"/>
          <w:sz w:val="32"/>
          <w:szCs w:val="32"/>
        </w:rPr>
        <w:t>346</w:t>
      </w:r>
      <w:r>
        <w:rPr>
          <w:rFonts w:hint="eastAsia" w:ascii="仿宋" w:hAnsi="仿宋" w:eastAsia="仿宋" w:cs="仿宋"/>
          <w:sz w:val="32"/>
          <w:szCs w:val="32"/>
        </w:rPr>
        <w:t>.</w:t>
      </w:r>
      <w:r>
        <w:rPr>
          <w:rFonts w:ascii="仿宋" w:hAnsi="仿宋" w:eastAsia="仿宋" w:cs="仿宋"/>
          <w:sz w:val="32"/>
          <w:szCs w:val="32"/>
        </w:rPr>
        <w:t>56</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w:t>
      </w:r>
    </w:p>
    <w:p>
      <w:pPr>
        <w:ind w:firstLine="640" w:firstLineChars="200"/>
        <w:rPr>
          <w:rFonts w:ascii="仿宋" w:hAnsi="仿宋" w:eastAsia="仿宋" w:cs="仿宋"/>
          <w:sz w:val="32"/>
          <w:szCs w:val="32"/>
        </w:rPr>
      </w:pPr>
      <w:r>
        <w:rPr>
          <w:rFonts w:hint="eastAsia" w:ascii="仿宋" w:hAnsi="仿宋" w:eastAsia="仿宋" w:cs="仿宋"/>
          <w:sz w:val="32"/>
          <w:szCs w:val="32"/>
        </w:rPr>
        <w:t>1.2022年年初预算经费(教育保育费)项目自评得分为92.86分。发现的主要问题及原因：部分报账材料未能及时整理。下一步改进措施：及时整理报账材料，下年初完成年度资金进度安排。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2.普惠幼儿园奖补县本级奖补资金项目自评得分为100分。发现的主要问题及原因：无。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3.学前教育免保教费县本级补助资金项目自评得分为91.24分。发现的主要问题及原因：部分报账材料未能及时整理。下一步改进措施：及时整理报账材料，下年初完成年度资金进度安排。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4.学前保教费(2021年底收回指标)项目自评得分为100分。发现的主要问题及原因：无。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5.全县校长绩效工资项目自评得分为100分。发现的主要问题及原因：无。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6.班主任津贴项目自评得分为90.06分。发现的主要问题及原因：部分报账材料未能及时整理。下一步改进措施：及时整理报账材料，下年初完成年度资金进度安排。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7.</w:t>
      </w:r>
      <w:r>
        <w:rPr>
          <w:rFonts w:hint="eastAsia"/>
        </w:rPr>
        <w:t xml:space="preserve"> </w:t>
      </w:r>
      <w:r>
        <w:rPr>
          <w:rFonts w:hint="eastAsia" w:ascii="仿宋" w:hAnsi="仿宋" w:eastAsia="仿宋" w:cs="仿宋"/>
          <w:sz w:val="32"/>
          <w:szCs w:val="32"/>
        </w:rPr>
        <w:t>学前教育免除保教费中央补助资金项目自评得分为98分。发现的主要问题及原因：部分报账材料未能及时整理。下一步改进措施：及时整理报账材料，下年初完成年度资金进度安排。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8.</w:t>
      </w:r>
      <w:r>
        <w:rPr>
          <w:rFonts w:hint="eastAsia"/>
        </w:rPr>
        <w:t xml:space="preserve"> </w:t>
      </w:r>
      <w:r>
        <w:rPr>
          <w:rFonts w:hint="eastAsia" w:ascii="仿宋" w:hAnsi="仿宋" w:eastAsia="仿宋" w:cs="仿宋"/>
          <w:sz w:val="32"/>
          <w:szCs w:val="32"/>
        </w:rPr>
        <w:t>学前教育质量提升资金项目自评得分为80分。发现的主要问题及原因：部分报账材料未能及时整理。下一步改进措施：及时整理报账材料，下年初完成年度资金进度安排。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9.</w:t>
      </w:r>
      <w:r>
        <w:rPr>
          <w:rFonts w:hint="eastAsia"/>
        </w:rPr>
        <w:t xml:space="preserve"> </w:t>
      </w:r>
      <w:r>
        <w:rPr>
          <w:rFonts w:hint="eastAsia" w:ascii="仿宋" w:hAnsi="仿宋" w:eastAsia="仿宋" w:cs="仿宋"/>
          <w:sz w:val="32"/>
          <w:szCs w:val="32"/>
        </w:rPr>
        <w:t>普惠性民办幼儿园奖补中央补助资金项目自评得分为93.54分。发现的主要问题及原因：部分报账材料未能及时整理。下一步改进措施：及时整理报账材料，下年初完成年度资金进度安排。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10.</w:t>
      </w:r>
      <w:r>
        <w:rPr>
          <w:rFonts w:hint="eastAsia"/>
        </w:rPr>
        <w:t xml:space="preserve"> </w:t>
      </w:r>
      <w:r>
        <w:rPr>
          <w:rFonts w:hint="eastAsia" w:ascii="仿宋" w:hAnsi="仿宋" w:eastAsia="仿宋" w:cs="仿宋"/>
          <w:sz w:val="32"/>
          <w:szCs w:val="32"/>
        </w:rPr>
        <w:t>校舍维修经费项目自评得分为100分。发现的主要问题及原因：无。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11.</w:t>
      </w:r>
      <w:r>
        <w:rPr>
          <w:rFonts w:hint="eastAsia"/>
        </w:rPr>
        <w:t xml:space="preserve"> </w:t>
      </w:r>
      <w:r>
        <w:rPr>
          <w:rFonts w:hint="eastAsia" w:ascii="仿宋" w:hAnsi="仿宋" w:eastAsia="仿宋" w:cs="仿宋"/>
          <w:sz w:val="32"/>
          <w:szCs w:val="32"/>
        </w:rPr>
        <w:t>学前生均公用经费项目自评得分为99.62分。发现的主要问题及原因：部分报账材料未能及时整理。下一步改进措施：及时整理报账材料，下年初完成年度资金进度安排。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12.</w:t>
      </w:r>
      <w:r>
        <w:rPr>
          <w:rFonts w:hint="eastAsia"/>
        </w:rPr>
        <w:t xml:space="preserve"> </w:t>
      </w:r>
      <w:r>
        <w:rPr>
          <w:rFonts w:hint="eastAsia" w:ascii="仿宋" w:hAnsi="仿宋" w:eastAsia="仿宋" w:cs="仿宋"/>
          <w:sz w:val="32"/>
          <w:szCs w:val="32"/>
        </w:rPr>
        <w:t>奖励性补贴项目自评得分为100分。发现的主要问题及原因：无。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13.</w:t>
      </w:r>
      <w:r>
        <w:rPr>
          <w:rFonts w:hint="eastAsia"/>
        </w:rPr>
        <w:t xml:space="preserve"> </w:t>
      </w:r>
      <w:r>
        <w:rPr>
          <w:rFonts w:hint="eastAsia" w:ascii="仿宋" w:hAnsi="仿宋" w:eastAsia="仿宋" w:cs="仿宋"/>
          <w:sz w:val="32"/>
          <w:szCs w:val="32"/>
        </w:rPr>
        <w:t>2021年年初预算经费(2021年底收回指标)项目自评得分为97.28分。发现的主要问题及原因：部分报账材料未能及时整理。下一步改进措施：及时整理报账材料，下年初完成年度资金进度安排。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14.</w:t>
      </w:r>
      <w:r>
        <w:rPr>
          <w:rFonts w:hint="eastAsia"/>
        </w:rPr>
        <w:t xml:space="preserve"> </w:t>
      </w:r>
      <w:r>
        <w:rPr>
          <w:rFonts w:hint="eastAsia" w:ascii="仿宋" w:hAnsi="仿宋" w:eastAsia="仿宋" w:cs="仿宋"/>
          <w:sz w:val="32"/>
          <w:szCs w:val="32"/>
        </w:rPr>
        <w:t>学前教育保育费项目自评得分为100分。发现的主要问题及原因：无。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15.</w:t>
      </w:r>
      <w:r>
        <w:rPr>
          <w:rFonts w:hint="eastAsia"/>
        </w:rPr>
        <w:t xml:space="preserve"> </w:t>
      </w:r>
      <w:r>
        <w:rPr>
          <w:rFonts w:hint="eastAsia" w:ascii="仿宋" w:hAnsi="仿宋" w:eastAsia="仿宋" w:cs="仿宋"/>
          <w:sz w:val="32"/>
          <w:szCs w:val="32"/>
        </w:rPr>
        <w:t>教师节经费项目自评得分为91.81分。发现的主要问题及原因：部分报账材料未能及时整理。下一步改进措施：及时整理报账材料，下年初完成年度资金进度安排。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16.</w:t>
      </w:r>
      <w:r>
        <w:rPr>
          <w:rFonts w:hint="eastAsia"/>
        </w:rPr>
        <w:t xml:space="preserve"> </w:t>
      </w:r>
      <w:r>
        <w:rPr>
          <w:rFonts w:hint="eastAsia" w:ascii="仿宋" w:hAnsi="仿宋" w:eastAsia="仿宋" w:cs="仿宋"/>
          <w:sz w:val="32"/>
          <w:szCs w:val="32"/>
        </w:rPr>
        <w:t>伙食补助项目自评得分为100分。发现的主要问题及原因：无。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17.</w:t>
      </w:r>
      <w:r>
        <w:rPr>
          <w:rFonts w:hint="eastAsia"/>
        </w:rPr>
        <w:t xml:space="preserve"> </w:t>
      </w:r>
      <w:r>
        <w:rPr>
          <w:rFonts w:hint="eastAsia" w:ascii="仿宋" w:hAnsi="仿宋" w:eastAsia="仿宋" w:cs="仿宋"/>
          <w:sz w:val="32"/>
          <w:szCs w:val="32"/>
        </w:rPr>
        <w:t>学前教育免除保教费自治区补助资金项目自评得分为97.08分。发现的主要问题及原因：部分报账材料未能及时整理。下一步改进措施：及时整理报账材料，下年初完成年度资金进度安排。</w:t>
      </w:r>
    </w:p>
    <w:p>
      <w:pPr>
        <w:rPr>
          <w:rFonts w:ascii="仿宋" w:hAnsi="仿宋" w:eastAsia="仿宋" w:cs="仿宋"/>
          <w:sz w:val="32"/>
          <w:szCs w:val="32"/>
        </w:rPr>
      </w:pP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环江毛南族自治县环江毛南族自治县财政局门当年拨付的资金。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2149"/>
    <w:rsid w:val="00047F6C"/>
    <w:rsid w:val="00093C26"/>
    <w:rsid w:val="00094B91"/>
    <w:rsid w:val="000B06D8"/>
    <w:rsid w:val="000E4711"/>
    <w:rsid w:val="000E5855"/>
    <w:rsid w:val="00115770"/>
    <w:rsid w:val="001418A5"/>
    <w:rsid w:val="00143029"/>
    <w:rsid w:val="00147D40"/>
    <w:rsid w:val="00156EF2"/>
    <w:rsid w:val="00170A1C"/>
    <w:rsid w:val="001D7B97"/>
    <w:rsid w:val="001E1210"/>
    <w:rsid w:val="00210E20"/>
    <w:rsid w:val="00223F38"/>
    <w:rsid w:val="00233613"/>
    <w:rsid w:val="00254DBE"/>
    <w:rsid w:val="00275CAB"/>
    <w:rsid w:val="0028709C"/>
    <w:rsid w:val="0029328F"/>
    <w:rsid w:val="002B2731"/>
    <w:rsid w:val="002B35FB"/>
    <w:rsid w:val="002C4CE2"/>
    <w:rsid w:val="002E376B"/>
    <w:rsid w:val="00382867"/>
    <w:rsid w:val="003A4973"/>
    <w:rsid w:val="003C1C96"/>
    <w:rsid w:val="003C69F8"/>
    <w:rsid w:val="003E40BA"/>
    <w:rsid w:val="003E7165"/>
    <w:rsid w:val="003F3328"/>
    <w:rsid w:val="0041579D"/>
    <w:rsid w:val="00427074"/>
    <w:rsid w:val="00434D04"/>
    <w:rsid w:val="004C4D73"/>
    <w:rsid w:val="004D7D0E"/>
    <w:rsid w:val="004E1E23"/>
    <w:rsid w:val="005234F5"/>
    <w:rsid w:val="00531745"/>
    <w:rsid w:val="00574196"/>
    <w:rsid w:val="005B571E"/>
    <w:rsid w:val="006123AD"/>
    <w:rsid w:val="00645B83"/>
    <w:rsid w:val="0066173C"/>
    <w:rsid w:val="006D677A"/>
    <w:rsid w:val="00704B45"/>
    <w:rsid w:val="00733AEA"/>
    <w:rsid w:val="007553E5"/>
    <w:rsid w:val="007640BB"/>
    <w:rsid w:val="00771953"/>
    <w:rsid w:val="00776E0B"/>
    <w:rsid w:val="007831C4"/>
    <w:rsid w:val="007A0641"/>
    <w:rsid w:val="007C52E7"/>
    <w:rsid w:val="007C54EA"/>
    <w:rsid w:val="007C776D"/>
    <w:rsid w:val="007D7CE3"/>
    <w:rsid w:val="007E2F6C"/>
    <w:rsid w:val="007E641C"/>
    <w:rsid w:val="007F6978"/>
    <w:rsid w:val="00817C69"/>
    <w:rsid w:val="00823A94"/>
    <w:rsid w:val="00824151"/>
    <w:rsid w:val="008315A9"/>
    <w:rsid w:val="00834354"/>
    <w:rsid w:val="008F1B95"/>
    <w:rsid w:val="008F1BD5"/>
    <w:rsid w:val="008F4AE2"/>
    <w:rsid w:val="008F6882"/>
    <w:rsid w:val="00934C72"/>
    <w:rsid w:val="00946CCF"/>
    <w:rsid w:val="00974F6C"/>
    <w:rsid w:val="0097721B"/>
    <w:rsid w:val="009831F8"/>
    <w:rsid w:val="009A3AC7"/>
    <w:rsid w:val="009B3E00"/>
    <w:rsid w:val="009C4F7A"/>
    <w:rsid w:val="009D1667"/>
    <w:rsid w:val="00A07CCE"/>
    <w:rsid w:val="00A27266"/>
    <w:rsid w:val="00A27624"/>
    <w:rsid w:val="00A358E6"/>
    <w:rsid w:val="00A96F13"/>
    <w:rsid w:val="00AA78EE"/>
    <w:rsid w:val="00AB53E1"/>
    <w:rsid w:val="00AD5C4D"/>
    <w:rsid w:val="00AE5F66"/>
    <w:rsid w:val="00B0643A"/>
    <w:rsid w:val="00B07A0B"/>
    <w:rsid w:val="00B22F28"/>
    <w:rsid w:val="00B37453"/>
    <w:rsid w:val="00B45479"/>
    <w:rsid w:val="00B60171"/>
    <w:rsid w:val="00B837AC"/>
    <w:rsid w:val="00BB4FB8"/>
    <w:rsid w:val="00BD315D"/>
    <w:rsid w:val="00BE7F1E"/>
    <w:rsid w:val="00C3279E"/>
    <w:rsid w:val="00C34857"/>
    <w:rsid w:val="00CA2E26"/>
    <w:rsid w:val="00D00918"/>
    <w:rsid w:val="00D06370"/>
    <w:rsid w:val="00D14326"/>
    <w:rsid w:val="00D772CC"/>
    <w:rsid w:val="00D84F30"/>
    <w:rsid w:val="00D878A6"/>
    <w:rsid w:val="00DE58E8"/>
    <w:rsid w:val="00DE6656"/>
    <w:rsid w:val="00DE74BD"/>
    <w:rsid w:val="00DE7D07"/>
    <w:rsid w:val="00E26AF9"/>
    <w:rsid w:val="00E6742A"/>
    <w:rsid w:val="00EB7822"/>
    <w:rsid w:val="00EC4D86"/>
    <w:rsid w:val="00EC50A9"/>
    <w:rsid w:val="00ED04DB"/>
    <w:rsid w:val="00F21455"/>
    <w:rsid w:val="00F5354B"/>
    <w:rsid w:val="00F541BE"/>
    <w:rsid w:val="00F95135"/>
    <w:rsid w:val="00F9658C"/>
    <w:rsid w:val="00F978FD"/>
    <w:rsid w:val="00FA738E"/>
    <w:rsid w:val="00FC438B"/>
    <w:rsid w:val="01234E98"/>
    <w:rsid w:val="015F1951"/>
    <w:rsid w:val="020C171D"/>
    <w:rsid w:val="0216715F"/>
    <w:rsid w:val="02E0291A"/>
    <w:rsid w:val="04E54546"/>
    <w:rsid w:val="05992762"/>
    <w:rsid w:val="06EA3869"/>
    <w:rsid w:val="07B0770E"/>
    <w:rsid w:val="0942143F"/>
    <w:rsid w:val="0A97CE62"/>
    <w:rsid w:val="0D100297"/>
    <w:rsid w:val="0D202B45"/>
    <w:rsid w:val="0F2E01F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DB21F69"/>
    <w:rsid w:val="1E664F5B"/>
    <w:rsid w:val="1EB34BE1"/>
    <w:rsid w:val="1FBBC16A"/>
    <w:rsid w:val="215E639F"/>
    <w:rsid w:val="21EC3183"/>
    <w:rsid w:val="225E72CD"/>
    <w:rsid w:val="246E2F77"/>
    <w:rsid w:val="254B4E2B"/>
    <w:rsid w:val="283D7C94"/>
    <w:rsid w:val="28953E9A"/>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6BD2B2C"/>
    <w:rsid w:val="371E78D5"/>
    <w:rsid w:val="38A951DB"/>
    <w:rsid w:val="38B31605"/>
    <w:rsid w:val="39003F4F"/>
    <w:rsid w:val="3C07002B"/>
    <w:rsid w:val="3D0D152A"/>
    <w:rsid w:val="3DF62756"/>
    <w:rsid w:val="3F1B7587"/>
    <w:rsid w:val="414636A4"/>
    <w:rsid w:val="41E57B4F"/>
    <w:rsid w:val="432F26F6"/>
    <w:rsid w:val="43880F63"/>
    <w:rsid w:val="441C5A6F"/>
    <w:rsid w:val="44C44FCC"/>
    <w:rsid w:val="44CC7369"/>
    <w:rsid w:val="457F5108"/>
    <w:rsid w:val="46951B6B"/>
    <w:rsid w:val="49A34401"/>
    <w:rsid w:val="4A3E30AB"/>
    <w:rsid w:val="4AC14DAC"/>
    <w:rsid w:val="4C546703"/>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463B23"/>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603.849999999999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22.21</c:v>
                </c:pt>
                <c:pt idx="5">
                  <c:v>0</c:v>
                </c:pt>
                <c:pt idx="6">
                  <c:v>0</c:v>
                </c:pt>
                <c:pt idx="7">
                  <c:v>0</c:v>
                </c:pt>
                <c:pt idx="8">
                  <c:v>0.02</c:v>
                </c:pt>
                <c:pt idx="9">
                  <c:v>0</c:v>
                </c:pt>
                <c:pt idx="10">
                  <c:v>0</c:v>
                </c:pt>
                <c:pt idx="11">
                  <c:v>5</c:v>
                </c:pt>
              </c:numCache>
            </c:numRef>
          </c:val>
        </c:ser>
        <c:dLbls>
          <c:showLegendKey val="0"/>
          <c:showVal val="0"/>
          <c:showCatName val="0"/>
          <c:showSerName val="0"/>
          <c:showPercent val="0"/>
          <c:showBubbleSize val="0"/>
        </c:dLbls>
        <c:gapWidth val="219"/>
        <c:overlap val="-27"/>
        <c:axId val="308302976"/>
        <c:axId val="308304512"/>
      </c:barChart>
      <c:catAx>
        <c:axId val="30830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304512"/>
        <c:crosses val="autoZero"/>
        <c:auto val="1"/>
        <c:lblAlgn val="ctr"/>
        <c:lblOffset val="100"/>
        <c:noMultiLvlLbl val="0"/>
      </c:catAx>
      <c:valAx>
        <c:axId val="3083045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302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08345088"/>
        <c:axId val="308350976"/>
      </c:barChart>
      <c:catAx>
        <c:axId val="308345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350976"/>
        <c:crosses val="autoZero"/>
        <c:auto val="1"/>
        <c:lblAlgn val="ctr"/>
        <c:lblOffset val="100"/>
        <c:noMultiLvlLbl val="0"/>
      </c:catAx>
      <c:valAx>
        <c:axId val="3083509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345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308419968"/>
        <c:axId val="308446336"/>
      </c:barChart>
      <c:catAx>
        <c:axId val="308419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446336"/>
        <c:crosses val="autoZero"/>
        <c:auto val="1"/>
        <c:lblAlgn val="ctr"/>
        <c:lblOffset val="100"/>
        <c:noMultiLvlLbl val="0"/>
      </c:catAx>
      <c:valAx>
        <c:axId val="308446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419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308486912"/>
        <c:axId val="308488448"/>
      </c:barChart>
      <c:catAx>
        <c:axId val="3084869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488448"/>
        <c:crosses val="autoZero"/>
        <c:auto val="1"/>
        <c:lblAlgn val="ctr"/>
        <c:lblOffset val="100"/>
        <c:noMultiLvlLbl val="0"/>
      </c:catAx>
      <c:valAx>
        <c:axId val="308488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486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321.51</c:v>
                </c:pt>
                <c:pt idx="2">
                  <c:v>47.34</c:v>
                </c:pt>
                <c:pt idx="3">
                  <c:v>18.49</c:v>
                </c:pt>
                <c:pt idx="4">
                  <c:v>82.28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4.59</c:v>
                </c:pt>
                <c:pt idx="1">
                  <c:v>486.85</c:v>
                </c:pt>
                <c:pt idx="2">
                  <c:v>32.38</c:v>
                </c:pt>
                <c:pt idx="3">
                  <c:v>24.14</c:v>
                </c:pt>
                <c:pt idx="4">
                  <c:v>55.88</c:v>
                </c:pt>
              </c:numCache>
            </c:numRef>
          </c:val>
        </c:ser>
        <c:dLbls>
          <c:showLegendKey val="0"/>
          <c:showVal val="0"/>
          <c:showCatName val="0"/>
          <c:showSerName val="0"/>
          <c:showPercent val="0"/>
          <c:showBubbleSize val="0"/>
        </c:dLbls>
        <c:gapWidth val="219"/>
        <c:overlap val="-27"/>
        <c:axId val="279788928"/>
        <c:axId val="283501696"/>
      </c:barChart>
      <c:catAx>
        <c:axId val="2797889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01696"/>
        <c:crosses val="autoZero"/>
        <c:auto val="1"/>
        <c:lblAlgn val="ctr"/>
        <c:lblOffset val="100"/>
        <c:noMultiLvlLbl val="0"/>
      </c:catAx>
      <c:valAx>
        <c:axId val="283501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788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4.59</c:v>
                </c:pt>
                <c:pt idx="1">
                  <c:v>4.59</c:v>
                </c:pt>
              </c:numCache>
            </c:numRef>
          </c:val>
        </c:ser>
        <c:dLbls>
          <c:showLegendKey val="0"/>
          <c:showVal val="0"/>
          <c:showCatName val="0"/>
          <c:showSerName val="0"/>
          <c:showPercent val="0"/>
          <c:showBubbleSize val="0"/>
        </c:dLbls>
        <c:gapWidth val="219"/>
        <c:overlap val="-27"/>
        <c:axId val="283521792"/>
        <c:axId val="283523328"/>
      </c:barChart>
      <c:catAx>
        <c:axId val="2835217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23328"/>
        <c:crosses val="autoZero"/>
        <c:auto val="1"/>
        <c:lblAlgn val="ctr"/>
        <c:lblOffset val="100"/>
        <c:noMultiLvlLbl val="0"/>
      </c:catAx>
      <c:valAx>
        <c:axId val="2835233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21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425.97</c:v>
                </c:pt>
                <c:pt idx="1">
                  <c:v>60.89</c:v>
                </c:pt>
                <c:pt idx="2">
                  <c:v>486.85</c:v>
                </c:pt>
              </c:numCache>
            </c:numRef>
          </c:val>
        </c:ser>
        <c:dLbls>
          <c:showLegendKey val="0"/>
          <c:showVal val="0"/>
          <c:showCatName val="0"/>
          <c:showSerName val="0"/>
          <c:showPercent val="0"/>
          <c:showBubbleSize val="0"/>
        </c:dLbls>
        <c:gapWidth val="219"/>
        <c:overlap val="-27"/>
        <c:axId val="283637632"/>
        <c:axId val="283639168"/>
      </c:barChart>
      <c:catAx>
        <c:axId val="283637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639168"/>
        <c:crosses val="autoZero"/>
        <c:auto val="1"/>
        <c:lblAlgn val="ctr"/>
        <c:lblOffset val="100"/>
        <c:noMultiLvlLbl val="0"/>
      </c:catAx>
      <c:valAx>
        <c:axId val="283639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637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32.38</c:v>
                </c:pt>
                <c:pt idx="1">
                  <c:v>32.38</c:v>
                </c:pt>
              </c:numCache>
            </c:numRef>
          </c:val>
        </c:ser>
        <c:dLbls>
          <c:showLegendKey val="0"/>
          <c:showVal val="0"/>
          <c:showCatName val="0"/>
          <c:showSerName val="0"/>
          <c:showPercent val="0"/>
          <c:showBubbleSize val="0"/>
        </c:dLbls>
        <c:gapWidth val="219"/>
        <c:overlap val="-27"/>
        <c:axId val="288902144"/>
        <c:axId val="288903936"/>
      </c:barChart>
      <c:catAx>
        <c:axId val="288902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03936"/>
        <c:crosses val="autoZero"/>
        <c:auto val="1"/>
        <c:lblAlgn val="ctr"/>
        <c:lblOffset val="100"/>
        <c:noMultiLvlLbl val="0"/>
      </c:catAx>
      <c:valAx>
        <c:axId val="288903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02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24.14</c:v>
                </c:pt>
                <c:pt idx="1">
                  <c:v>24.14</c:v>
                </c:pt>
              </c:numCache>
            </c:numRef>
          </c:val>
        </c:ser>
        <c:dLbls>
          <c:showLegendKey val="0"/>
          <c:showVal val="0"/>
          <c:showCatName val="0"/>
          <c:showSerName val="0"/>
          <c:showPercent val="0"/>
          <c:showBubbleSize val="0"/>
        </c:dLbls>
        <c:gapWidth val="219"/>
        <c:overlap val="-27"/>
        <c:axId val="288919936"/>
        <c:axId val="288921472"/>
      </c:barChart>
      <c:catAx>
        <c:axId val="288919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21472"/>
        <c:crosses val="autoZero"/>
        <c:auto val="1"/>
        <c:lblAlgn val="ctr"/>
        <c:lblOffset val="100"/>
        <c:noMultiLvlLbl val="0"/>
      </c:catAx>
      <c:valAx>
        <c:axId val="2889214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19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55.88</c:v>
                </c:pt>
                <c:pt idx="1">
                  <c:v>55.88</c:v>
                </c:pt>
              </c:numCache>
            </c:numRef>
          </c:val>
        </c:ser>
        <c:dLbls>
          <c:showLegendKey val="0"/>
          <c:showVal val="0"/>
          <c:showCatName val="0"/>
          <c:showSerName val="0"/>
          <c:showPercent val="0"/>
          <c:showBubbleSize val="0"/>
        </c:dLbls>
        <c:gapWidth val="219"/>
        <c:overlap val="-27"/>
        <c:axId val="288929280"/>
        <c:axId val="288930816"/>
      </c:barChart>
      <c:catAx>
        <c:axId val="288929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30816"/>
        <c:crosses val="autoZero"/>
        <c:auto val="1"/>
        <c:lblAlgn val="ctr"/>
        <c:lblOffset val="100"/>
        <c:noMultiLvlLbl val="0"/>
      </c:catAx>
      <c:valAx>
        <c:axId val="2889308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29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110.87</c:v>
                </c:pt>
                <c:pt idx="1">
                  <c:v>7.58</c:v>
                </c:pt>
                <c:pt idx="2">
                  <c:v>57.43</c:v>
                </c:pt>
                <c:pt idx="3">
                  <c:v>0</c:v>
                </c:pt>
                <c:pt idx="4">
                  <c:v>50.1</c:v>
                </c:pt>
                <c:pt idx="5">
                  <c:v>32.38</c:v>
                </c:pt>
                <c:pt idx="6">
                  <c:v>0</c:v>
                </c:pt>
                <c:pt idx="7">
                  <c:v>16.16</c:v>
                </c:pt>
                <c:pt idx="8">
                  <c:v>0</c:v>
                </c:pt>
                <c:pt idx="9">
                  <c:v>1.82</c:v>
                </c:pt>
                <c:pt idx="10">
                  <c:v>24.14</c:v>
                </c:pt>
                <c:pt idx="11">
                  <c:v>0</c:v>
                </c:pt>
                <c:pt idx="12">
                  <c:v>0</c:v>
                </c:pt>
              </c:numCache>
            </c:numRef>
          </c:val>
        </c:ser>
        <c:dLbls>
          <c:showLegendKey val="0"/>
          <c:showVal val="0"/>
          <c:showCatName val="0"/>
          <c:showSerName val="0"/>
          <c:showPercent val="0"/>
          <c:showBubbleSize val="0"/>
        </c:dLbls>
        <c:gapWidth val="219"/>
        <c:overlap val="-27"/>
        <c:axId val="288991872"/>
        <c:axId val="288993664"/>
      </c:barChart>
      <c:catAx>
        <c:axId val="288991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93664"/>
        <c:crosses val="autoZero"/>
        <c:auto val="1"/>
        <c:lblAlgn val="ctr"/>
        <c:lblOffset val="100"/>
        <c:noMultiLvlLbl val="0"/>
      </c:catAx>
      <c:valAx>
        <c:axId val="288993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91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4.59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283627904"/>
        <c:axId val="283629440"/>
      </c:barChart>
      <c:catAx>
        <c:axId val="2836279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629440"/>
        <c:crosses val="autoZero"/>
        <c:auto val="1"/>
        <c:lblAlgn val="ctr"/>
        <c:lblOffset val="100"/>
        <c:noMultiLvlLbl val="0"/>
      </c:catAx>
      <c:valAx>
        <c:axId val="2836294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62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PC</Company>
  <Pages>1</Pages>
  <Words>2565</Words>
  <Characters>14622</Characters>
  <Lines>121</Lines>
  <Paragraphs>34</Paragraphs>
  <TotalTime>5</TotalTime>
  <ScaleCrop>false</ScaleCrop>
  <LinksUpToDate>false</LinksUpToDate>
  <CharactersWithSpaces>17153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2023-11-20T19:47:00Z</dcterms:created>
  <dc:creator>C D D</dc:creator>
  <cp:lastModifiedBy>Administrator</cp:lastModifiedBy>
  <cp:lastPrinted>2023-11-21T00:51:00Z</cp:lastPrinted>
  <dcterms:modified xsi:type="dcterms:W3CDTF">2023-11-28T02:08:42Z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