
<file path=[Content_Types].xml><?xml version="1.0" encoding="utf-8"?>
<Types xmlns="http://schemas.openxmlformats.org/package/2006/content-types">
  <Default Extension="xlsx" ContentType="application/vnd.openxmlformats-officedocument.spreadsheetml.sheet"/>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charts/chart10.xml" ContentType="application/vnd.openxmlformats-officedocument.drawingml.chart+xml"/>
  <Override PartName="/word/charts/chart11.xml" ContentType="application/vnd.openxmlformats-officedocument.drawingml.chart+xml"/>
  <Override PartName="/word/charts/chart12.xml" ContentType="application/vnd.openxmlformats-officedocument.drawingml.chart+xml"/>
  <Override PartName="/word/charts/chart13.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6.xml" ContentType="application/vnd.openxmlformats-officedocument.drawingml.chart+xml"/>
  <Override PartName="/word/charts/chart7.xml" ContentType="application/vnd.openxmlformats-officedocument.drawingml.chart+xml"/>
  <Override PartName="/word/charts/chart8.xml" ContentType="application/vnd.openxmlformats-officedocument.drawingml.chart+xml"/>
  <Override PartName="/word/charts/chart9.xml" ContentType="application/vnd.openxmlformats-officedocument.drawingml.chart+xml"/>
  <Override PartName="/word/charts/colors1.xml" ContentType="application/vnd.ms-office.chartcolorstyle+xml"/>
  <Override PartName="/word/charts/colors2.xml" ContentType="application/vnd.ms-office.chartcolorstyle+xml"/>
  <Override PartName="/word/charts/style1.xml" ContentType="application/vnd.ms-office.chartstyle+xml"/>
  <Override PartName="/word/charts/style2.xml" ContentType="application/vnd.ms-office.chartstyle+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left"/>
        <w:rPr>
          <w:rFonts w:ascii="仿宋" w:hAnsi="仿宋" w:eastAsia="仿宋" w:cs="仿宋"/>
          <w:sz w:val="32"/>
          <w:szCs w:val="32"/>
          <w:highlight w:val="none"/>
        </w:rPr>
      </w:pPr>
    </w:p>
    <w:p>
      <w:pPr>
        <w:jc w:val="left"/>
        <w:rPr>
          <w:rFonts w:ascii="仿宋" w:hAnsi="仿宋" w:eastAsia="仿宋" w:cs="仿宋"/>
          <w:sz w:val="32"/>
          <w:szCs w:val="32"/>
          <w:highlight w:val="none"/>
        </w:rPr>
      </w:pPr>
    </w:p>
    <w:p>
      <w:pPr>
        <w:jc w:val="left"/>
        <w:rPr>
          <w:rFonts w:ascii="仿宋" w:hAnsi="仿宋" w:eastAsia="仿宋" w:cs="仿宋"/>
          <w:sz w:val="32"/>
          <w:szCs w:val="32"/>
          <w:highlight w:val="none"/>
        </w:rPr>
      </w:pPr>
    </w:p>
    <w:p>
      <w:pPr>
        <w:jc w:val="center"/>
        <w:rPr>
          <w:rFonts w:ascii="黑体" w:hAnsi="黑体" w:eastAsia="黑体" w:cs="黑体"/>
          <w:b/>
          <w:bCs/>
          <w:sz w:val="52"/>
          <w:szCs w:val="52"/>
          <w:highlight w:val="none"/>
        </w:rPr>
      </w:pPr>
      <w:r>
        <w:rPr>
          <w:rFonts w:hint="eastAsia" w:ascii="黑体" w:hAnsi="黑体" w:eastAsia="黑体" w:cs="黑体"/>
          <w:b/>
          <w:bCs/>
          <w:sz w:val="52"/>
          <w:szCs w:val="52"/>
          <w:highlight w:val="none"/>
        </w:rPr>
        <w:t>环江毛南族自治县民族中学</w:t>
      </w:r>
      <w:r>
        <w:rPr>
          <w:rFonts w:hint="eastAsia" w:ascii="黑体" w:hAnsi="黑体" w:eastAsia="黑体" w:cs="黑体"/>
          <w:b/>
          <w:bCs/>
          <w:sz w:val="52"/>
          <w:szCs w:val="52"/>
          <w:highlight w:val="none"/>
          <w:lang w:eastAsia="zh-CN"/>
        </w:rPr>
        <w:t>（</w:t>
      </w:r>
      <w:r>
        <w:rPr>
          <w:rFonts w:hint="eastAsia" w:ascii="黑体" w:hAnsi="黑体" w:eastAsia="黑体" w:cs="黑体"/>
          <w:b/>
          <w:bCs/>
          <w:sz w:val="52"/>
          <w:szCs w:val="52"/>
          <w:highlight w:val="none"/>
          <w:lang w:val="en-US" w:eastAsia="zh-CN"/>
        </w:rPr>
        <w:t>第二初级中学</w:t>
      </w:r>
      <w:r>
        <w:rPr>
          <w:rFonts w:hint="eastAsia" w:ascii="黑体" w:hAnsi="黑体" w:eastAsia="黑体" w:cs="黑体"/>
          <w:b/>
          <w:bCs/>
          <w:sz w:val="52"/>
          <w:szCs w:val="52"/>
          <w:highlight w:val="none"/>
          <w:lang w:eastAsia="zh-CN"/>
        </w:rPr>
        <w:t>）</w:t>
      </w:r>
      <w:r>
        <w:rPr>
          <w:rFonts w:hint="eastAsia" w:ascii="黑体" w:hAnsi="黑体" w:eastAsia="黑体" w:cs="黑体"/>
          <w:b/>
          <w:bCs/>
          <w:sz w:val="52"/>
          <w:szCs w:val="52"/>
          <w:highlight w:val="none"/>
        </w:rPr>
        <w:t>2022年度部门决算</w:t>
      </w:r>
    </w:p>
    <w:p>
      <w:pPr>
        <w:jc w:val="center"/>
        <w:rPr>
          <w:rFonts w:ascii="仿宋" w:hAnsi="仿宋" w:eastAsia="仿宋" w:cs="仿宋"/>
          <w:sz w:val="32"/>
          <w:szCs w:val="32"/>
          <w:highlight w:val="none"/>
        </w:rPr>
      </w:pPr>
    </w:p>
    <w:p>
      <w:pPr>
        <w:jc w:val="left"/>
        <w:rPr>
          <w:rFonts w:ascii="仿宋" w:hAnsi="仿宋" w:eastAsia="仿宋" w:cs="仿宋"/>
          <w:sz w:val="32"/>
          <w:szCs w:val="32"/>
          <w:highlight w:val="none"/>
        </w:rPr>
      </w:pPr>
    </w:p>
    <w:p>
      <w:pPr>
        <w:jc w:val="left"/>
        <w:rPr>
          <w:rFonts w:ascii="仿宋" w:hAnsi="仿宋" w:eastAsia="仿宋" w:cs="仿宋"/>
          <w:sz w:val="32"/>
          <w:szCs w:val="32"/>
          <w:highlight w:val="none"/>
        </w:rPr>
      </w:pPr>
    </w:p>
    <w:p>
      <w:pPr>
        <w:jc w:val="left"/>
        <w:rPr>
          <w:rFonts w:ascii="仿宋" w:hAnsi="仿宋" w:eastAsia="仿宋" w:cs="仿宋"/>
          <w:sz w:val="32"/>
          <w:szCs w:val="32"/>
          <w:highlight w:val="none"/>
        </w:rPr>
      </w:pPr>
    </w:p>
    <w:p>
      <w:pPr>
        <w:jc w:val="left"/>
        <w:rPr>
          <w:rFonts w:ascii="仿宋" w:hAnsi="仿宋" w:eastAsia="仿宋" w:cs="仿宋"/>
          <w:sz w:val="32"/>
          <w:szCs w:val="32"/>
          <w:highlight w:val="none"/>
        </w:rPr>
      </w:pPr>
    </w:p>
    <w:p>
      <w:pPr>
        <w:jc w:val="left"/>
        <w:rPr>
          <w:rFonts w:ascii="仿宋" w:hAnsi="仿宋" w:eastAsia="仿宋" w:cs="仿宋"/>
          <w:sz w:val="32"/>
          <w:szCs w:val="32"/>
          <w:highlight w:val="none"/>
        </w:rPr>
      </w:pPr>
    </w:p>
    <w:p>
      <w:pPr>
        <w:jc w:val="left"/>
        <w:rPr>
          <w:rFonts w:ascii="仿宋" w:hAnsi="仿宋" w:eastAsia="仿宋" w:cs="仿宋"/>
          <w:sz w:val="32"/>
          <w:szCs w:val="32"/>
          <w:highlight w:val="none"/>
        </w:rPr>
      </w:pPr>
    </w:p>
    <w:p>
      <w:pPr>
        <w:jc w:val="left"/>
        <w:rPr>
          <w:rFonts w:ascii="仿宋" w:hAnsi="仿宋" w:eastAsia="仿宋" w:cs="仿宋"/>
          <w:sz w:val="32"/>
          <w:szCs w:val="32"/>
          <w:highlight w:val="none"/>
        </w:rPr>
      </w:pPr>
    </w:p>
    <w:p>
      <w:pPr>
        <w:jc w:val="left"/>
        <w:rPr>
          <w:rFonts w:ascii="仿宋" w:hAnsi="仿宋" w:eastAsia="仿宋" w:cs="仿宋"/>
          <w:sz w:val="32"/>
          <w:szCs w:val="32"/>
          <w:highlight w:val="none"/>
        </w:rPr>
      </w:pPr>
    </w:p>
    <w:p>
      <w:pPr>
        <w:jc w:val="left"/>
        <w:rPr>
          <w:rFonts w:ascii="仿宋" w:hAnsi="仿宋" w:eastAsia="仿宋" w:cs="仿宋"/>
          <w:sz w:val="32"/>
          <w:szCs w:val="32"/>
          <w:highlight w:val="none"/>
        </w:rPr>
      </w:pPr>
    </w:p>
    <w:p>
      <w:pPr>
        <w:jc w:val="left"/>
        <w:rPr>
          <w:rFonts w:ascii="仿宋" w:hAnsi="仿宋" w:eastAsia="仿宋" w:cs="仿宋"/>
          <w:sz w:val="32"/>
          <w:szCs w:val="32"/>
          <w:highlight w:val="none"/>
        </w:rPr>
      </w:pPr>
    </w:p>
    <w:p>
      <w:pPr>
        <w:jc w:val="left"/>
        <w:rPr>
          <w:rFonts w:ascii="仿宋" w:hAnsi="仿宋" w:eastAsia="仿宋" w:cs="仿宋"/>
          <w:sz w:val="32"/>
          <w:szCs w:val="32"/>
          <w:highlight w:val="none"/>
        </w:rPr>
      </w:pPr>
    </w:p>
    <w:p>
      <w:pPr>
        <w:jc w:val="center"/>
        <w:rPr>
          <w:rFonts w:hint="eastAsia" w:ascii="黑体" w:hAnsi="黑体" w:eastAsia="黑体" w:cs="黑体"/>
          <w:sz w:val="36"/>
          <w:szCs w:val="36"/>
          <w:highlight w:val="none"/>
          <w:lang w:val="en-US" w:eastAsia="zh-CN"/>
        </w:rPr>
      </w:pPr>
      <w:r>
        <w:rPr>
          <w:rFonts w:hint="eastAsia" w:ascii="黑体" w:hAnsi="黑体" w:eastAsia="黑体" w:cs="黑体"/>
          <w:sz w:val="36"/>
          <w:szCs w:val="36"/>
          <w:highlight w:val="none"/>
          <w:lang w:val="en-US" w:eastAsia="zh-CN"/>
        </w:rPr>
        <w:t>单位负责人：蒙继烟</w:t>
      </w:r>
    </w:p>
    <w:p>
      <w:pPr>
        <w:jc w:val="left"/>
        <w:rPr>
          <w:rFonts w:ascii="仿宋" w:hAnsi="仿宋" w:eastAsia="仿宋" w:cs="仿宋"/>
          <w:sz w:val="32"/>
          <w:szCs w:val="32"/>
          <w:highlight w:val="none"/>
        </w:rPr>
      </w:pPr>
    </w:p>
    <w:p>
      <w:pPr>
        <w:jc w:val="center"/>
        <w:rPr>
          <w:rFonts w:hint="eastAsia" w:ascii="黑体" w:hAnsi="黑体" w:eastAsia="黑体" w:cs="黑体"/>
          <w:b/>
          <w:bCs/>
          <w:sz w:val="36"/>
          <w:szCs w:val="36"/>
          <w:highlight w:val="none"/>
          <w:lang w:val="en-US" w:eastAsia="zh-CN"/>
        </w:rPr>
      </w:pPr>
      <w:r>
        <w:rPr>
          <w:rFonts w:hint="eastAsia" w:ascii="黑体" w:hAnsi="黑体" w:eastAsia="黑体" w:cs="黑体"/>
          <w:b/>
          <w:bCs/>
          <w:sz w:val="36"/>
          <w:szCs w:val="36"/>
          <w:highlight w:val="none"/>
        </w:rPr>
        <w:t>2023年</w:t>
      </w:r>
      <w:r>
        <w:rPr>
          <w:rFonts w:hint="eastAsia" w:ascii="黑体" w:hAnsi="黑体" w:eastAsia="黑体" w:cs="黑体"/>
          <w:b/>
          <w:bCs/>
          <w:sz w:val="36"/>
          <w:szCs w:val="36"/>
          <w:highlight w:val="none"/>
          <w:lang w:val="en-US" w:eastAsia="zh-CN"/>
        </w:rPr>
        <w:t>10</w:t>
      </w:r>
      <w:r>
        <w:rPr>
          <w:rFonts w:hint="eastAsia" w:ascii="黑体" w:hAnsi="黑体" w:eastAsia="黑体" w:cs="黑体"/>
          <w:b/>
          <w:bCs/>
          <w:sz w:val="36"/>
          <w:szCs w:val="36"/>
          <w:highlight w:val="none"/>
        </w:rPr>
        <w:t>月</w:t>
      </w:r>
      <w:bookmarkStart w:id="5" w:name="_GoBack"/>
      <w:bookmarkEnd w:id="5"/>
    </w:p>
    <w:p>
      <w:pPr>
        <w:rPr>
          <w:rFonts w:ascii="仿宋" w:hAnsi="仿宋" w:eastAsia="仿宋" w:cs="仿宋"/>
          <w:sz w:val="32"/>
          <w:szCs w:val="32"/>
          <w:highlight w:val="none"/>
        </w:rPr>
      </w:pPr>
      <w:r>
        <w:rPr>
          <w:rFonts w:ascii="仿宋" w:hAnsi="仿宋" w:eastAsia="仿宋" w:cs="仿宋"/>
          <w:sz w:val="32"/>
          <w:szCs w:val="32"/>
          <w:highlight w:val="none"/>
        </w:rPr>
        <w:br w:type="page"/>
      </w:r>
    </w:p>
    <w:p>
      <w:pPr>
        <w:jc w:val="center"/>
        <w:rPr>
          <w:rFonts w:ascii="黑体" w:hAnsi="黑体" w:eastAsia="黑体" w:cs="黑体"/>
          <w:b/>
          <w:bCs/>
          <w:sz w:val="36"/>
          <w:szCs w:val="36"/>
          <w:highlight w:val="none"/>
        </w:rPr>
      </w:pPr>
      <w:r>
        <w:rPr>
          <w:rFonts w:hint="eastAsia" w:ascii="黑体" w:hAnsi="黑体" w:eastAsia="黑体" w:cs="黑体"/>
          <w:b/>
          <w:bCs/>
          <w:sz w:val="36"/>
          <w:szCs w:val="36"/>
          <w:highlight w:val="none"/>
        </w:rPr>
        <w:t>目</w:t>
      </w:r>
      <w:r>
        <w:rPr>
          <w:rFonts w:hint="eastAsia" w:ascii="黑体" w:hAnsi="黑体" w:eastAsia="黑体" w:cs="黑体"/>
          <w:b/>
          <w:bCs/>
          <w:sz w:val="36"/>
          <w:szCs w:val="36"/>
          <w:highlight w:val="none"/>
          <w:lang w:val="en-US" w:eastAsia="zh-CN"/>
        </w:rPr>
        <w:t xml:space="preserve">  </w:t>
      </w:r>
      <w:r>
        <w:rPr>
          <w:rFonts w:hint="eastAsia" w:ascii="黑体" w:hAnsi="黑体" w:eastAsia="黑体" w:cs="黑体"/>
          <w:b/>
          <w:bCs/>
          <w:sz w:val="36"/>
          <w:szCs w:val="36"/>
          <w:highlight w:val="none"/>
        </w:rPr>
        <w:t xml:space="preserve"> 录</w:t>
      </w:r>
    </w:p>
    <w:p>
      <w:pPr>
        <w:jc w:val="left"/>
        <w:rPr>
          <w:rFonts w:ascii="黑体" w:hAnsi="黑体" w:eastAsia="黑体" w:cs="黑体"/>
          <w:b/>
          <w:bCs/>
          <w:sz w:val="36"/>
          <w:szCs w:val="36"/>
          <w:highlight w:val="none"/>
        </w:rPr>
      </w:pPr>
    </w:p>
    <w:p>
      <w:pPr>
        <w:jc w:val="left"/>
        <w:rPr>
          <w:rFonts w:ascii="仿宋" w:hAnsi="仿宋" w:eastAsia="仿宋" w:cs="仿宋"/>
          <w:sz w:val="32"/>
          <w:szCs w:val="32"/>
          <w:highlight w:val="none"/>
        </w:rPr>
      </w:pPr>
      <w:r>
        <w:rPr>
          <w:rFonts w:hint="eastAsia" w:ascii="黑体" w:hAnsi="黑体" w:eastAsia="黑体" w:cs="黑体"/>
          <w:sz w:val="32"/>
          <w:szCs w:val="32"/>
          <w:highlight w:val="none"/>
        </w:rPr>
        <w:t>第一部分：</w:t>
      </w:r>
      <w:r>
        <w:rPr>
          <w:rFonts w:ascii="黑体" w:hAnsi="黑体" w:eastAsia="黑体" w:cs="黑体"/>
          <w:sz w:val="32"/>
          <w:u w:color="auto"/>
        </w:rPr>
        <w:t>环江毛南族自治县民族中学</w:t>
      </w:r>
      <w:r>
        <w:rPr>
          <w:rFonts w:hint="eastAsia" w:ascii="黑体" w:hAnsi="黑体" w:eastAsia="黑体" w:cs="黑体"/>
          <w:sz w:val="32"/>
          <w:szCs w:val="32"/>
          <w:highlight w:val="none"/>
        </w:rPr>
        <w:t>概况</w:t>
      </w:r>
    </w:p>
    <w:p>
      <w:pPr>
        <w:jc w:val="left"/>
        <w:rPr>
          <w:rFonts w:ascii="仿宋" w:hAnsi="仿宋" w:eastAsia="仿宋" w:cs="仿宋"/>
          <w:sz w:val="32"/>
          <w:szCs w:val="32"/>
          <w:highlight w:val="none"/>
        </w:rPr>
      </w:pPr>
      <w:r>
        <w:rPr>
          <w:rFonts w:hint="eastAsia" w:ascii="仿宋" w:hAnsi="仿宋" w:eastAsia="仿宋" w:cs="仿宋"/>
          <w:sz w:val="32"/>
          <w:szCs w:val="32"/>
          <w:highlight w:val="none"/>
        </w:rPr>
        <w:t>一、主要职能</w:t>
      </w:r>
    </w:p>
    <w:p>
      <w:pPr>
        <w:jc w:val="left"/>
        <w:rPr>
          <w:rFonts w:ascii="仿宋" w:hAnsi="仿宋" w:eastAsia="仿宋" w:cs="仿宋"/>
          <w:sz w:val="32"/>
          <w:szCs w:val="32"/>
          <w:highlight w:val="none"/>
        </w:rPr>
      </w:pPr>
      <w:r>
        <w:rPr>
          <w:rFonts w:hint="eastAsia" w:ascii="仿宋" w:hAnsi="仿宋" w:eastAsia="仿宋" w:cs="仿宋"/>
          <w:sz w:val="32"/>
          <w:szCs w:val="32"/>
          <w:highlight w:val="none"/>
        </w:rPr>
        <w:t>二、部门决算单位构成</w:t>
      </w:r>
    </w:p>
    <w:p>
      <w:pPr>
        <w:jc w:val="left"/>
        <w:rPr>
          <w:rFonts w:ascii="黑体" w:hAnsi="黑体" w:eastAsia="黑体" w:cs="黑体"/>
          <w:sz w:val="32"/>
          <w:szCs w:val="32"/>
          <w:highlight w:val="none"/>
        </w:rPr>
      </w:pPr>
      <w:r>
        <w:rPr>
          <w:rFonts w:hint="eastAsia" w:ascii="黑体" w:hAnsi="黑体" w:eastAsia="黑体" w:cs="黑体"/>
          <w:sz w:val="32"/>
          <w:szCs w:val="32"/>
          <w:highlight w:val="none"/>
        </w:rPr>
        <w:t>第二部分：</w:t>
      </w:r>
      <w:r>
        <w:rPr>
          <w:rFonts w:ascii="黑体" w:hAnsi="黑体" w:eastAsia="黑体" w:cs="黑体"/>
          <w:sz w:val="32"/>
          <w:u w:color="auto"/>
        </w:rPr>
        <w:t>环江毛南族自治县民族中学</w:t>
      </w:r>
      <w:r>
        <w:rPr>
          <w:rFonts w:hint="eastAsia" w:ascii="黑体" w:hAnsi="黑体" w:eastAsia="黑体" w:cs="黑体"/>
          <w:sz w:val="32"/>
          <w:szCs w:val="32"/>
          <w:highlight w:val="none"/>
        </w:rPr>
        <w:t>2022年度部门决算报表</w:t>
      </w:r>
    </w:p>
    <w:p>
      <w:pPr>
        <w:rPr>
          <w:rFonts w:hint="eastAsia" w:ascii="仿宋_GB2312" w:eastAsia="仿宋_GB2312"/>
          <w:sz w:val="32"/>
          <w:szCs w:val="32"/>
          <w:highlight w:val="none"/>
        </w:rPr>
      </w:pPr>
      <w:r>
        <w:rPr>
          <w:rFonts w:hint="eastAsia" w:ascii="仿宋_GB2312" w:eastAsia="仿宋_GB2312"/>
          <w:sz w:val="32"/>
          <w:szCs w:val="32"/>
          <w:highlight w:val="none"/>
        </w:rPr>
        <w:t>表一：收入支出决算总表</w:t>
      </w:r>
    </w:p>
    <w:p>
      <w:pPr>
        <w:rPr>
          <w:rFonts w:hint="eastAsia" w:ascii="仿宋_GB2312" w:eastAsia="仿宋_GB2312"/>
          <w:sz w:val="32"/>
          <w:szCs w:val="32"/>
          <w:highlight w:val="none"/>
        </w:rPr>
      </w:pPr>
      <w:r>
        <w:rPr>
          <w:rFonts w:hint="eastAsia" w:ascii="仿宋_GB2312" w:eastAsia="仿宋_GB2312"/>
          <w:sz w:val="32"/>
          <w:szCs w:val="32"/>
          <w:highlight w:val="none"/>
        </w:rPr>
        <w:t>表二：收入决算表</w:t>
      </w:r>
    </w:p>
    <w:p>
      <w:pPr>
        <w:rPr>
          <w:rFonts w:hint="eastAsia" w:ascii="仿宋_GB2312" w:eastAsia="仿宋_GB2312"/>
          <w:sz w:val="32"/>
          <w:szCs w:val="32"/>
          <w:highlight w:val="none"/>
        </w:rPr>
      </w:pPr>
      <w:r>
        <w:rPr>
          <w:rFonts w:hint="eastAsia" w:ascii="仿宋_GB2312" w:eastAsia="仿宋_GB2312"/>
          <w:sz w:val="32"/>
          <w:szCs w:val="32"/>
          <w:highlight w:val="none"/>
        </w:rPr>
        <w:t>表三：支出决算表</w:t>
      </w:r>
    </w:p>
    <w:p>
      <w:pPr>
        <w:rPr>
          <w:rFonts w:hint="eastAsia" w:ascii="仿宋_GB2312" w:eastAsia="仿宋_GB2312"/>
          <w:sz w:val="32"/>
          <w:szCs w:val="32"/>
          <w:highlight w:val="none"/>
        </w:rPr>
      </w:pPr>
      <w:r>
        <w:rPr>
          <w:rFonts w:hint="eastAsia" w:ascii="仿宋_GB2312" w:eastAsia="仿宋_GB2312"/>
          <w:sz w:val="32"/>
          <w:szCs w:val="32"/>
          <w:highlight w:val="none"/>
        </w:rPr>
        <w:t>表四：财政拨款收入支出决算总表</w:t>
      </w:r>
    </w:p>
    <w:p>
      <w:pPr>
        <w:rPr>
          <w:rFonts w:hint="eastAsia" w:ascii="仿宋_GB2312" w:eastAsia="仿宋_GB2312"/>
          <w:sz w:val="32"/>
          <w:szCs w:val="32"/>
          <w:highlight w:val="none"/>
        </w:rPr>
      </w:pPr>
      <w:r>
        <w:rPr>
          <w:rFonts w:hint="eastAsia" w:ascii="仿宋_GB2312" w:eastAsia="仿宋_GB2312"/>
          <w:sz w:val="32"/>
          <w:szCs w:val="32"/>
          <w:highlight w:val="none"/>
        </w:rPr>
        <w:t>表五：一般公共预算财政拨款支出决算表</w:t>
      </w:r>
    </w:p>
    <w:p>
      <w:pPr>
        <w:rPr>
          <w:rFonts w:hint="eastAsia" w:ascii="仿宋_GB2312" w:eastAsia="仿宋_GB2312"/>
          <w:sz w:val="32"/>
          <w:szCs w:val="32"/>
          <w:highlight w:val="none"/>
        </w:rPr>
      </w:pPr>
      <w:r>
        <w:rPr>
          <w:rFonts w:hint="eastAsia" w:ascii="仿宋_GB2312" w:eastAsia="仿宋_GB2312"/>
          <w:sz w:val="32"/>
          <w:szCs w:val="32"/>
          <w:highlight w:val="none"/>
        </w:rPr>
        <w:t>表六：一般公共预算财政拨款基本支出决算明细表</w:t>
      </w:r>
    </w:p>
    <w:p>
      <w:pPr>
        <w:rPr>
          <w:rFonts w:hint="eastAsia" w:ascii="仿宋_GB2312" w:eastAsia="仿宋_GB2312"/>
          <w:sz w:val="32"/>
          <w:szCs w:val="32"/>
          <w:highlight w:val="none"/>
        </w:rPr>
      </w:pPr>
      <w:r>
        <w:rPr>
          <w:rFonts w:hint="eastAsia" w:ascii="仿宋_GB2312" w:eastAsia="仿宋_GB2312"/>
          <w:sz w:val="32"/>
          <w:szCs w:val="32"/>
          <w:highlight w:val="none"/>
        </w:rPr>
        <w:t>表七：政府性基金</w:t>
      </w:r>
      <w:r>
        <w:rPr>
          <w:rFonts w:hint="eastAsia" w:ascii="仿宋_GB2312" w:hAnsi="黑体" w:eastAsia="仿宋_GB2312"/>
          <w:sz w:val="32"/>
          <w:szCs w:val="32"/>
          <w:highlight w:val="none"/>
        </w:rPr>
        <w:t>预算财政拨款</w:t>
      </w:r>
      <w:r>
        <w:rPr>
          <w:rFonts w:hint="eastAsia" w:ascii="仿宋_GB2312" w:eastAsia="仿宋_GB2312"/>
          <w:sz w:val="32"/>
          <w:szCs w:val="32"/>
          <w:highlight w:val="none"/>
        </w:rPr>
        <w:t>收入支出决算表</w:t>
      </w:r>
    </w:p>
    <w:p>
      <w:pPr>
        <w:rPr>
          <w:rFonts w:hint="eastAsia" w:ascii="仿宋_GB2312" w:eastAsia="仿宋_GB2312"/>
          <w:sz w:val="32"/>
          <w:szCs w:val="32"/>
          <w:highlight w:val="none"/>
        </w:rPr>
      </w:pPr>
      <w:r>
        <w:rPr>
          <w:rFonts w:hint="eastAsia" w:ascii="仿宋_GB2312" w:eastAsia="仿宋_GB2312"/>
          <w:sz w:val="32"/>
          <w:szCs w:val="32"/>
          <w:highlight w:val="none"/>
        </w:rPr>
        <w:t>表八：国有资本经营预算</w:t>
      </w:r>
      <w:r>
        <w:rPr>
          <w:rFonts w:hint="eastAsia" w:ascii="仿宋_GB2312" w:hAnsi="黑体" w:eastAsia="仿宋_GB2312"/>
          <w:sz w:val="32"/>
          <w:szCs w:val="32"/>
          <w:highlight w:val="none"/>
        </w:rPr>
        <w:t>财政拨款</w:t>
      </w:r>
      <w:r>
        <w:rPr>
          <w:rFonts w:hint="eastAsia" w:ascii="仿宋_GB2312" w:eastAsia="仿宋_GB2312"/>
          <w:sz w:val="32"/>
          <w:szCs w:val="32"/>
          <w:highlight w:val="none"/>
        </w:rPr>
        <w:t>支出决算表</w:t>
      </w:r>
    </w:p>
    <w:p>
      <w:pPr>
        <w:rPr>
          <w:rFonts w:hint="eastAsia" w:ascii="仿宋_GB2312" w:eastAsia="仿宋_GB2312"/>
          <w:sz w:val="32"/>
          <w:szCs w:val="32"/>
          <w:highlight w:val="none"/>
        </w:rPr>
      </w:pPr>
      <w:r>
        <w:rPr>
          <w:rFonts w:hint="eastAsia" w:ascii="仿宋_GB2312" w:eastAsia="仿宋_GB2312"/>
          <w:sz w:val="32"/>
          <w:szCs w:val="32"/>
          <w:highlight w:val="none"/>
        </w:rPr>
        <w:t>表九：财政拨款“三公”经费支出决算表</w:t>
      </w:r>
    </w:p>
    <w:p>
      <w:pPr>
        <w:jc w:val="left"/>
        <w:rPr>
          <w:rFonts w:ascii="仿宋" w:hAnsi="仿宋" w:eastAsia="仿宋" w:cs="仿宋"/>
          <w:sz w:val="32"/>
          <w:szCs w:val="32"/>
          <w:highlight w:val="none"/>
        </w:rPr>
      </w:pPr>
      <w:r>
        <w:rPr>
          <w:rFonts w:hint="eastAsia" w:ascii="黑体" w:hAnsi="黑体" w:eastAsia="黑体" w:cs="黑体"/>
          <w:sz w:val="32"/>
          <w:szCs w:val="32"/>
          <w:highlight w:val="none"/>
        </w:rPr>
        <w:t>第三部分：</w:t>
      </w:r>
      <w:r>
        <w:rPr>
          <w:rFonts w:ascii="黑体" w:hAnsi="黑体" w:eastAsia="黑体" w:cs="黑体"/>
          <w:sz w:val="32"/>
          <w:u w:color="auto"/>
        </w:rPr>
        <w:t>环江毛南族自治县民族中学</w:t>
      </w:r>
      <w:r>
        <w:rPr>
          <w:rFonts w:hint="eastAsia" w:ascii="黑体" w:hAnsi="黑体" w:eastAsia="黑体" w:cs="黑体"/>
          <w:sz w:val="32"/>
          <w:szCs w:val="32"/>
          <w:highlight w:val="none"/>
        </w:rPr>
        <w:t>2022年度部门决算情况说明</w:t>
      </w:r>
    </w:p>
    <w:p>
      <w:pPr>
        <w:autoSpaceDE w:val="0"/>
        <w:autoSpaceDN w:val="0"/>
        <w:adjustRightInd w:val="0"/>
        <w:jc w:val="left"/>
        <w:rPr>
          <w:rFonts w:hint="eastAsia" w:ascii="仿宋_GB2312" w:eastAsia="仿宋_GB2312" w:cs="仿宋_GB2312"/>
          <w:kern w:val="0"/>
          <w:sz w:val="32"/>
          <w:szCs w:val="32"/>
          <w:highlight w:val="none"/>
        </w:rPr>
      </w:pPr>
      <w:r>
        <w:rPr>
          <w:rFonts w:hint="eastAsia" w:ascii="仿宋_GB2312" w:eastAsia="仿宋_GB2312" w:cs="仿宋_GB2312"/>
          <w:kern w:val="0"/>
          <w:sz w:val="32"/>
          <w:szCs w:val="32"/>
          <w:highlight w:val="none"/>
        </w:rPr>
        <w:t>一、</w:t>
      </w:r>
      <w:r>
        <w:rPr>
          <w:rFonts w:hint="eastAsia" w:ascii="仿宋_GB2312" w:eastAsia="仿宋_GB2312"/>
          <w:kern w:val="0"/>
          <w:sz w:val="32"/>
          <w:szCs w:val="32"/>
          <w:highlight w:val="none"/>
        </w:rPr>
        <w:t>202</w:t>
      </w:r>
      <w:r>
        <w:rPr>
          <w:rFonts w:hint="eastAsia" w:ascii="仿宋_GB2312" w:eastAsia="仿宋_GB2312"/>
          <w:kern w:val="0"/>
          <w:sz w:val="32"/>
          <w:szCs w:val="32"/>
          <w:highlight w:val="none"/>
          <w:lang w:val="en-US" w:eastAsia="zh-CN"/>
        </w:rPr>
        <w:t>2</w:t>
      </w:r>
      <w:r>
        <w:rPr>
          <w:rFonts w:hint="eastAsia" w:ascii="仿宋_GB2312" w:eastAsia="仿宋_GB2312" w:cs="仿宋_GB2312"/>
          <w:kern w:val="0"/>
          <w:sz w:val="32"/>
          <w:szCs w:val="32"/>
          <w:highlight w:val="none"/>
        </w:rPr>
        <w:t>年度收入支出决算总体情况。</w:t>
      </w:r>
    </w:p>
    <w:p>
      <w:pPr>
        <w:autoSpaceDE w:val="0"/>
        <w:autoSpaceDN w:val="0"/>
        <w:adjustRightInd w:val="0"/>
        <w:jc w:val="left"/>
        <w:rPr>
          <w:rFonts w:hint="eastAsia" w:ascii="仿宋_GB2312" w:eastAsia="仿宋_GB2312" w:cs="仿宋_GB2312"/>
          <w:kern w:val="0"/>
          <w:sz w:val="32"/>
          <w:szCs w:val="32"/>
          <w:highlight w:val="none"/>
        </w:rPr>
      </w:pPr>
      <w:r>
        <w:rPr>
          <w:rFonts w:hint="eastAsia" w:ascii="仿宋_GB2312" w:eastAsia="仿宋_GB2312" w:cs="仿宋_GB2312"/>
          <w:kern w:val="0"/>
          <w:sz w:val="32"/>
          <w:szCs w:val="32"/>
          <w:highlight w:val="none"/>
        </w:rPr>
        <w:t>二、</w:t>
      </w:r>
      <w:r>
        <w:rPr>
          <w:rFonts w:hint="eastAsia" w:ascii="仿宋_GB2312" w:eastAsia="仿宋_GB2312"/>
          <w:kern w:val="0"/>
          <w:sz w:val="32"/>
          <w:szCs w:val="32"/>
          <w:highlight w:val="none"/>
        </w:rPr>
        <w:t>20</w:t>
      </w:r>
      <w:r>
        <w:rPr>
          <w:rFonts w:hint="eastAsia" w:ascii="仿宋_GB2312" w:eastAsia="仿宋_GB2312"/>
          <w:kern w:val="0"/>
          <w:sz w:val="32"/>
          <w:szCs w:val="32"/>
          <w:highlight w:val="none"/>
          <w:lang w:val="en-US" w:eastAsia="zh-CN"/>
        </w:rPr>
        <w:t>22</w:t>
      </w:r>
      <w:r>
        <w:rPr>
          <w:rFonts w:hint="eastAsia" w:ascii="仿宋_GB2312" w:eastAsia="仿宋_GB2312" w:cs="仿宋_GB2312"/>
          <w:kern w:val="0"/>
          <w:sz w:val="32"/>
          <w:szCs w:val="32"/>
          <w:highlight w:val="none"/>
        </w:rPr>
        <w:t>年度</w:t>
      </w:r>
      <w:r>
        <w:rPr>
          <w:rFonts w:hint="eastAsia" w:ascii="仿宋_GB2312" w:eastAsia="仿宋_GB2312"/>
          <w:sz w:val="32"/>
          <w:szCs w:val="32"/>
          <w:highlight w:val="none"/>
        </w:rPr>
        <w:t>一般</w:t>
      </w:r>
      <w:r>
        <w:rPr>
          <w:rFonts w:hint="eastAsia" w:ascii="仿宋_GB2312" w:eastAsia="仿宋_GB2312" w:cs="仿宋_GB2312"/>
          <w:kern w:val="0"/>
          <w:sz w:val="32"/>
          <w:szCs w:val="32"/>
          <w:highlight w:val="none"/>
        </w:rPr>
        <w:t>公共预算财政拨款支出决算情况。</w:t>
      </w:r>
    </w:p>
    <w:p>
      <w:pPr>
        <w:autoSpaceDE w:val="0"/>
        <w:autoSpaceDN w:val="0"/>
        <w:adjustRightInd w:val="0"/>
        <w:jc w:val="left"/>
        <w:rPr>
          <w:rFonts w:hint="eastAsia" w:ascii="仿宋_GB2312" w:eastAsia="仿宋_GB2312" w:cs="仿宋_GB2312"/>
          <w:kern w:val="0"/>
          <w:sz w:val="32"/>
          <w:szCs w:val="32"/>
          <w:highlight w:val="none"/>
        </w:rPr>
      </w:pPr>
      <w:r>
        <w:rPr>
          <w:rFonts w:hint="eastAsia" w:ascii="仿宋_GB2312" w:eastAsia="仿宋_GB2312" w:cs="仿宋_GB2312"/>
          <w:kern w:val="0"/>
          <w:sz w:val="32"/>
          <w:szCs w:val="32"/>
          <w:highlight w:val="none"/>
        </w:rPr>
        <w:t>三、20</w:t>
      </w:r>
      <w:r>
        <w:rPr>
          <w:rFonts w:hint="eastAsia" w:ascii="仿宋_GB2312" w:eastAsia="仿宋_GB2312" w:cs="仿宋_GB2312"/>
          <w:kern w:val="0"/>
          <w:sz w:val="32"/>
          <w:szCs w:val="32"/>
          <w:highlight w:val="none"/>
          <w:lang w:val="en-US" w:eastAsia="zh-CN"/>
        </w:rPr>
        <w:t>22</w:t>
      </w:r>
      <w:r>
        <w:rPr>
          <w:rFonts w:hint="eastAsia" w:ascii="仿宋_GB2312" w:eastAsia="仿宋_GB2312" w:cs="仿宋_GB2312"/>
          <w:kern w:val="0"/>
          <w:sz w:val="32"/>
          <w:szCs w:val="32"/>
          <w:highlight w:val="none"/>
        </w:rPr>
        <w:t>年度一般公共预算财政拨款基本支出决算情况说明。</w:t>
      </w:r>
    </w:p>
    <w:p>
      <w:pPr>
        <w:autoSpaceDE w:val="0"/>
        <w:autoSpaceDN w:val="0"/>
        <w:adjustRightInd w:val="0"/>
        <w:jc w:val="left"/>
        <w:rPr>
          <w:rFonts w:hint="eastAsia" w:ascii="仿宋_GB2312" w:eastAsia="仿宋_GB2312" w:cs="仿宋_GB2312"/>
          <w:kern w:val="0"/>
          <w:sz w:val="32"/>
          <w:szCs w:val="32"/>
          <w:highlight w:val="none"/>
        </w:rPr>
      </w:pPr>
      <w:r>
        <w:rPr>
          <w:rFonts w:hint="eastAsia" w:ascii="仿宋_GB2312" w:eastAsia="仿宋_GB2312" w:cs="仿宋_GB2312"/>
          <w:kern w:val="0"/>
          <w:sz w:val="32"/>
          <w:szCs w:val="32"/>
          <w:highlight w:val="none"/>
        </w:rPr>
        <w:t>四、</w:t>
      </w:r>
      <w:r>
        <w:rPr>
          <w:rFonts w:hint="eastAsia" w:ascii="仿宋_GB2312" w:eastAsia="仿宋_GB2312"/>
          <w:kern w:val="0"/>
          <w:sz w:val="32"/>
          <w:szCs w:val="32"/>
          <w:highlight w:val="none"/>
        </w:rPr>
        <w:t>20</w:t>
      </w:r>
      <w:r>
        <w:rPr>
          <w:rFonts w:hint="eastAsia" w:ascii="仿宋_GB2312" w:eastAsia="仿宋_GB2312"/>
          <w:kern w:val="0"/>
          <w:sz w:val="32"/>
          <w:szCs w:val="32"/>
          <w:highlight w:val="none"/>
          <w:lang w:val="en-US" w:eastAsia="zh-CN"/>
        </w:rPr>
        <w:t>22</w:t>
      </w:r>
      <w:r>
        <w:rPr>
          <w:rFonts w:hint="eastAsia" w:ascii="仿宋_GB2312" w:eastAsia="仿宋_GB2312" w:cs="仿宋_GB2312"/>
          <w:kern w:val="0"/>
          <w:sz w:val="32"/>
          <w:szCs w:val="32"/>
          <w:highlight w:val="none"/>
        </w:rPr>
        <w:t>年度政府性基金支出决算情况。</w:t>
      </w:r>
    </w:p>
    <w:p>
      <w:pPr>
        <w:autoSpaceDE w:val="0"/>
        <w:autoSpaceDN w:val="0"/>
        <w:adjustRightInd w:val="0"/>
        <w:jc w:val="left"/>
        <w:rPr>
          <w:rFonts w:hint="eastAsia" w:ascii="仿宋_GB2312" w:eastAsia="仿宋_GB2312" w:cs="仿宋_GB2312"/>
          <w:kern w:val="0"/>
          <w:sz w:val="32"/>
          <w:szCs w:val="32"/>
          <w:highlight w:val="none"/>
          <w:lang w:eastAsia="zh-CN"/>
        </w:rPr>
      </w:pPr>
      <w:r>
        <w:rPr>
          <w:rFonts w:hint="eastAsia" w:ascii="仿宋_GB2312" w:eastAsia="仿宋_GB2312" w:cs="仿宋_GB2312"/>
          <w:kern w:val="0"/>
          <w:sz w:val="32"/>
          <w:szCs w:val="32"/>
          <w:highlight w:val="none"/>
        </w:rPr>
        <w:t>五、20</w:t>
      </w:r>
      <w:r>
        <w:rPr>
          <w:rFonts w:hint="eastAsia" w:ascii="仿宋_GB2312" w:eastAsia="仿宋_GB2312" w:cs="仿宋_GB2312"/>
          <w:kern w:val="0"/>
          <w:sz w:val="32"/>
          <w:szCs w:val="32"/>
          <w:highlight w:val="none"/>
          <w:lang w:val="en-US" w:eastAsia="zh-CN"/>
        </w:rPr>
        <w:t>22</w:t>
      </w:r>
      <w:r>
        <w:rPr>
          <w:rFonts w:hint="eastAsia" w:ascii="仿宋_GB2312" w:eastAsia="仿宋_GB2312" w:cs="仿宋_GB2312"/>
          <w:kern w:val="0"/>
          <w:sz w:val="32"/>
          <w:szCs w:val="32"/>
          <w:highlight w:val="none"/>
        </w:rPr>
        <w:t>年度国有资本经营预算支出决算情况</w:t>
      </w:r>
      <w:r>
        <w:rPr>
          <w:rFonts w:hint="eastAsia" w:ascii="仿宋_GB2312" w:eastAsia="仿宋_GB2312" w:cs="仿宋_GB2312"/>
          <w:kern w:val="0"/>
          <w:sz w:val="32"/>
          <w:szCs w:val="32"/>
          <w:highlight w:val="none"/>
          <w:lang w:eastAsia="zh-CN"/>
        </w:rPr>
        <w:t>。</w:t>
      </w:r>
    </w:p>
    <w:p>
      <w:pPr>
        <w:autoSpaceDE w:val="0"/>
        <w:autoSpaceDN w:val="0"/>
        <w:adjustRightInd w:val="0"/>
        <w:jc w:val="left"/>
        <w:rPr>
          <w:rFonts w:hint="eastAsia" w:ascii="仿宋_GB2312" w:eastAsia="仿宋_GB2312" w:cs="仿宋_GB2312"/>
          <w:kern w:val="0"/>
          <w:sz w:val="32"/>
          <w:szCs w:val="32"/>
          <w:highlight w:val="none"/>
        </w:rPr>
      </w:pPr>
      <w:r>
        <w:rPr>
          <w:rFonts w:hint="eastAsia" w:ascii="仿宋_GB2312" w:eastAsia="仿宋_GB2312" w:cs="仿宋_GB2312"/>
          <w:kern w:val="0"/>
          <w:sz w:val="32"/>
          <w:szCs w:val="32"/>
          <w:highlight w:val="none"/>
        </w:rPr>
        <w:t>六、财政拨款“三公”经费支出决算情况说明。</w:t>
      </w:r>
    </w:p>
    <w:p>
      <w:pPr>
        <w:autoSpaceDE w:val="0"/>
        <w:autoSpaceDN w:val="0"/>
        <w:adjustRightInd w:val="0"/>
        <w:jc w:val="left"/>
        <w:rPr>
          <w:rFonts w:hint="eastAsia" w:ascii="仿宋_GB2312" w:eastAsia="仿宋_GB2312" w:cs="仿宋_GB2312"/>
          <w:kern w:val="0"/>
          <w:sz w:val="32"/>
          <w:szCs w:val="32"/>
          <w:highlight w:val="none"/>
        </w:rPr>
      </w:pPr>
      <w:r>
        <w:rPr>
          <w:rFonts w:hint="eastAsia" w:ascii="仿宋_GB2312" w:eastAsia="仿宋_GB2312" w:cs="仿宋_GB2312"/>
          <w:kern w:val="0"/>
          <w:sz w:val="32"/>
          <w:szCs w:val="32"/>
          <w:highlight w:val="none"/>
        </w:rPr>
        <w:t>七、其他重要事项情况说明。</w:t>
      </w:r>
    </w:p>
    <w:p>
      <w:pPr>
        <w:jc w:val="left"/>
        <w:rPr>
          <w:rFonts w:ascii="黑体" w:hAnsi="黑体" w:eastAsia="黑体" w:cs="黑体"/>
          <w:sz w:val="32"/>
          <w:szCs w:val="32"/>
          <w:highlight w:val="none"/>
        </w:rPr>
      </w:pPr>
      <w:r>
        <w:rPr>
          <w:rFonts w:hint="eastAsia" w:ascii="黑体" w:hAnsi="黑体" w:eastAsia="黑体" w:cs="黑体"/>
          <w:sz w:val="32"/>
          <w:szCs w:val="32"/>
          <w:highlight w:val="none"/>
        </w:rPr>
        <w:t>第四部分：名词解释</w:t>
      </w:r>
    </w:p>
    <w:p>
      <w:pPr>
        <w:jc w:val="left"/>
        <w:rPr>
          <w:rFonts w:ascii="黑体" w:hAnsi="黑体" w:eastAsia="黑体" w:cs="黑体"/>
          <w:sz w:val="32"/>
          <w:szCs w:val="32"/>
          <w:highlight w:val="none"/>
        </w:rPr>
      </w:pPr>
      <w:r>
        <w:rPr>
          <w:rFonts w:hint="eastAsia" w:ascii="黑体" w:hAnsi="黑体" w:eastAsia="黑体" w:cs="黑体"/>
          <w:sz w:val="32"/>
          <w:szCs w:val="32"/>
          <w:highlight w:val="none"/>
        </w:rPr>
        <w:br w:type="page"/>
      </w:r>
    </w:p>
    <w:p>
      <w:pPr>
        <w:jc w:val="center"/>
        <w:rPr>
          <w:rFonts w:ascii="仿宋" w:hAnsi="仿宋" w:eastAsia="仿宋" w:cs="仿宋"/>
          <w:sz w:val="32"/>
          <w:szCs w:val="32"/>
          <w:highlight w:val="none"/>
        </w:rPr>
      </w:pPr>
      <w:r>
        <w:rPr>
          <w:rFonts w:hint="eastAsia" w:ascii="黑体" w:hAnsi="黑体" w:eastAsia="黑体" w:cs="黑体"/>
          <w:b/>
          <w:bCs/>
          <w:sz w:val="32"/>
          <w:szCs w:val="32"/>
          <w:highlight w:val="none"/>
        </w:rPr>
        <w:t>第一部分：</w:t>
      </w:r>
      <w:r>
        <w:rPr>
          <w:rFonts w:ascii="黑体" w:hAnsi="黑体" w:eastAsia="黑体" w:cs="黑体"/>
          <w:b/>
          <w:sz w:val="32"/>
          <w:u w:color="auto"/>
        </w:rPr>
        <w:t>环江毛南族自治县民族中学</w:t>
      </w:r>
      <w:r>
        <w:rPr>
          <w:rFonts w:hint="eastAsia" w:ascii="黑体" w:hAnsi="黑体" w:eastAsia="黑体" w:cs="黑体"/>
          <w:b/>
          <w:bCs/>
          <w:sz w:val="32"/>
          <w:szCs w:val="32"/>
          <w:highlight w:val="none"/>
        </w:rPr>
        <w:t>概况</w:t>
      </w:r>
    </w:p>
    <w:p>
      <w:pPr>
        <w:jc w:val="left"/>
        <w:rPr>
          <w:rFonts w:ascii="仿宋" w:hAnsi="仿宋" w:eastAsia="仿宋" w:cs="仿宋"/>
          <w:sz w:val="32"/>
          <w:szCs w:val="32"/>
          <w:highlight w:val="none"/>
        </w:rPr>
      </w:pPr>
      <w:r>
        <w:rPr>
          <w:rFonts w:hint="eastAsia" w:ascii="黑体" w:hAnsi="黑体" w:eastAsia="黑体" w:cs="黑体"/>
          <w:sz w:val="32"/>
          <w:szCs w:val="32"/>
          <w:highlight w:val="none"/>
        </w:rPr>
        <w:t>一、主要职能</w:t>
      </w:r>
    </w:p>
    <w:p>
      <w:pPr>
        <w:autoSpaceDE w:val="0"/>
        <w:autoSpaceDN w:val="0"/>
        <w:adjustRightInd w:val="0"/>
        <w:spacing w:line="520" w:lineRule="exact"/>
        <w:ind w:firstLine="640" w:firstLineChars="200"/>
        <w:jc w:val="left"/>
        <w:rPr>
          <w:rFonts w:hint="eastAsia" w:ascii="仿宋_GB2312" w:eastAsia="仿宋_GB2312" w:cs="仿宋_GB2312"/>
          <w:kern w:val="0"/>
          <w:sz w:val="32"/>
          <w:szCs w:val="32"/>
          <w:lang w:val="en-US" w:eastAsia="zh-CN"/>
        </w:rPr>
      </w:pPr>
      <w:r>
        <w:rPr>
          <w:rFonts w:hint="eastAsia" w:ascii="仿宋_GB2312" w:eastAsia="仿宋_GB2312" w:cs="仿宋_GB2312"/>
          <w:kern w:val="0"/>
          <w:sz w:val="32"/>
          <w:szCs w:val="32"/>
          <w:lang w:val="en-US" w:eastAsia="zh-CN"/>
        </w:rPr>
        <w:t>环江毛南族自治县民族中学的主要职能是：</w:t>
      </w:r>
    </w:p>
    <w:p>
      <w:pPr>
        <w:autoSpaceDE w:val="0"/>
        <w:autoSpaceDN w:val="0"/>
        <w:adjustRightInd w:val="0"/>
        <w:spacing w:line="520" w:lineRule="exact"/>
        <w:jc w:val="left"/>
        <w:rPr>
          <w:rFonts w:hint="eastAsia" w:ascii="仿宋_GB2312" w:eastAsia="仿宋_GB2312" w:cs="仿宋_GB2312"/>
          <w:kern w:val="0"/>
          <w:sz w:val="32"/>
          <w:szCs w:val="32"/>
        </w:rPr>
      </w:pPr>
      <w:r>
        <w:rPr>
          <w:rFonts w:hint="eastAsia" w:ascii="仿宋_GB2312" w:eastAsia="仿宋_GB2312" w:cs="仿宋_GB2312"/>
          <w:kern w:val="0"/>
          <w:sz w:val="32"/>
          <w:szCs w:val="32"/>
        </w:rPr>
        <w:t>（一）学校贯彻执行党和国家的教育方针、政策和法律法规；拟订学校教育改革与发展规划并组织实施。</w:t>
      </w:r>
    </w:p>
    <w:p>
      <w:pPr>
        <w:autoSpaceDE w:val="0"/>
        <w:autoSpaceDN w:val="0"/>
        <w:adjustRightInd w:val="0"/>
        <w:spacing w:line="520" w:lineRule="exact"/>
        <w:jc w:val="left"/>
        <w:rPr>
          <w:rFonts w:hint="eastAsia" w:ascii="仿宋_GB2312" w:eastAsia="仿宋_GB2312" w:cs="仿宋_GB2312"/>
          <w:kern w:val="0"/>
          <w:sz w:val="32"/>
          <w:szCs w:val="32"/>
        </w:rPr>
      </w:pPr>
      <w:r>
        <w:rPr>
          <w:rFonts w:hint="eastAsia" w:ascii="仿宋_GB2312" w:eastAsia="仿宋_GB2312" w:cs="仿宋_GB2312"/>
          <w:kern w:val="0"/>
          <w:sz w:val="32"/>
          <w:szCs w:val="32"/>
        </w:rPr>
        <w:t>（二）编制学校教育事业发展规划并检查实施情况，向自治县人民政府和上级教育部门作出报告。</w:t>
      </w:r>
    </w:p>
    <w:p>
      <w:pPr>
        <w:autoSpaceDE w:val="0"/>
        <w:autoSpaceDN w:val="0"/>
        <w:adjustRightInd w:val="0"/>
        <w:spacing w:line="520" w:lineRule="exact"/>
        <w:jc w:val="left"/>
        <w:rPr>
          <w:rFonts w:hint="eastAsia" w:ascii="仿宋_GB2312" w:eastAsia="仿宋_GB2312" w:cs="仿宋_GB2312"/>
          <w:kern w:val="0"/>
          <w:sz w:val="32"/>
          <w:szCs w:val="32"/>
        </w:rPr>
      </w:pPr>
      <w:r>
        <w:rPr>
          <w:rFonts w:hint="eastAsia" w:ascii="仿宋_GB2312" w:eastAsia="仿宋_GB2312" w:cs="仿宋_GB2312"/>
          <w:kern w:val="0"/>
          <w:sz w:val="32"/>
          <w:szCs w:val="32"/>
        </w:rPr>
        <w:t>（三）督促检查学校贯彻执行教育方针、政策、法令、法规和上级的各项规定；评估学校教育教学工作。</w:t>
      </w:r>
    </w:p>
    <w:p>
      <w:pPr>
        <w:autoSpaceDE w:val="0"/>
        <w:autoSpaceDN w:val="0"/>
        <w:adjustRightInd w:val="0"/>
        <w:spacing w:line="520" w:lineRule="exact"/>
        <w:jc w:val="left"/>
        <w:rPr>
          <w:rFonts w:hint="eastAsia" w:ascii="仿宋_GB2312" w:eastAsia="仿宋_GB2312" w:cs="仿宋_GB2312"/>
          <w:kern w:val="0"/>
          <w:sz w:val="32"/>
          <w:szCs w:val="32"/>
        </w:rPr>
      </w:pPr>
      <w:r>
        <w:rPr>
          <w:rFonts w:hint="eastAsia" w:ascii="仿宋_GB2312" w:eastAsia="仿宋_GB2312" w:cs="仿宋_GB2312"/>
          <w:kern w:val="0"/>
          <w:sz w:val="32"/>
          <w:szCs w:val="32"/>
        </w:rPr>
        <w:t>（四）执行义务教育均衡发展和促进教育公平。</w:t>
      </w:r>
    </w:p>
    <w:p>
      <w:pPr>
        <w:autoSpaceDE w:val="0"/>
        <w:autoSpaceDN w:val="0"/>
        <w:adjustRightInd w:val="0"/>
        <w:spacing w:line="520" w:lineRule="exact"/>
        <w:jc w:val="left"/>
        <w:rPr>
          <w:rFonts w:hint="eastAsia" w:ascii="仿宋_GB2312" w:eastAsia="仿宋_GB2312" w:cs="仿宋_GB2312"/>
          <w:kern w:val="0"/>
          <w:sz w:val="32"/>
          <w:szCs w:val="32"/>
        </w:rPr>
      </w:pPr>
      <w:r>
        <w:rPr>
          <w:rFonts w:hint="eastAsia" w:ascii="仿宋_GB2312" w:eastAsia="仿宋_GB2312" w:cs="仿宋_GB2312"/>
          <w:kern w:val="0"/>
          <w:sz w:val="32"/>
          <w:szCs w:val="32"/>
        </w:rPr>
        <w:t>（五）负责学校教师队伍建设，包括教师岗位培训、后备干部队伍建设、教师学历教育、继续教育等。</w:t>
      </w:r>
    </w:p>
    <w:p>
      <w:pPr>
        <w:autoSpaceDE w:val="0"/>
        <w:autoSpaceDN w:val="0"/>
        <w:adjustRightInd w:val="0"/>
        <w:spacing w:line="520" w:lineRule="exact"/>
        <w:jc w:val="left"/>
        <w:rPr>
          <w:rFonts w:hint="eastAsia" w:ascii="仿宋_GB2312" w:eastAsia="仿宋_GB2312" w:cs="仿宋_GB2312"/>
          <w:kern w:val="0"/>
          <w:sz w:val="32"/>
          <w:szCs w:val="32"/>
        </w:rPr>
      </w:pPr>
      <w:r>
        <w:rPr>
          <w:rFonts w:hint="eastAsia" w:ascii="仿宋_GB2312" w:eastAsia="仿宋_GB2312" w:cs="仿宋_GB2312"/>
          <w:kern w:val="0"/>
          <w:sz w:val="32"/>
          <w:szCs w:val="32"/>
        </w:rPr>
        <w:t>（六）学校做好中考和学生学籍管理工作。</w:t>
      </w:r>
    </w:p>
    <w:p>
      <w:pPr>
        <w:autoSpaceDE w:val="0"/>
        <w:autoSpaceDN w:val="0"/>
        <w:adjustRightInd w:val="0"/>
        <w:spacing w:line="520" w:lineRule="exact"/>
        <w:jc w:val="left"/>
        <w:rPr>
          <w:rFonts w:hint="eastAsia" w:ascii="仿宋_GB2312" w:eastAsia="仿宋_GB2312" w:cs="仿宋_GB2312"/>
          <w:kern w:val="0"/>
          <w:sz w:val="32"/>
          <w:szCs w:val="32"/>
        </w:rPr>
      </w:pPr>
      <w:r>
        <w:rPr>
          <w:rFonts w:hint="eastAsia" w:ascii="仿宋_GB2312" w:eastAsia="仿宋_GB2312" w:cs="仿宋_GB2312"/>
          <w:kern w:val="0"/>
          <w:sz w:val="32"/>
          <w:szCs w:val="32"/>
        </w:rPr>
        <w:t>（七）按照中央关于全面推进素质教育要求，负责学校教育教学管理、教育教学改革及教育教学科学研究工作，检查指导教师实施素质教育工作，并组织推广先进的教育教学经验。</w:t>
      </w:r>
    </w:p>
    <w:p>
      <w:pPr>
        <w:autoSpaceDE w:val="0"/>
        <w:autoSpaceDN w:val="0"/>
        <w:adjustRightInd w:val="0"/>
        <w:spacing w:line="520" w:lineRule="exact"/>
        <w:jc w:val="left"/>
        <w:rPr>
          <w:rFonts w:hint="eastAsia" w:ascii="仿宋_GB2312" w:eastAsia="仿宋_GB2312" w:cs="仿宋_GB2312"/>
          <w:kern w:val="0"/>
          <w:sz w:val="32"/>
          <w:szCs w:val="32"/>
        </w:rPr>
      </w:pPr>
      <w:r>
        <w:rPr>
          <w:rFonts w:hint="eastAsia" w:ascii="仿宋_GB2312" w:eastAsia="仿宋_GB2312" w:cs="仿宋_GB2312"/>
          <w:kern w:val="0"/>
          <w:sz w:val="32"/>
          <w:szCs w:val="32"/>
        </w:rPr>
        <w:t>（八）检查教师的教育教学设备装备、管理和使用工作。</w:t>
      </w:r>
    </w:p>
    <w:p>
      <w:pPr>
        <w:autoSpaceDE w:val="0"/>
        <w:autoSpaceDN w:val="0"/>
        <w:adjustRightInd w:val="0"/>
        <w:spacing w:line="520" w:lineRule="exact"/>
        <w:jc w:val="left"/>
        <w:rPr>
          <w:rFonts w:hint="eastAsia" w:ascii="仿宋_GB2312" w:eastAsia="仿宋_GB2312" w:cs="仿宋_GB2312"/>
          <w:kern w:val="0"/>
          <w:sz w:val="32"/>
          <w:szCs w:val="32"/>
        </w:rPr>
      </w:pPr>
      <w:r>
        <w:rPr>
          <w:rFonts w:hint="eastAsia" w:ascii="仿宋_GB2312" w:eastAsia="仿宋_GB2312" w:cs="仿宋_GB2312"/>
          <w:kern w:val="0"/>
          <w:sz w:val="32"/>
          <w:szCs w:val="32"/>
        </w:rPr>
        <w:t>（九）检查学校教师开展电化教育和信息化教学工作。</w:t>
      </w:r>
    </w:p>
    <w:p>
      <w:pPr>
        <w:autoSpaceDE w:val="0"/>
        <w:autoSpaceDN w:val="0"/>
        <w:adjustRightInd w:val="0"/>
        <w:spacing w:line="520" w:lineRule="exact"/>
        <w:jc w:val="left"/>
        <w:rPr>
          <w:rFonts w:hint="eastAsia" w:ascii="仿宋_GB2312" w:eastAsia="仿宋_GB2312" w:cs="仿宋_GB2312"/>
          <w:kern w:val="0"/>
          <w:sz w:val="32"/>
          <w:szCs w:val="32"/>
        </w:rPr>
      </w:pPr>
      <w:r>
        <w:rPr>
          <w:rFonts w:hint="eastAsia" w:ascii="仿宋_GB2312" w:eastAsia="仿宋_GB2312" w:cs="仿宋_GB2312"/>
          <w:kern w:val="0"/>
          <w:sz w:val="32"/>
          <w:szCs w:val="32"/>
        </w:rPr>
        <w:t>（十）组织学校教师参加初级专业技术职务资格和中、高级专业技术职务资格的申报工作。按照管理权限对教师进行考核、聘任、奖惩、晋升等工作。</w:t>
      </w:r>
    </w:p>
    <w:p>
      <w:pPr>
        <w:autoSpaceDE w:val="0"/>
        <w:autoSpaceDN w:val="0"/>
        <w:adjustRightInd w:val="0"/>
        <w:spacing w:line="520" w:lineRule="exact"/>
        <w:jc w:val="left"/>
        <w:rPr>
          <w:rFonts w:hint="eastAsia" w:ascii="仿宋_GB2312" w:eastAsia="仿宋_GB2312" w:cs="仿宋_GB2312"/>
          <w:kern w:val="0"/>
          <w:sz w:val="32"/>
          <w:szCs w:val="32"/>
        </w:rPr>
      </w:pPr>
      <w:r>
        <w:rPr>
          <w:rFonts w:hint="eastAsia" w:ascii="仿宋_GB2312" w:eastAsia="仿宋_GB2312" w:cs="仿宋_GB2312"/>
          <w:kern w:val="0"/>
          <w:sz w:val="32"/>
          <w:szCs w:val="32"/>
        </w:rPr>
        <w:t>（十一）规范学校经费管理与使用工作。</w:t>
      </w:r>
    </w:p>
    <w:p>
      <w:pPr>
        <w:autoSpaceDE w:val="0"/>
        <w:autoSpaceDN w:val="0"/>
        <w:adjustRightInd w:val="0"/>
        <w:spacing w:line="520" w:lineRule="exact"/>
        <w:jc w:val="left"/>
        <w:rPr>
          <w:rFonts w:hint="eastAsia" w:ascii="仿宋_GB2312" w:eastAsia="仿宋_GB2312" w:cs="仿宋_GB2312"/>
          <w:kern w:val="0"/>
          <w:sz w:val="32"/>
          <w:szCs w:val="32"/>
        </w:rPr>
      </w:pPr>
      <w:r>
        <w:rPr>
          <w:rFonts w:hint="eastAsia" w:ascii="仿宋_GB2312" w:eastAsia="仿宋_GB2312" w:cs="仿宋_GB2312"/>
          <w:kern w:val="0"/>
          <w:sz w:val="32"/>
          <w:szCs w:val="32"/>
        </w:rPr>
        <w:t>（十二）负责组织学校教学教育常规管理工作，包括德育、体育、卫生、艺术、安全等。</w:t>
      </w:r>
    </w:p>
    <w:p>
      <w:pPr>
        <w:autoSpaceDE w:val="0"/>
        <w:autoSpaceDN w:val="0"/>
        <w:adjustRightInd w:val="0"/>
        <w:spacing w:line="520" w:lineRule="exact"/>
        <w:jc w:val="left"/>
        <w:rPr>
          <w:rFonts w:hint="eastAsia" w:ascii="仿宋_GB2312" w:eastAsia="仿宋_GB2312" w:cs="仿宋_GB2312"/>
          <w:kern w:val="0"/>
          <w:sz w:val="32"/>
          <w:szCs w:val="32"/>
        </w:rPr>
      </w:pPr>
      <w:r>
        <w:rPr>
          <w:rFonts w:hint="eastAsia" w:ascii="仿宋_GB2312" w:eastAsia="仿宋_GB2312" w:cs="仿宋_GB2312"/>
          <w:kern w:val="0"/>
          <w:sz w:val="32"/>
          <w:szCs w:val="32"/>
        </w:rPr>
        <w:t>（十三）组织学生进行其中和期末教学质量检测工作。</w:t>
      </w:r>
    </w:p>
    <w:p>
      <w:pPr>
        <w:autoSpaceDE w:val="0"/>
        <w:autoSpaceDN w:val="0"/>
        <w:adjustRightInd w:val="0"/>
        <w:spacing w:line="520" w:lineRule="exact"/>
        <w:jc w:val="left"/>
        <w:rPr>
          <w:rFonts w:hint="eastAsia" w:ascii="仿宋_GB2312" w:eastAsia="仿宋_GB2312" w:cs="仿宋_GB2312"/>
          <w:kern w:val="0"/>
          <w:sz w:val="32"/>
          <w:szCs w:val="32"/>
        </w:rPr>
      </w:pPr>
      <w:r>
        <w:rPr>
          <w:rFonts w:hint="eastAsia" w:ascii="仿宋_GB2312" w:eastAsia="仿宋_GB2312" w:cs="仿宋_GB2312"/>
          <w:kern w:val="0"/>
          <w:sz w:val="32"/>
          <w:szCs w:val="32"/>
        </w:rPr>
        <w:t>（十四）负责指导学校学生资助管理工作。</w:t>
      </w:r>
    </w:p>
    <w:p>
      <w:pPr>
        <w:autoSpaceDE w:val="0"/>
        <w:autoSpaceDN w:val="0"/>
        <w:adjustRightInd w:val="0"/>
        <w:spacing w:line="520" w:lineRule="exact"/>
        <w:jc w:val="left"/>
        <w:rPr>
          <w:rFonts w:hint="eastAsia" w:ascii="仿宋_GB2312" w:eastAsia="仿宋_GB2312" w:cs="仿宋_GB2312"/>
          <w:kern w:val="0"/>
          <w:sz w:val="32"/>
          <w:szCs w:val="32"/>
        </w:rPr>
      </w:pPr>
      <w:r>
        <w:rPr>
          <w:rFonts w:hint="eastAsia" w:ascii="仿宋_GB2312" w:eastAsia="仿宋_GB2312" w:cs="仿宋_GB2312"/>
          <w:kern w:val="0"/>
          <w:sz w:val="32"/>
          <w:szCs w:val="32"/>
        </w:rPr>
        <w:t>（十五）负责语言文字和指导推广普通话工作。</w:t>
      </w:r>
    </w:p>
    <w:p>
      <w:pPr>
        <w:autoSpaceDE w:val="0"/>
        <w:autoSpaceDN w:val="0"/>
        <w:adjustRightInd w:val="0"/>
        <w:spacing w:line="520" w:lineRule="exact"/>
        <w:jc w:val="left"/>
        <w:rPr>
          <w:rFonts w:hint="eastAsia" w:ascii="仿宋_GB2312" w:eastAsia="仿宋_GB2312" w:cs="仿宋_GB2312"/>
          <w:kern w:val="0"/>
          <w:sz w:val="32"/>
          <w:szCs w:val="32"/>
        </w:rPr>
      </w:pPr>
      <w:r>
        <w:rPr>
          <w:rFonts w:hint="eastAsia" w:ascii="仿宋_GB2312" w:eastAsia="仿宋_GB2312" w:cs="仿宋_GB2312"/>
          <w:kern w:val="0"/>
          <w:sz w:val="32"/>
          <w:szCs w:val="32"/>
        </w:rPr>
        <w:t>（十六）完成上级部门交办的其他工作。</w:t>
      </w:r>
    </w:p>
    <w:p>
      <w:pPr>
        <w:jc w:val="left"/>
        <w:rPr>
          <w:rFonts w:ascii="仿宋" w:hAnsi="仿宋" w:eastAsia="仿宋" w:cs="仿宋"/>
          <w:sz w:val="32"/>
          <w:szCs w:val="32"/>
          <w:highlight w:val="none"/>
        </w:rPr>
      </w:pPr>
      <w:r>
        <w:rPr>
          <w:rFonts w:hint="eastAsia" w:ascii="黑体" w:hAnsi="黑体" w:eastAsia="黑体" w:cs="黑体"/>
          <w:sz w:val="32"/>
          <w:szCs w:val="32"/>
          <w:highlight w:val="none"/>
        </w:rPr>
        <w:t>二、部门决算单位构成</w:t>
      </w:r>
    </w:p>
    <w:p>
      <w:pPr>
        <w:spacing w:line="460" w:lineRule="exact"/>
        <w:ind w:firstLine="640" w:firstLineChars="200"/>
        <w:rPr>
          <w:rFonts w:hint="eastAsia" w:ascii="仿宋_GB2312" w:eastAsia="仿宋_GB2312" w:cs="仿宋_GB2312"/>
          <w:kern w:val="0"/>
          <w:sz w:val="32"/>
          <w:szCs w:val="32"/>
        </w:rPr>
      </w:pPr>
      <w:r>
        <w:rPr>
          <w:rFonts w:hint="eastAsia" w:ascii="仿宋_GB2312" w:hAnsi="仿宋_GB2312" w:eastAsia="仿宋_GB2312" w:cs="仿宋_GB2312"/>
          <w:color w:val="auto"/>
          <w:sz w:val="32"/>
          <w:szCs w:val="32"/>
        </w:rPr>
        <w:t>我部门没有下属单位，按照部门决算编报要求，单独编制本部门决算。</w:t>
      </w:r>
      <w:r>
        <w:rPr>
          <w:rFonts w:hint="eastAsia" w:ascii="仿宋_GB2312" w:eastAsia="仿宋_GB2312" w:cs="仿宋_GB2312"/>
          <w:kern w:val="0"/>
          <w:sz w:val="32"/>
          <w:szCs w:val="32"/>
        </w:rPr>
        <w:t>学校设有1</w:t>
      </w:r>
      <w:r>
        <w:rPr>
          <w:rFonts w:hint="eastAsia" w:ascii="仿宋_GB2312" w:eastAsia="仿宋_GB2312" w:cs="仿宋_GB2312"/>
          <w:kern w:val="0"/>
          <w:sz w:val="32"/>
          <w:szCs w:val="32"/>
          <w:lang w:val="en-US" w:eastAsia="zh-CN"/>
        </w:rPr>
        <w:t>2</w:t>
      </w:r>
      <w:r>
        <w:rPr>
          <w:rFonts w:hint="eastAsia" w:ascii="仿宋_GB2312" w:eastAsia="仿宋_GB2312" w:cs="仿宋_GB2312"/>
          <w:kern w:val="0"/>
          <w:sz w:val="32"/>
          <w:szCs w:val="32"/>
        </w:rPr>
        <w:t>个处室，分别为：行政办公室、总务处、教务处、教研处、政教处、</w:t>
      </w:r>
      <w:r>
        <w:rPr>
          <w:rFonts w:hint="eastAsia" w:ascii="仿宋_GB2312" w:eastAsia="仿宋_GB2312" w:cs="仿宋_GB2312"/>
          <w:kern w:val="0"/>
          <w:sz w:val="32"/>
          <w:szCs w:val="32"/>
          <w:lang w:eastAsia="zh-CN"/>
        </w:rPr>
        <w:t>安全办、</w:t>
      </w:r>
      <w:r>
        <w:rPr>
          <w:rFonts w:hint="eastAsia" w:ascii="仿宋_GB2312" w:eastAsia="仿宋_GB2312" w:cs="仿宋_GB2312"/>
          <w:kern w:val="0"/>
          <w:sz w:val="32"/>
          <w:szCs w:val="32"/>
        </w:rPr>
        <w:t>资助办、财务室、工会室、团委办公室、</w:t>
      </w:r>
      <w:r>
        <w:rPr>
          <w:rFonts w:hint="eastAsia" w:ascii="仿宋_GB2312" w:eastAsia="仿宋_GB2312" w:cs="仿宋_GB2312"/>
          <w:kern w:val="0"/>
          <w:sz w:val="32"/>
          <w:szCs w:val="32"/>
          <w:lang w:eastAsia="zh-CN"/>
        </w:rPr>
        <w:t>体育室、</w:t>
      </w:r>
      <w:r>
        <w:rPr>
          <w:rFonts w:hint="eastAsia" w:ascii="仿宋_GB2312" w:eastAsia="仿宋_GB2312" w:cs="仿宋_GB2312"/>
          <w:kern w:val="0"/>
          <w:sz w:val="32"/>
          <w:szCs w:val="32"/>
        </w:rPr>
        <w:t>心理辅导室。</w:t>
      </w:r>
    </w:p>
    <w:p>
      <w:pPr>
        <w:jc w:val="both"/>
        <w:rPr>
          <w:rFonts w:hint="eastAsia" w:ascii="仿宋" w:hAnsi="仿宋" w:eastAsia="仿宋" w:cs="仿宋"/>
          <w:sz w:val="32"/>
          <w:szCs w:val="32"/>
          <w:highlight w:val="none"/>
          <w:lang w:val="en-US" w:eastAsia="zh-CN"/>
        </w:rPr>
      </w:pPr>
    </w:p>
    <w:p>
      <w:pPr>
        <w:jc w:val="center"/>
        <w:rPr>
          <w:rFonts w:hint="eastAsia" w:ascii="黑体" w:hAnsi="黑体" w:eastAsia="黑体" w:cs="黑体"/>
          <w:sz w:val="32"/>
          <w:szCs w:val="32"/>
          <w:highlight w:val="none"/>
          <w:lang w:val="en-US" w:eastAsia="zh-CN"/>
        </w:rPr>
      </w:pPr>
    </w:p>
    <w:p>
      <w:pPr>
        <w:jc w:val="center"/>
        <w:rPr>
          <w:rFonts w:hint="eastAsia" w:ascii="黑体" w:hAnsi="黑体" w:eastAsia="黑体" w:cs="黑体"/>
          <w:sz w:val="32"/>
          <w:szCs w:val="32"/>
          <w:highlight w:val="none"/>
          <w:lang w:val="en-US" w:eastAsia="zh-CN"/>
        </w:rPr>
      </w:pPr>
    </w:p>
    <w:p>
      <w:pPr>
        <w:jc w:val="center"/>
        <w:rPr>
          <w:rFonts w:hint="eastAsia" w:ascii="黑体" w:hAnsi="黑体" w:eastAsia="黑体" w:cs="黑体"/>
          <w:sz w:val="32"/>
          <w:szCs w:val="32"/>
          <w:highlight w:val="none"/>
          <w:lang w:val="en-US" w:eastAsia="zh-CN"/>
        </w:rPr>
        <w:sectPr>
          <w:pgSz w:w="11906" w:h="16838"/>
          <w:pgMar w:top="1440" w:right="1800" w:bottom="1440" w:left="1800" w:header="851" w:footer="992" w:gutter="0"/>
          <w:cols w:space="425" w:num="1"/>
          <w:docGrid w:type="lines" w:linePitch="312" w:charSpace="0"/>
        </w:sectPr>
      </w:pPr>
    </w:p>
    <w:p>
      <w:pPr>
        <w:ind w:firstLine="1600" w:firstLineChars="500"/>
        <w:jc w:val="both"/>
        <w:rPr>
          <w:rFonts w:ascii="黑体" w:hAnsi="黑体" w:eastAsia="黑体" w:cs="黑体"/>
          <w:sz w:val="32"/>
          <w:szCs w:val="32"/>
          <w:highlight w:val="none"/>
        </w:rPr>
      </w:pPr>
      <w:r>
        <w:rPr>
          <w:rFonts w:hint="eastAsia" w:ascii="黑体" w:hAnsi="黑体" w:eastAsia="黑体" w:cs="黑体"/>
          <w:sz w:val="32"/>
          <w:szCs w:val="32"/>
          <w:highlight w:val="none"/>
        </w:rPr>
        <w:t>第二部分：</w:t>
      </w:r>
      <w:r>
        <w:rPr>
          <w:rFonts w:ascii="黑体" w:hAnsi="黑体" w:eastAsia="黑体" w:cs="黑体"/>
          <w:sz w:val="32"/>
          <w:u w:color="auto"/>
        </w:rPr>
        <w:t>环江毛南族自治县民族中学</w:t>
      </w:r>
      <w:r>
        <w:rPr>
          <w:rFonts w:hint="eastAsia" w:ascii="黑体" w:hAnsi="黑体" w:eastAsia="黑体" w:cs="黑体"/>
          <w:sz w:val="32"/>
          <w:szCs w:val="32"/>
          <w:highlight w:val="none"/>
        </w:rPr>
        <w:t>2022年度部门决算报表</w:t>
      </w:r>
    </w:p>
    <w:tbl>
      <w:tblPr>
        <w:tblStyle w:val="6"/>
        <w:tblW w:w="13940" w:type="dxa"/>
        <w:tblInd w:w="96" w:type="dxa"/>
        <w:tblLayout w:type="fixed"/>
        <w:tblCellMar>
          <w:top w:w="0" w:type="dxa"/>
          <w:left w:w="108" w:type="dxa"/>
          <w:bottom w:w="0" w:type="dxa"/>
          <w:right w:w="108" w:type="dxa"/>
        </w:tblCellMar>
      </w:tblPr>
      <w:tblGrid>
        <w:gridCol w:w="2543"/>
        <w:gridCol w:w="2393"/>
        <w:gridCol w:w="2231"/>
        <w:gridCol w:w="2669"/>
        <w:gridCol w:w="2202"/>
        <w:gridCol w:w="1902"/>
      </w:tblGrid>
      <w:tr>
        <w:tblPrEx>
          <w:tblCellMar>
            <w:top w:w="0" w:type="dxa"/>
            <w:left w:w="108" w:type="dxa"/>
            <w:bottom w:w="0" w:type="dxa"/>
            <w:right w:w="108" w:type="dxa"/>
          </w:tblCellMar>
        </w:tblPrEx>
        <w:trPr>
          <w:trHeight w:val="902" w:hRule="atLeast"/>
        </w:trPr>
        <w:tc>
          <w:tcPr>
            <w:tcW w:w="13940" w:type="dxa"/>
            <w:gridSpan w:val="6"/>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jc w:val="left"/>
              <w:rPr>
                <w:rFonts w:hint="eastAsia" w:ascii="仿宋" w:hAnsi="仿宋" w:eastAsia="仿宋" w:cs="仿宋"/>
                <w:sz w:val="24"/>
                <w:highlight w:val="none"/>
              </w:rPr>
            </w:pPr>
            <w:r>
              <w:rPr>
                <w:rFonts w:hint="eastAsia" w:ascii="仿宋" w:hAnsi="仿宋" w:eastAsia="仿宋" w:cs="仿宋"/>
                <w:sz w:val="24"/>
                <w:highlight w:val="none"/>
              </w:rPr>
              <w:t>表一：收入支出决算总表</w:t>
            </w:r>
          </w:p>
          <w:p>
            <w:pPr>
              <w:keepNext w:val="0"/>
              <w:keepLines w:val="0"/>
              <w:suppressLineNumbers w:val="0"/>
              <w:spacing w:before="0" w:beforeAutospacing="0" w:after="0" w:afterAutospacing="0"/>
              <w:ind w:left="0" w:right="0"/>
              <w:jc w:val="left"/>
              <w:rPr>
                <w:rFonts w:hint="default" w:ascii="仿宋" w:hAnsi="仿宋" w:eastAsia="仿宋" w:cs="仿宋"/>
                <w:sz w:val="24"/>
                <w:highlight w:val="none"/>
              </w:rPr>
            </w:pPr>
          </w:p>
          <w:p>
            <w:pPr>
              <w:keepNext w:val="0"/>
              <w:keepLines w:val="0"/>
              <w:widowControl/>
              <w:suppressLineNumbers w:val="0"/>
              <w:spacing w:before="0" w:beforeAutospacing="0" w:after="0" w:afterAutospacing="0"/>
              <w:ind w:left="0" w:right="0"/>
              <w:jc w:val="center"/>
              <w:textAlignment w:val="bottom"/>
              <w:rPr>
                <w:rFonts w:hint="default" w:ascii="宋体" w:hAnsi="宋体" w:eastAsia="宋体" w:cs="宋体"/>
                <w:color w:val="000000"/>
                <w:sz w:val="30"/>
                <w:szCs w:val="30"/>
                <w:highlight w:val="none"/>
              </w:rPr>
            </w:pPr>
            <w:r>
              <w:rPr>
                <w:rFonts w:hint="eastAsia" w:ascii="宋体" w:hAnsi="宋体" w:eastAsia="宋体" w:cs="宋体"/>
                <w:color w:val="000000"/>
                <w:kern w:val="0"/>
                <w:sz w:val="32"/>
                <w:szCs w:val="32"/>
                <w:highlight w:val="none"/>
                <w:lang w:bidi="ar"/>
              </w:rPr>
              <w:t>收入支出决算总表</w:t>
            </w:r>
          </w:p>
        </w:tc>
      </w:tr>
      <w:tr>
        <w:tblPrEx>
          <w:tblCellMar>
            <w:top w:w="0" w:type="dxa"/>
            <w:left w:w="108" w:type="dxa"/>
            <w:bottom w:w="0" w:type="dxa"/>
            <w:right w:w="108" w:type="dxa"/>
          </w:tblCellMar>
        </w:tblPrEx>
        <w:trPr>
          <w:trHeight w:val="301" w:hRule="atLeast"/>
        </w:trPr>
        <w:tc>
          <w:tcPr>
            <w:tcW w:w="2543"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2393"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2231"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2669"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2202"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902" w:type="dxa"/>
            <w:tcBorders>
              <w:top w:val="nil"/>
              <w:left w:val="nil"/>
              <w:bottom w:val="nil"/>
              <w:right w:val="nil"/>
            </w:tcBorders>
            <w:shd w:val="clear" w:color="auto" w:fill="auto"/>
            <w:noWrap/>
            <w:vAlign w:val="bottom"/>
          </w:tcPr>
          <w:p>
            <w:pPr>
              <w:keepNext w:val="0"/>
              <w:keepLines w:val="0"/>
              <w:widowControl/>
              <w:suppressLineNumbers w:val="0"/>
              <w:spacing w:before="0" w:beforeAutospacing="0" w:after="0" w:afterAutospacing="0"/>
              <w:ind w:left="0" w:right="0"/>
              <w:jc w:val="right"/>
              <w:textAlignment w:val="bottom"/>
              <w:rPr>
                <w:rFonts w:hint="default" w:ascii="宋体" w:hAnsi="宋体" w:eastAsia="宋体" w:cs="宋体"/>
                <w:color w:val="000000"/>
                <w:sz w:val="20"/>
                <w:szCs w:val="20"/>
                <w:highlight w:val="none"/>
              </w:rPr>
            </w:pPr>
            <w:r>
              <w:rPr>
                <w:rFonts w:hint="eastAsia" w:ascii="宋体" w:hAnsi="宋体" w:eastAsia="宋体" w:cs="宋体"/>
                <w:color w:val="000000"/>
                <w:kern w:val="0"/>
                <w:sz w:val="20"/>
                <w:szCs w:val="20"/>
                <w:highlight w:val="none"/>
                <w:lang w:bidi="ar"/>
              </w:rPr>
              <w:t>公开01表</w:t>
            </w:r>
          </w:p>
        </w:tc>
      </w:tr>
      <w:tr>
        <w:tblPrEx>
          <w:tblCellMar>
            <w:top w:w="0" w:type="dxa"/>
            <w:left w:w="108" w:type="dxa"/>
            <w:bottom w:w="0" w:type="dxa"/>
            <w:right w:w="108" w:type="dxa"/>
          </w:tblCellMar>
        </w:tblPrEx>
        <w:trPr>
          <w:trHeight w:val="301" w:hRule="atLeast"/>
        </w:trPr>
        <w:tc>
          <w:tcPr>
            <w:tcW w:w="7167" w:type="dxa"/>
            <w:gridSpan w:val="3"/>
            <w:tcBorders>
              <w:top w:val="nil"/>
              <w:left w:val="nil"/>
              <w:bottom w:val="single" w:color="auto" w:sz="4" w:space="0"/>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r>
              <w:rPr>
                <w:rFonts w:hint="eastAsia" w:ascii="宋体" w:hAnsi="宋体" w:eastAsia="宋体" w:cs="宋体"/>
                <w:color w:val="000000"/>
                <w:kern w:val="0"/>
                <w:sz w:val="20"/>
                <w:szCs w:val="20"/>
                <w:highlight w:val="none"/>
                <w:lang w:bidi="ar"/>
              </w:rPr>
              <w:t>部门：</w:t>
            </w:r>
            <w:r>
              <w:rPr>
                <w:rFonts w:hint="default" w:ascii="宋体" w:hAnsi="宋体" w:eastAsia="宋体" w:cs="宋体"/>
                <w:color w:val="000000"/>
                <w:sz w:val="20"/>
                <w:u w:color="auto"/>
              </w:rPr>
              <w:t>环江毛南族自治县民族中学</w:t>
            </w:r>
          </w:p>
        </w:tc>
        <w:tc>
          <w:tcPr>
            <w:tcW w:w="2669" w:type="dxa"/>
            <w:tcBorders>
              <w:top w:val="nil"/>
              <w:left w:val="nil"/>
              <w:bottom w:val="single" w:color="auto" w:sz="4" w:space="0"/>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2202" w:type="dxa"/>
            <w:tcBorders>
              <w:top w:val="nil"/>
              <w:left w:val="nil"/>
              <w:bottom w:val="single" w:color="auto" w:sz="4" w:space="0"/>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902" w:type="dxa"/>
            <w:tcBorders>
              <w:top w:val="nil"/>
              <w:left w:val="nil"/>
              <w:bottom w:val="single" w:color="auto" w:sz="4" w:space="0"/>
              <w:right w:val="nil"/>
            </w:tcBorders>
            <w:shd w:val="clear" w:color="auto" w:fill="auto"/>
            <w:noWrap/>
            <w:vAlign w:val="bottom"/>
          </w:tcPr>
          <w:p>
            <w:pPr>
              <w:keepNext w:val="0"/>
              <w:keepLines w:val="0"/>
              <w:widowControl/>
              <w:suppressLineNumbers w:val="0"/>
              <w:spacing w:before="0" w:beforeAutospacing="0" w:after="0" w:afterAutospacing="0"/>
              <w:ind w:left="0" w:right="0"/>
              <w:jc w:val="right"/>
              <w:textAlignment w:val="bottom"/>
              <w:rPr>
                <w:rFonts w:hint="default" w:ascii="宋体" w:hAnsi="宋体" w:eastAsia="宋体" w:cs="宋体"/>
                <w:color w:val="000000"/>
                <w:sz w:val="20"/>
                <w:szCs w:val="20"/>
                <w:highlight w:val="none"/>
              </w:rPr>
            </w:pPr>
            <w:r>
              <w:rPr>
                <w:rFonts w:hint="eastAsia" w:ascii="宋体" w:hAnsi="宋体" w:eastAsia="宋体" w:cs="宋体"/>
                <w:color w:val="000000"/>
                <w:kern w:val="0"/>
                <w:sz w:val="20"/>
                <w:szCs w:val="20"/>
                <w:highlight w:val="none"/>
                <w:lang w:bidi="ar"/>
              </w:rPr>
              <w:t>金额单位：万元</w:t>
            </w:r>
          </w:p>
        </w:tc>
      </w:tr>
      <w:tr>
        <w:tblPrEx>
          <w:tblCellMar>
            <w:top w:w="0" w:type="dxa"/>
            <w:left w:w="108" w:type="dxa"/>
            <w:bottom w:w="0" w:type="dxa"/>
            <w:right w:w="108" w:type="dxa"/>
          </w:tblCellMar>
        </w:tblPrEx>
        <w:trPr>
          <w:trHeight w:val="315" w:hRule="atLeast"/>
        </w:trPr>
        <w:tc>
          <w:tcPr>
            <w:tcW w:w="7167"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收入</w:t>
            </w:r>
          </w:p>
        </w:tc>
        <w:tc>
          <w:tcPr>
            <w:tcW w:w="6773"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支出</w:t>
            </w:r>
          </w:p>
        </w:tc>
      </w:tr>
      <w:tr>
        <w:tblPrEx>
          <w:tblCellMar>
            <w:top w:w="0" w:type="dxa"/>
            <w:left w:w="108" w:type="dxa"/>
            <w:bottom w:w="0" w:type="dxa"/>
            <w:right w:w="108" w:type="dxa"/>
          </w:tblCellMar>
        </w:tblPrEx>
        <w:trPr>
          <w:trHeight w:val="315" w:hRule="atLeast"/>
        </w:trPr>
        <w:tc>
          <w:tcPr>
            <w:tcW w:w="254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项目</w:t>
            </w:r>
          </w:p>
        </w:tc>
        <w:tc>
          <w:tcPr>
            <w:tcW w:w="239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行次</w:t>
            </w:r>
          </w:p>
        </w:tc>
        <w:tc>
          <w:tcPr>
            <w:tcW w:w="223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金额</w:t>
            </w:r>
          </w:p>
        </w:tc>
        <w:tc>
          <w:tcPr>
            <w:tcW w:w="26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项目</w:t>
            </w:r>
          </w:p>
        </w:tc>
        <w:tc>
          <w:tcPr>
            <w:tcW w:w="22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行次</w:t>
            </w:r>
          </w:p>
        </w:tc>
        <w:tc>
          <w:tcPr>
            <w:tcW w:w="19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金额</w:t>
            </w:r>
          </w:p>
        </w:tc>
      </w:tr>
      <w:tr>
        <w:tblPrEx>
          <w:tblCellMar>
            <w:top w:w="0" w:type="dxa"/>
            <w:left w:w="108" w:type="dxa"/>
            <w:bottom w:w="0" w:type="dxa"/>
            <w:right w:w="108" w:type="dxa"/>
          </w:tblCellMar>
        </w:tblPrEx>
        <w:trPr>
          <w:trHeight w:val="315" w:hRule="atLeast"/>
        </w:trPr>
        <w:tc>
          <w:tcPr>
            <w:tcW w:w="254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栏次</w:t>
            </w:r>
          </w:p>
        </w:tc>
        <w:tc>
          <w:tcPr>
            <w:tcW w:w="239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223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1</w:t>
            </w:r>
          </w:p>
        </w:tc>
        <w:tc>
          <w:tcPr>
            <w:tcW w:w="26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栏次</w:t>
            </w:r>
          </w:p>
        </w:tc>
        <w:tc>
          <w:tcPr>
            <w:tcW w:w="22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9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2</w:t>
            </w:r>
          </w:p>
        </w:tc>
      </w:tr>
      <w:tr>
        <w:tblPrEx>
          <w:tblCellMar>
            <w:top w:w="0" w:type="dxa"/>
            <w:left w:w="108" w:type="dxa"/>
            <w:bottom w:w="0" w:type="dxa"/>
            <w:right w:w="108" w:type="dxa"/>
          </w:tblCellMar>
        </w:tblPrEx>
        <w:trPr>
          <w:trHeight w:val="334" w:hRule="atLeast"/>
        </w:trPr>
        <w:tc>
          <w:tcPr>
            <w:tcW w:w="254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highlight w:val="none"/>
              </w:rPr>
            </w:pPr>
            <w:r>
              <w:rPr>
                <w:rFonts w:hint="eastAsia"/>
                <w:highlight w:val="none"/>
              </w:rPr>
              <w:t>一、一般公共预算财政拨款收入</w:t>
            </w:r>
          </w:p>
        </w:tc>
        <w:tc>
          <w:tcPr>
            <w:tcW w:w="239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1</w:t>
            </w:r>
          </w:p>
        </w:tc>
        <w:tc>
          <w:tcPr>
            <w:tcW w:w="223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2195.79</w:t>
            </w:r>
          </w:p>
        </w:tc>
        <w:tc>
          <w:tcPr>
            <w:tcW w:w="26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一、一般公共服务支出</w:t>
            </w:r>
          </w:p>
        </w:tc>
        <w:tc>
          <w:tcPr>
            <w:tcW w:w="22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32</w:t>
            </w:r>
          </w:p>
        </w:tc>
        <w:tc>
          <w:tcPr>
            <w:tcW w:w="19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18.19</w:t>
            </w:r>
          </w:p>
        </w:tc>
      </w:tr>
      <w:tr>
        <w:tblPrEx>
          <w:tblCellMar>
            <w:top w:w="0" w:type="dxa"/>
            <w:left w:w="108" w:type="dxa"/>
            <w:bottom w:w="0" w:type="dxa"/>
            <w:right w:w="108" w:type="dxa"/>
          </w:tblCellMar>
        </w:tblPrEx>
        <w:trPr>
          <w:trHeight w:val="334" w:hRule="atLeast"/>
        </w:trPr>
        <w:tc>
          <w:tcPr>
            <w:tcW w:w="254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highlight w:val="none"/>
              </w:rPr>
            </w:pPr>
            <w:r>
              <w:rPr>
                <w:rFonts w:hint="eastAsia"/>
                <w:highlight w:val="none"/>
              </w:rPr>
              <w:t>二、政府性基金预算财政拨款收入</w:t>
            </w:r>
          </w:p>
        </w:tc>
        <w:tc>
          <w:tcPr>
            <w:tcW w:w="239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2</w:t>
            </w:r>
          </w:p>
        </w:tc>
        <w:tc>
          <w:tcPr>
            <w:tcW w:w="223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26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二、外交支出</w:t>
            </w:r>
          </w:p>
        </w:tc>
        <w:tc>
          <w:tcPr>
            <w:tcW w:w="22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33</w:t>
            </w:r>
          </w:p>
        </w:tc>
        <w:tc>
          <w:tcPr>
            <w:tcW w:w="19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34" w:hRule="atLeast"/>
        </w:trPr>
        <w:tc>
          <w:tcPr>
            <w:tcW w:w="254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highlight w:val="none"/>
              </w:rPr>
            </w:pPr>
            <w:r>
              <w:rPr>
                <w:rFonts w:hint="eastAsia"/>
                <w:highlight w:val="none"/>
              </w:rPr>
              <w:t>三、国有资本经营预算财政拨款收入</w:t>
            </w:r>
          </w:p>
        </w:tc>
        <w:tc>
          <w:tcPr>
            <w:tcW w:w="239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3</w:t>
            </w:r>
          </w:p>
        </w:tc>
        <w:tc>
          <w:tcPr>
            <w:tcW w:w="223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26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三、国防支出</w:t>
            </w:r>
          </w:p>
        </w:tc>
        <w:tc>
          <w:tcPr>
            <w:tcW w:w="22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34</w:t>
            </w:r>
          </w:p>
        </w:tc>
        <w:tc>
          <w:tcPr>
            <w:tcW w:w="19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34" w:hRule="atLeast"/>
        </w:trPr>
        <w:tc>
          <w:tcPr>
            <w:tcW w:w="254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highlight w:val="none"/>
              </w:rPr>
            </w:pPr>
            <w:r>
              <w:rPr>
                <w:rFonts w:hint="eastAsia"/>
                <w:highlight w:val="none"/>
              </w:rPr>
              <w:t>四、上级补助收入</w:t>
            </w:r>
          </w:p>
        </w:tc>
        <w:tc>
          <w:tcPr>
            <w:tcW w:w="239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4</w:t>
            </w:r>
          </w:p>
        </w:tc>
        <w:tc>
          <w:tcPr>
            <w:tcW w:w="223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26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四、公共安全支出</w:t>
            </w:r>
          </w:p>
        </w:tc>
        <w:tc>
          <w:tcPr>
            <w:tcW w:w="22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35</w:t>
            </w:r>
          </w:p>
        </w:tc>
        <w:tc>
          <w:tcPr>
            <w:tcW w:w="19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34" w:hRule="atLeast"/>
        </w:trPr>
        <w:tc>
          <w:tcPr>
            <w:tcW w:w="254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highlight w:val="none"/>
              </w:rPr>
            </w:pPr>
            <w:r>
              <w:rPr>
                <w:rFonts w:hint="eastAsia"/>
                <w:highlight w:val="none"/>
              </w:rPr>
              <w:t>五、事业收入</w:t>
            </w:r>
          </w:p>
        </w:tc>
        <w:tc>
          <w:tcPr>
            <w:tcW w:w="239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5</w:t>
            </w:r>
          </w:p>
        </w:tc>
        <w:tc>
          <w:tcPr>
            <w:tcW w:w="223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26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五、教育支出</w:t>
            </w:r>
          </w:p>
        </w:tc>
        <w:tc>
          <w:tcPr>
            <w:tcW w:w="22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36</w:t>
            </w:r>
          </w:p>
        </w:tc>
        <w:tc>
          <w:tcPr>
            <w:tcW w:w="19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1747.36</w:t>
            </w:r>
          </w:p>
        </w:tc>
      </w:tr>
      <w:tr>
        <w:tblPrEx>
          <w:tblCellMar>
            <w:top w:w="0" w:type="dxa"/>
            <w:left w:w="108" w:type="dxa"/>
            <w:bottom w:w="0" w:type="dxa"/>
            <w:right w:w="108" w:type="dxa"/>
          </w:tblCellMar>
        </w:tblPrEx>
        <w:trPr>
          <w:trHeight w:val="334" w:hRule="atLeast"/>
        </w:trPr>
        <w:tc>
          <w:tcPr>
            <w:tcW w:w="254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highlight w:val="none"/>
              </w:rPr>
            </w:pPr>
            <w:r>
              <w:rPr>
                <w:rFonts w:hint="eastAsia"/>
                <w:highlight w:val="none"/>
              </w:rPr>
              <w:t>六、经营收入</w:t>
            </w:r>
          </w:p>
        </w:tc>
        <w:tc>
          <w:tcPr>
            <w:tcW w:w="239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6</w:t>
            </w:r>
          </w:p>
        </w:tc>
        <w:tc>
          <w:tcPr>
            <w:tcW w:w="223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26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六、科学技术支出</w:t>
            </w:r>
          </w:p>
        </w:tc>
        <w:tc>
          <w:tcPr>
            <w:tcW w:w="22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37</w:t>
            </w:r>
          </w:p>
        </w:tc>
        <w:tc>
          <w:tcPr>
            <w:tcW w:w="19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34" w:hRule="atLeast"/>
        </w:trPr>
        <w:tc>
          <w:tcPr>
            <w:tcW w:w="254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highlight w:val="none"/>
              </w:rPr>
            </w:pPr>
            <w:r>
              <w:rPr>
                <w:rFonts w:hint="eastAsia"/>
                <w:highlight w:val="none"/>
              </w:rPr>
              <w:t>七、附属单位上缴收入</w:t>
            </w:r>
          </w:p>
        </w:tc>
        <w:tc>
          <w:tcPr>
            <w:tcW w:w="239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7</w:t>
            </w:r>
          </w:p>
        </w:tc>
        <w:tc>
          <w:tcPr>
            <w:tcW w:w="223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26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七、文化旅游体育与传媒支出</w:t>
            </w:r>
          </w:p>
        </w:tc>
        <w:tc>
          <w:tcPr>
            <w:tcW w:w="22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38</w:t>
            </w:r>
          </w:p>
        </w:tc>
        <w:tc>
          <w:tcPr>
            <w:tcW w:w="19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34" w:hRule="atLeast"/>
        </w:trPr>
        <w:tc>
          <w:tcPr>
            <w:tcW w:w="254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highlight w:val="none"/>
              </w:rPr>
            </w:pPr>
            <w:r>
              <w:rPr>
                <w:rFonts w:hint="eastAsia"/>
                <w:highlight w:val="none"/>
              </w:rPr>
              <w:t>八、其他收入</w:t>
            </w:r>
          </w:p>
        </w:tc>
        <w:tc>
          <w:tcPr>
            <w:tcW w:w="239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8</w:t>
            </w:r>
          </w:p>
        </w:tc>
        <w:tc>
          <w:tcPr>
            <w:tcW w:w="223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26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八、社会保障和就业支出</w:t>
            </w:r>
          </w:p>
        </w:tc>
        <w:tc>
          <w:tcPr>
            <w:tcW w:w="22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39</w:t>
            </w:r>
          </w:p>
        </w:tc>
        <w:tc>
          <w:tcPr>
            <w:tcW w:w="19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140.66</w:t>
            </w:r>
          </w:p>
        </w:tc>
      </w:tr>
      <w:tr>
        <w:tblPrEx>
          <w:tblCellMar>
            <w:top w:w="0" w:type="dxa"/>
            <w:left w:w="108" w:type="dxa"/>
            <w:bottom w:w="0" w:type="dxa"/>
            <w:right w:w="108" w:type="dxa"/>
          </w:tblCellMar>
        </w:tblPrEx>
        <w:trPr>
          <w:trHeight w:val="334" w:hRule="atLeast"/>
        </w:trPr>
        <w:tc>
          <w:tcPr>
            <w:tcW w:w="254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highlight w:val="none"/>
              </w:rPr>
            </w:pPr>
          </w:p>
        </w:tc>
        <w:tc>
          <w:tcPr>
            <w:tcW w:w="239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9</w:t>
            </w:r>
          </w:p>
        </w:tc>
        <w:tc>
          <w:tcPr>
            <w:tcW w:w="223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26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九、卫生健康支出</w:t>
            </w:r>
          </w:p>
        </w:tc>
        <w:tc>
          <w:tcPr>
            <w:tcW w:w="22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40</w:t>
            </w:r>
          </w:p>
        </w:tc>
        <w:tc>
          <w:tcPr>
            <w:tcW w:w="19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34" w:hRule="atLeast"/>
        </w:trPr>
        <w:tc>
          <w:tcPr>
            <w:tcW w:w="254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highlight w:val="none"/>
              </w:rPr>
            </w:pPr>
          </w:p>
        </w:tc>
        <w:tc>
          <w:tcPr>
            <w:tcW w:w="239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10</w:t>
            </w:r>
          </w:p>
        </w:tc>
        <w:tc>
          <w:tcPr>
            <w:tcW w:w="223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26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十、节能环保支出</w:t>
            </w:r>
          </w:p>
        </w:tc>
        <w:tc>
          <w:tcPr>
            <w:tcW w:w="22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41</w:t>
            </w:r>
          </w:p>
        </w:tc>
        <w:tc>
          <w:tcPr>
            <w:tcW w:w="19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34" w:hRule="atLeast"/>
        </w:trPr>
        <w:tc>
          <w:tcPr>
            <w:tcW w:w="254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highlight w:val="none"/>
              </w:rPr>
            </w:pPr>
          </w:p>
        </w:tc>
        <w:tc>
          <w:tcPr>
            <w:tcW w:w="239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11</w:t>
            </w:r>
          </w:p>
        </w:tc>
        <w:tc>
          <w:tcPr>
            <w:tcW w:w="223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26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十一、城乡社区支出</w:t>
            </w:r>
          </w:p>
        </w:tc>
        <w:tc>
          <w:tcPr>
            <w:tcW w:w="22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42</w:t>
            </w:r>
          </w:p>
        </w:tc>
        <w:tc>
          <w:tcPr>
            <w:tcW w:w="19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34" w:hRule="atLeast"/>
        </w:trPr>
        <w:tc>
          <w:tcPr>
            <w:tcW w:w="254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highlight w:val="none"/>
              </w:rPr>
            </w:pPr>
          </w:p>
        </w:tc>
        <w:tc>
          <w:tcPr>
            <w:tcW w:w="239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12</w:t>
            </w:r>
          </w:p>
        </w:tc>
        <w:tc>
          <w:tcPr>
            <w:tcW w:w="223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26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十二、农林水支出</w:t>
            </w:r>
          </w:p>
        </w:tc>
        <w:tc>
          <w:tcPr>
            <w:tcW w:w="22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43</w:t>
            </w:r>
          </w:p>
        </w:tc>
        <w:tc>
          <w:tcPr>
            <w:tcW w:w="19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34" w:hRule="atLeast"/>
        </w:trPr>
        <w:tc>
          <w:tcPr>
            <w:tcW w:w="254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highlight w:val="none"/>
              </w:rPr>
            </w:pPr>
          </w:p>
        </w:tc>
        <w:tc>
          <w:tcPr>
            <w:tcW w:w="239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13</w:t>
            </w:r>
          </w:p>
        </w:tc>
        <w:tc>
          <w:tcPr>
            <w:tcW w:w="223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26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十三、交通运输支出</w:t>
            </w:r>
          </w:p>
        </w:tc>
        <w:tc>
          <w:tcPr>
            <w:tcW w:w="22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44</w:t>
            </w:r>
          </w:p>
        </w:tc>
        <w:tc>
          <w:tcPr>
            <w:tcW w:w="19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34" w:hRule="atLeast"/>
        </w:trPr>
        <w:tc>
          <w:tcPr>
            <w:tcW w:w="254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highlight w:val="none"/>
              </w:rPr>
            </w:pPr>
          </w:p>
        </w:tc>
        <w:tc>
          <w:tcPr>
            <w:tcW w:w="239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14</w:t>
            </w:r>
          </w:p>
        </w:tc>
        <w:tc>
          <w:tcPr>
            <w:tcW w:w="223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26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十四、资源勘探工业信息等支出</w:t>
            </w:r>
          </w:p>
        </w:tc>
        <w:tc>
          <w:tcPr>
            <w:tcW w:w="22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45</w:t>
            </w:r>
          </w:p>
        </w:tc>
        <w:tc>
          <w:tcPr>
            <w:tcW w:w="19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34" w:hRule="atLeast"/>
        </w:trPr>
        <w:tc>
          <w:tcPr>
            <w:tcW w:w="254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highlight w:val="none"/>
              </w:rPr>
            </w:pPr>
          </w:p>
        </w:tc>
        <w:tc>
          <w:tcPr>
            <w:tcW w:w="239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15</w:t>
            </w:r>
          </w:p>
        </w:tc>
        <w:tc>
          <w:tcPr>
            <w:tcW w:w="223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26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十五、商业服务业等支出</w:t>
            </w:r>
          </w:p>
        </w:tc>
        <w:tc>
          <w:tcPr>
            <w:tcW w:w="22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46</w:t>
            </w:r>
          </w:p>
        </w:tc>
        <w:tc>
          <w:tcPr>
            <w:tcW w:w="19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34" w:hRule="atLeast"/>
        </w:trPr>
        <w:tc>
          <w:tcPr>
            <w:tcW w:w="254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highlight w:val="none"/>
              </w:rPr>
            </w:pPr>
          </w:p>
        </w:tc>
        <w:tc>
          <w:tcPr>
            <w:tcW w:w="239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16</w:t>
            </w:r>
          </w:p>
        </w:tc>
        <w:tc>
          <w:tcPr>
            <w:tcW w:w="223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26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十六、金融支出</w:t>
            </w:r>
          </w:p>
        </w:tc>
        <w:tc>
          <w:tcPr>
            <w:tcW w:w="22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47</w:t>
            </w:r>
          </w:p>
        </w:tc>
        <w:tc>
          <w:tcPr>
            <w:tcW w:w="19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34" w:hRule="atLeast"/>
        </w:trPr>
        <w:tc>
          <w:tcPr>
            <w:tcW w:w="254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highlight w:val="none"/>
              </w:rPr>
            </w:pPr>
          </w:p>
        </w:tc>
        <w:tc>
          <w:tcPr>
            <w:tcW w:w="239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17</w:t>
            </w:r>
          </w:p>
        </w:tc>
        <w:tc>
          <w:tcPr>
            <w:tcW w:w="223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26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十七、援助其他地区支出</w:t>
            </w:r>
          </w:p>
        </w:tc>
        <w:tc>
          <w:tcPr>
            <w:tcW w:w="22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48</w:t>
            </w:r>
          </w:p>
        </w:tc>
        <w:tc>
          <w:tcPr>
            <w:tcW w:w="19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34" w:hRule="atLeast"/>
        </w:trPr>
        <w:tc>
          <w:tcPr>
            <w:tcW w:w="254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highlight w:val="none"/>
              </w:rPr>
            </w:pPr>
          </w:p>
        </w:tc>
        <w:tc>
          <w:tcPr>
            <w:tcW w:w="239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18</w:t>
            </w:r>
          </w:p>
        </w:tc>
        <w:tc>
          <w:tcPr>
            <w:tcW w:w="223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26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十八、自然资源海洋气象等支出</w:t>
            </w:r>
          </w:p>
        </w:tc>
        <w:tc>
          <w:tcPr>
            <w:tcW w:w="22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49</w:t>
            </w:r>
          </w:p>
        </w:tc>
        <w:tc>
          <w:tcPr>
            <w:tcW w:w="19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34" w:hRule="atLeast"/>
        </w:trPr>
        <w:tc>
          <w:tcPr>
            <w:tcW w:w="254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highlight w:val="none"/>
              </w:rPr>
            </w:pPr>
          </w:p>
        </w:tc>
        <w:tc>
          <w:tcPr>
            <w:tcW w:w="239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19</w:t>
            </w:r>
          </w:p>
        </w:tc>
        <w:tc>
          <w:tcPr>
            <w:tcW w:w="223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26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十九、住房保障支出</w:t>
            </w:r>
          </w:p>
        </w:tc>
        <w:tc>
          <w:tcPr>
            <w:tcW w:w="22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50</w:t>
            </w:r>
          </w:p>
        </w:tc>
        <w:tc>
          <w:tcPr>
            <w:tcW w:w="19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106.46</w:t>
            </w:r>
          </w:p>
        </w:tc>
      </w:tr>
      <w:tr>
        <w:tblPrEx>
          <w:tblCellMar>
            <w:top w:w="0" w:type="dxa"/>
            <w:left w:w="108" w:type="dxa"/>
            <w:bottom w:w="0" w:type="dxa"/>
            <w:right w:w="108" w:type="dxa"/>
          </w:tblCellMar>
        </w:tblPrEx>
        <w:trPr>
          <w:trHeight w:val="334" w:hRule="atLeast"/>
        </w:trPr>
        <w:tc>
          <w:tcPr>
            <w:tcW w:w="254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highlight w:val="none"/>
              </w:rPr>
            </w:pPr>
          </w:p>
        </w:tc>
        <w:tc>
          <w:tcPr>
            <w:tcW w:w="239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20</w:t>
            </w:r>
          </w:p>
        </w:tc>
        <w:tc>
          <w:tcPr>
            <w:tcW w:w="223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26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二十、粮油物资储备支出</w:t>
            </w:r>
          </w:p>
        </w:tc>
        <w:tc>
          <w:tcPr>
            <w:tcW w:w="22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51</w:t>
            </w:r>
          </w:p>
        </w:tc>
        <w:tc>
          <w:tcPr>
            <w:tcW w:w="19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34" w:hRule="atLeast"/>
        </w:trPr>
        <w:tc>
          <w:tcPr>
            <w:tcW w:w="254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highlight w:val="none"/>
              </w:rPr>
            </w:pPr>
          </w:p>
        </w:tc>
        <w:tc>
          <w:tcPr>
            <w:tcW w:w="239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21</w:t>
            </w:r>
          </w:p>
        </w:tc>
        <w:tc>
          <w:tcPr>
            <w:tcW w:w="223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26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二十一、国有资本经营预算支出</w:t>
            </w:r>
          </w:p>
        </w:tc>
        <w:tc>
          <w:tcPr>
            <w:tcW w:w="22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52</w:t>
            </w:r>
          </w:p>
        </w:tc>
        <w:tc>
          <w:tcPr>
            <w:tcW w:w="19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34" w:hRule="atLeast"/>
        </w:trPr>
        <w:tc>
          <w:tcPr>
            <w:tcW w:w="254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highlight w:val="none"/>
              </w:rPr>
            </w:pPr>
          </w:p>
        </w:tc>
        <w:tc>
          <w:tcPr>
            <w:tcW w:w="239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22</w:t>
            </w:r>
          </w:p>
        </w:tc>
        <w:tc>
          <w:tcPr>
            <w:tcW w:w="223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26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二十二、灾害防治及应急管理支出</w:t>
            </w:r>
          </w:p>
        </w:tc>
        <w:tc>
          <w:tcPr>
            <w:tcW w:w="22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53</w:t>
            </w:r>
          </w:p>
        </w:tc>
        <w:tc>
          <w:tcPr>
            <w:tcW w:w="19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34" w:hRule="atLeast"/>
        </w:trPr>
        <w:tc>
          <w:tcPr>
            <w:tcW w:w="254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highlight w:val="none"/>
              </w:rPr>
            </w:pPr>
          </w:p>
        </w:tc>
        <w:tc>
          <w:tcPr>
            <w:tcW w:w="239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23</w:t>
            </w:r>
          </w:p>
        </w:tc>
        <w:tc>
          <w:tcPr>
            <w:tcW w:w="223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26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二十三、其他支出</w:t>
            </w:r>
          </w:p>
        </w:tc>
        <w:tc>
          <w:tcPr>
            <w:tcW w:w="22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54</w:t>
            </w:r>
          </w:p>
        </w:tc>
        <w:tc>
          <w:tcPr>
            <w:tcW w:w="19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183.12</w:t>
            </w:r>
          </w:p>
        </w:tc>
      </w:tr>
      <w:tr>
        <w:tblPrEx>
          <w:tblCellMar>
            <w:top w:w="0" w:type="dxa"/>
            <w:left w:w="108" w:type="dxa"/>
            <w:bottom w:w="0" w:type="dxa"/>
            <w:right w:w="108" w:type="dxa"/>
          </w:tblCellMar>
        </w:tblPrEx>
        <w:trPr>
          <w:trHeight w:val="334" w:hRule="atLeast"/>
        </w:trPr>
        <w:tc>
          <w:tcPr>
            <w:tcW w:w="254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highlight w:val="none"/>
              </w:rPr>
            </w:pPr>
          </w:p>
        </w:tc>
        <w:tc>
          <w:tcPr>
            <w:tcW w:w="239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24</w:t>
            </w:r>
          </w:p>
        </w:tc>
        <w:tc>
          <w:tcPr>
            <w:tcW w:w="223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26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二十四、债务还本支出</w:t>
            </w:r>
          </w:p>
        </w:tc>
        <w:tc>
          <w:tcPr>
            <w:tcW w:w="22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55</w:t>
            </w:r>
          </w:p>
        </w:tc>
        <w:tc>
          <w:tcPr>
            <w:tcW w:w="19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34" w:hRule="atLeast"/>
        </w:trPr>
        <w:tc>
          <w:tcPr>
            <w:tcW w:w="254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highlight w:val="none"/>
              </w:rPr>
            </w:pPr>
          </w:p>
        </w:tc>
        <w:tc>
          <w:tcPr>
            <w:tcW w:w="239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25</w:t>
            </w:r>
          </w:p>
        </w:tc>
        <w:tc>
          <w:tcPr>
            <w:tcW w:w="223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26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二十五、债务付息支出</w:t>
            </w:r>
          </w:p>
        </w:tc>
        <w:tc>
          <w:tcPr>
            <w:tcW w:w="22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56</w:t>
            </w:r>
          </w:p>
        </w:tc>
        <w:tc>
          <w:tcPr>
            <w:tcW w:w="19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34" w:hRule="atLeast"/>
        </w:trPr>
        <w:tc>
          <w:tcPr>
            <w:tcW w:w="254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highlight w:val="none"/>
              </w:rPr>
            </w:pPr>
          </w:p>
        </w:tc>
        <w:tc>
          <w:tcPr>
            <w:tcW w:w="239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26</w:t>
            </w:r>
          </w:p>
        </w:tc>
        <w:tc>
          <w:tcPr>
            <w:tcW w:w="223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26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二十六、抗疫特别国债安排的支出</w:t>
            </w:r>
          </w:p>
        </w:tc>
        <w:tc>
          <w:tcPr>
            <w:tcW w:w="22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57</w:t>
            </w:r>
          </w:p>
        </w:tc>
        <w:tc>
          <w:tcPr>
            <w:tcW w:w="19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34" w:hRule="atLeast"/>
        </w:trPr>
        <w:tc>
          <w:tcPr>
            <w:tcW w:w="254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highlight w:val="none"/>
              </w:rPr>
            </w:pPr>
            <w:r>
              <w:rPr>
                <w:rFonts w:hint="eastAsia"/>
                <w:highlight w:val="none"/>
              </w:rPr>
              <w:t>本年收入合计</w:t>
            </w:r>
          </w:p>
        </w:tc>
        <w:tc>
          <w:tcPr>
            <w:tcW w:w="239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27</w:t>
            </w:r>
          </w:p>
        </w:tc>
        <w:tc>
          <w:tcPr>
            <w:tcW w:w="223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2195.79</w:t>
            </w:r>
          </w:p>
        </w:tc>
        <w:tc>
          <w:tcPr>
            <w:tcW w:w="26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本年支出合计</w:t>
            </w:r>
          </w:p>
        </w:tc>
        <w:tc>
          <w:tcPr>
            <w:tcW w:w="22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58</w:t>
            </w:r>
          </w:p>
        </w:tc>
        <w:tc>
          <w:tcPr>
            <w:tcW w:w="19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2195.79</w:t>
            </w:r>
          </w:p>
        </w:tc>
      </w:tr>
      <w:tr>
        <w:tblPrEx>
          <w:tblCellMar>
            <w:top w:w="0" w:type="dxa"/>
            <w:left w:w="108" w:type="dxa"/>
            <w:bottom w:w="0" w:type="dxa"/>
            <w:right w:w="108" w:type="dxa"/>
          </w:tblCellMar>
        </w:tblPrEx>
        <w:trPr>
          <w:trHeight w:val="334" w:hRule="atLeast"/>
        </w:trPr>
        <w:tc>
          <w:tcPr>
            <w:tcW w:w="254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highlight w:val="none"/>
              </w:rPr>
            </w:pPr>
            <w:r>
              <w:rPr>
                <w:rFonts w:hint="eastAsia"/>
                <w:highlight w:val="none"/>
              </w:rPr>
              <w:t>使用非财政拨款结余</w:t>
            </w:r>
          </w:p>
        </w:tc>
        <w:tc>
          <w:tcPr>
            <w:tcW w:w="239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28</w:t>
            </w:r>
          </w:p>
        </w:tc>
        <w:tc>
          <w:tcPr>
            <w:tcW w:w="223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26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结余分配</w:t>
            </w:r>
          </w:p>
        </w:tc>
        <w:tc>
          <w:tcPr>
            <w:tcW w:w="22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59</w:t>
            </w:r>
          </w:p>
        </w:tc>
        <w:tc>
          <w:tcPr>
            <w:tcW w:w="19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34" w:hRule="atLeast"/>
        </w:trPr>
        <w:tc>
          <w:tcPr>
            <w:tcW w:w="254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highlight w:val="none"/>
              </w:rPr>
            </w:pPr>
            <w:r>
              <w:rPr>
                <w:rFonts w:hint="eastAsia"/>
                <w:highlight w:val="none"/>
              </w:rPr>
              <w:t>年初结转和结余</w:t>
            </w:r>
          </w:p>
        </w:tc>
        <w:tc>
          <w:tcPr>
            <w:tcW w:w="239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29</w:t>
            </w:r>
          </w:p>
        </w:tc>
        <w:tc>
          <w:tcPr>
            <w:tcW w:w="223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26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年末结转和结余</w:t>
            </w:r>
          </w:p>
        </w:tc>
        <w:tc>
          <w:tcPr>
            <w:tcW w:w="22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60</w:t>
            </w:r>
          </w:p>
        </w:tc>
        <w:tc>
          <w:tcPr>
            <w:tcW w:w="19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34" w:hRule="atLeast"/>
        </w:trPr>
        <w:tc>
          <w:tcPr>
            <w:tcW w:w="254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highlight w:val="none"/>
              </w:rPr>
            </w:pPr>
          </w:p>
        </w:tc>
        <w:tc>
          <w:tcPr>
            <w:tcW w:w="239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30</w:t>
            </w:r>
          </w:p>
        </w:tc>
        <w:tc>
          <w:tcPr>
            <w:tcW w:w="223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26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p>
        </w:tc>
        <w:tc>
          <w:tcPr>
            <w:tcW w:w="22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61</w:t>
            </w:r>
          </w:p>
        </w:tc>
        <w:tc>
          <w:tcPr>
            <w:tcW w:w="19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34" w:hRule="atLeast"/>
        </w:trPr>
        <w:tc>
          <w:tcPr>
            <w:tcW w:w="254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highlight w:val="none"/>
              </w:rPr>
            </w:pPr>
            <w:r>
              <w:rPr>
                <w:rFonts w:hint="eastAsia"/>
                <w:highlight w:val="none"/>
              </w:rPr>
              <w:t>总计</w:t>
            </w:r>
          </w:p>
        </w:tc>
        <w:tc>
          <w:tcPr>
            <w:tcW w:w="239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31</w:t>
            </w:r>
          </w:p>
        </w:tc>
        <w:tc>
          <w:tcPr>
            <w:tcW w:w="223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2195.79</w:t>
            </w:r>
          </w:p>
        </w:tc>
        <w:tc>
          <w:tcPr>
            <w:tcW w:w="26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总计</w:t>
            </w:r>
          </w:p>
        </w:tc>
        <w:tc>
          <w:tcPr>
            <w:tcW w:w="22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62</w:t>
            </w:r>
          </w:p>
        </w:tc>
        <w:tc>
          <w:tcPr>
            <w:tcW w:w="19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2195.79</w:t>
            </w:r>
          </w:p>
        </w:tc>
      </w:tr>
    </w:tbl>
    <w:p>
      <w:pPr>
        <w:rPr>
          <w:rFonts w:ascii="宋体" w:hAnsi="宋体" w:eastAsia="宋体" w:cs="宋体"/>
          <w:color w:val="000000"/>
          <w:kern w:val="0"/>
          <w:sz w:val="30"/>
          <w:szCs w:val="30"/>
          <w:highlight w:val="none"/>
          <w:lang w:bidi="ar"/>
        </w:rPr>
      </w:pPr>
      <w:r>
        <w:rPr>
          <w:rFonts w:hint="eastAsia" w:ascii="宋体" w:hAnsi="宋体" w:eastAsia="宋体" w:cs="宋体"/>
          <w:color w:val="000000"/>
          <w:kern w:val="0"/>
          <w:sz w:val="30"/>
          <w:szCs w:val="30"/>
          <w:highlight w:val="none"/>
          <w:lang w:bidi="ar"/>
        </w:rPr>
        <w:br w:type="page"/>
      </w:r>
    </w:p>
    <w:tbl>
      <w:tblPr>
        <w:tblStyle w:val="6"/>
        <w:tblW w:w="13960" w:type="dxa"/>
        <w:tblInd w:w="96" w:type="dxa"/>
        <w:tblLayout w:type="fixed"/>
        <w:tblCellMar>
          <w:top w:w="0" w:type="dxa"/>
          <w:left w:w="108" w:type="dxa"/>
          <w:bottom w:w="0" w:type="dxa"/>
          <w:right w:w="108" w:type="dxa"/>
        </w:tblCellMar>
      </w:tblPr>
      <w:tblGrid>
        <w:gridCol w:w="1584"/>
        <w:gridCol w:w="1378"/>
        <w:gridCol w:w="236"/>
        <w:gridCol w:w="236"/>
        <w:gridCol w:w="524"/>
        <w:gridCol w:w="1520"/>
        <w:gridCol w:w="1453"/>
        <w:gridCol w:w="1373"/>
        <w:gridCol w:w="1467"/>
        <w:gridCol w:w="1480"/>
        <w:gridCol w:w="1440"/>
        <w:gridCol w:w="1269"/>
      </w:tblGrid>
      <w:tr>
        <w:tblPrEx>
          <w:tblCellMar>
            <w:top w:w="0" w:type="dxa"/>
            <w:left w:w="108" w:type="dxa"/>
            <w:bottom w:w="0" w:type="dxa"/>
            <w:right w:w="108" w:type="dxa"/>
          </w:tblCellMar>
        </w:tblPrEx>
        <w:trPr>
          <w:trHeight w:val="951" w:hRule="atLeast"/>
        </w:trPr>
        <w:tc>
          <w:tcPr>
            <w:tcW w:w="13960" w:type="dxa"/>
            <w:gridSpan w:val="12"/>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jc w:val="left"/>
              <w:rPr>
                <w:rFonts w:hint="eastAsia" w:ascii="仿宋" w:hAnsi="仿宋" w:eastAsia="仿宋" w:cs="仿宋"/>
                <w:sz w:val="24"/>
                <w:highlight w:val="none"/>
              </w:rPr>
            </w:pPr>
            <w:r>
              <w:rPr>
                <w:rFonts w:hint="eastAsia" w:ascii="仿宋" w:hAnsi="仿宋" w:eastAsia="仿宋" w:cs="仿宋"/>
                <w:sz w:val="24"/>
                <w:highlight w:val="none"/>
              </w:rPr>
              <w:t>表二：收入决算表</w:t>
            </w:r>
          </w:p>
          <w:p>
            <w:pPr>
              <w:keepNext w:val="0"/>
              <w:keepLines w:val="0"/>
              <w:suppressLineNumbers w:val="0"/>
              <w:spacing w:before="0" w:beforeAutospacing="0" w:after="0" w:afterAutospacing="0"/>
              <w:ind w:left="0" w:right="0"/>
              <w:jc w:val="left"/>
              <w:rPr>
                <w:rFonts w:hint="default" w:ascii="仿宋" w:hAnsi="仿宋" w:eastAsia="仿宋" w:cs="仿宋"/>
                <w:sz w:val="24"/>
                <w:highlight w:val="none"/>
              </w:rPr>
            </w:pPr>
          </w:p>
          <w:p>
            <w:pPr>
              <w:keepNext w:val="0"/>
              <w:keepLines w:val="0"/>
              <w:widowControl/>
              <w:suppressLineNumbers w:val="0"/>
              <w:spacing w:before="0" w:beforeAutospacing="0" w:after="0" w:afterAutospacing="0"/>
              <w:ind w:left="0" w:right="0"/>
              <w:jc w:val="center"/>
              <w:textAlignment w:val="bottom"/>
              <w:rPr>
                <w:rFonts w:hint="default" w:ascii="宋体" w:hAnsi="宋体" w:eastAsia="宋体" w:cs="宋体"/>
                <w:color w:val="000000"/>
                <w:sz w:val="30"/>
                <w:szCs w:val="30"/>
                <w:highlight w:val="none"/>
              </w:rPr>
            </w:pPr>
            <w:r>
              <w:rPr>
                <w:rFonts w:hint="eastAsia" w:ascii="宋体" w:hAnsi="宋体" w:eastAsia="宋体" w:cs="宋体"/>
                <w:color w:val="000000"/>
                <w:kern w:val="0"/>
                <w:sz w:val="32"/>
                <w:szCs w:val="32"/>
                <w:highlight w:val="none"/>
                <w:lang w:bidi="ar"/>
              </w:rPr>
              <w:t>收入决算表</w:t>
            </w:r>
          </w:p>
        </w:tc>
      </w:tr>
      <w:tr>
        <w:tblPrEx>
          <w:tblCellMar>
            <w:top w:w="0" w:type="dxa"/>
            <w:left w:w="108" w:type="dxa"/>
            <w:bottom w:w="0" w:type="dxa"/>
            <w:right w:w="108" w:type="dxa"/>
          </w:tblCellMar>
        </w:tblPrEx>
        <w:trPr>
          <w:trHeight w:val="317" w:hRule="atLeast"/>
        </w:trPr>
        <w:tc>
          <w:tcPr>
            <w:tcW w:w="2962" w:type="dxa"/>
            <w:gridSpan w:val="2"/>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236"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236"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524"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520"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453"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373"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467"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480"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2709" w:type="dxa"/>
            <w:gridSpan w:val="2"/>
            <w:tcBorders>
              <w:top w:val="nil"/>
              <w:left w:val="nil"/>
              <w:bottom w:val="nil"/>
              <w:right w:val="nil"/>
            </w:tcBorders>
            <w:shd w:val="clear" w:color="auto" w:fill="auto"/>
            <w:noWrap/>
            <w:vAlign w:val="bottom"/>
          </w:tcPr>
          <w:p>
            <w:pPr>
              <w:keepNext w:val="0"/>
              <w:keepLines w:val="0"/>
              <w:widowControl/>
              <w:suppressLineNumbers w:val="0"/>
              <w:spacing w:before="0" w:beforeAutospacing="0" w:after="0" w:afterAutospacing="0"/>
              <w:ind w:left="0" w:right="0"/>
              <w:jc w:val="right"/>
              <w:textAlignment w:val="bottom"/>
              <w:rPr>
                <w:rFonts w:hint="default" w:ascii="宋体" w:hAnsi="宋体" w:eastAsia="宋体" w:cs="宋体"/>
                <w:color w:val="000000"/>
                <w:sz w:val="20"/>
                <w:szCs w:val="20"/>
                <w:highlight w:val="none"/>
              </w:rPr>
            </w:pPr>
            <w:r>
              <w:rPr>
                <w:rFonts w:hint="eastAsia" w:ascii="宋体" w:hAnsi="宋体" w:eastAsia="宋体" w:cs="宋体"/>
                <w:color w:val="000000"/>
                <w:kern w:val="0"/>
                <w:sz w:val="20"/>
                <w:szCs w:val="20"/>
                <w:highlight w:val="none"/>
                <w:lang w:bidi="ar"/>
              </w:rPr>
              <w:t>公开02表</w:t>
            </w:r>
          </w:p>
        </w:tc>
      </w:tr>
      <w:tr>
        <w:tblPrEx>
          <w:tblCellMar>
            <w:top w:w="0" w:type="dxa"/>
            <w:left w:w="108" w:type="dxa"/>
            <w:bottom w:w="0" w:type="dxa"/>
            <w:right w:w="108" w:type="dxa"/>
          </w:tblCellMar>
        </w:tblPrEx>
        <w:trPr>
          <w:trHeight w:val="317" w:hRule="atLeast"/>
        </w:trPr>
        <w:tc>
          <w:tcPr>
            <w:tcW w:w="6931" w:type="dxa"/>
            <w:gridSpan w:val="7"/>
            <w:tcBorders>
              <w:top w:val="nil"/>
              <w:left w:val="nil"/>
              <w:bottom w:val="single" w:color="auto" w:sz="4" w:space="0"/>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r>
              <w:rPr>
                <w:rFonts w:hint="eastAsia" w:ascii="宋体" w:hAnsi="宋体" w:eastAsia="宋体" w:cs="宋体"/>
                <w:color w:val="000000"/>
                <w:kern w:val="0"/>
                <w:sz w:val="20"/>
                <w:szCs w:val="20"/>
                <w:highlight w:val="none"/>
                <w:lang w:bidi="ar"/>
              </w:rPr>
              <w:t>部门：</w:t>
            </w:r>
            <w:r>
              <w:rPr>
                <w:rFonts w:hint="default" w:ascii="宋体" w:hAnsi="宋体" w:eastAsia="宋体" w:cs="宋体"/>
                <w:color w:val="000000"/>
                <w:sz w:val="20"/>
                <w:u w:color="auto"/>
              </w:rPr>
              <w:t>环江毛南族自治县民族中学</w:t>
            </w:r>
          </w:p>
        </w:tc>
        <w:tc>
          <w:tcPr>
            <w:tcW w:w="1373" w:type="dxa"/>
            <w:tcBorders>
              <w:top w:val="nil"/>
              <w:left w:val="nil"/>
              <w:bottom w:val="single" w:color="auto" w:sz="4" w:space="0"/>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467" w:type="dxa"/>
            <w:tcBorders>
              <w:top w:val="nil"/>
              <w:left w:val="nil"/>
              <w:bottom w:val="single" w:color="auto" w:sz="4" w:space="0"/>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480" w:type="dxa"/>
            <w:tcBorders>
              <w:top w:val="nil"/>
              <w:left w:val="nil"/>
              <w:bottom w:val="single" w:color="auto" w:sz="4" w:space="0"/>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2709" w:type="dxa"/>
            <w:gridSpan w:val="2"/>
            <w:tcBorders>
              <w:top w:val="nil"/>
              <w:left w:val="nil"/>
              <w:bottom w:val="single" w:color="auto" w:sz="4" w:space="0"/>
            </w:tcBorders>
            <w:shd w:val="clear" w:color="auto" w:fill="auto"/>
            <w:noWrap/>
            <w:vAlign w:val="bottom"/>
          </w:tcPr>
          <w:p>
            <w:pPr>
              <w:keepNext w:val="0"/>
              <w:keepLines w:val="0"/>
              <w:widowControl/>
              <w:suppressLineNumbers w:val="0"/>
              <w:spacing w:before="0" w:beforeAutospacing="0" w:after="0" w:afterAutospacing="0"/>
              <w:ind w:left="0" w:right="0"/>
              <w:jc w:val="right"/>
              <w:textAlignment w:val="bottom"/>
              <w:rPr>
                <w:rFonts w:hint="default" w:ascii="宋体" w:hAnsi="宋体" w:eastAsia="宋体" w:cs="宋体"/>
                <w:color w:val="000000"/>
                <w:sz w:val="20"/>
                <w:szCs w:val="20"/>
                <w:highlight w:val="none"/>
              </w:rPr>
            </w:pPr>
            <w:r>
              <w:rPr>
                <w:rFonts w:hint="eastAsia" w:ascii="宋体" w:hAnsi="宋体" w:eastAsia="宋体" w:cs="宋体"/>
                <w:color w:val="000000"/>
                <w:kern w:val="0"/>
                <w:sz w:val="20"/>
                <w:szCs w:val="20"/>
                <w:highlight w:val="none"/>
                <w:lang w:bidi="ar"/>
              </w:rPr>
              <w:t>金额单位：万元</w:t>
            </w:r>
          </w:p>
        </w:tc>
      </w:tr>
      <w:tr>
        <w:tblPrEx>
          <w:tblCellMar>
            <w:top w:w="0" w:type="dxa"/>
            <w:left w:w="108" w:type="dxa"/>
            <w:bottom w:w="0" w:type="dxa"/>
            <w:right w:w="108" w:type="dxa"/>
          </w:tblCellMar>
        </w:tblPrEx>
        <w:trPr>
          <w:trHeight w:val="327" w:hRule="atLeast"/>
        </w:trPr>
        <w:tc>
          <w:tcPr>
            <w:tcW w:w="3958" w:type="dxa"/>
            <w:gridSpan w:val="5"/>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项目</w:t>
            </w:r>
          </w:p>
        </w:tc>
        <w:tc>
          <w:tcPr>
            <w:tcW w:w="1520"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Cs w:val="21"/>
                <w:highlight w:val="none"/>
              </w:rPr>
            </w:pPr>
            <w:r>
              <w:rPr>
                <w:rFonts w:hint="eastAsia" w:ascii="宋体" w:hAnsi="宋体" w:eastAsia="宋体" w:cs="宋体"/>
                <w:color w:val="000000"/>
                <w:kern w:val="0"/>
                <w:szCs w:val="21"/>
                <w:highlight w:val="none"/>
                <w:lang w:bidi="ar"/>
              </w:rPr>
              <w:t>本年收入合计</w:t>
            </w:r>
          </w:p>
        </w:tc>
        <w:tc>
          <w:tcPr>
            <w:tcW w:w="1453"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Cs w:val="21"/>
                <w:highlight w:val="none"/>
              </w:rPr>
            </w:pPr>
            <w:r>
              <w:rPr>
                <w:rFonts w:hint="eastAsia" w:ascii="宋体" w:hAnsi="宋体" w:eastAsia="宋体" w:cs="宋体"/>
                <w:color w:val="000000"/>
                <w:kern w:val="0"/>
                <w:szCs w:val="21"/>
                <w:highlight w:val="none"/>
                <w:lang w:bidi="ar"/>
              </w:rPr>
              <w:t>财政拨款收入</w:t>
            </w:r>
          </w:p>
        </w:tc>
        <w:tc>
          <w:tcPr>
            <w:tcW w:w="1373"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Cs w:val="21"/>
                <w:highlight w:val="none"/>
              </w:rPr>
            </w:pPr>
            <w:r>
              <w:rPr>
                <w:rFonts w:hint="eastAsia" w:ascii="宋体" w:hAnsi="宋体" w:eastAsia="宋体" w:cs="宋体"/>
                <w:color w:val="000000"/>
                <w:kern w:val="0"/>
                <w:szCs w:val="21"/>
                <w:highlight w:val="none"/>
                <w:lang w:bidi="ar"/>
              </w:rPr>
              <w:t>上级补助收入</w:t>
            </w:r>
          </w:p>
        </w:tc>
        <w:tc>
          <w:tcPr>
            <w:tcW w:w="1467"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Cs w:val="21"/>
                <w:highlight w:val="none"/>
              </w:rPr>
            </w:pPr>
            <w:r>
              <w:rPr>
                <w:rFonts w:hint="eastAsia" w:ascii="宋体" w:hAnsi="宋体" w:eastAsia="宋体" w:cs="宋体"/>
                <w:color w:val="000000"/>
                <w:kern w:val="0"/>
                <w:szCs w:val="21"/>
                <w:highlight w:val="none"/>
                <w:lang w:bidi="ar"/>
              </w:rPr>
              <w:t>事业收入</w:t>
            </w:r>
          </w:p>
        </w:tc>
        <w:tc>
          <w:tcPr>
            <w:tcW w:w="1480"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Cs w:val="21"/>
                <w:highlight w:val="none"/>
              </w:rPr>
            </w:pPr>
            <w:r>
              <w:rPr>
                <w:rFonts w:hint="eastAsia" w:ascii="宋体" w:hAnsi="宋体" w:eastAsia="宋体" w:cs="宋体"/>
                <w:color w:val="000000"/>
                <w:kern w:val="0"/>
                <w:szCs w:val="21"/>
                <w:highlight w:val="none"/>
                <w:lang w:bidi="ar"/>
              </w:rPr>
              <w:t>经营收入</w:t>
            </w:r>
          </w:p>
        </w:tc>
        <w:tc>
          <w:tcPr>
            <w:tcW w:w="1440"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Cs w:val="21"/>
                <w:highlight w:val="none"/>
              </w:rPr>
            </w:pPr>
            <w:r>
              <w:rPr>
                <w:rFonts w:hint="eastAsia" w:ascii="宋体" w:hAnsi="宋体" w:eastAsia="宋体" w:cs="宋体"/>
                <w:color w:val="000000"/>
                <w:kern w:val="0"/>
                <w:szCs w:val="21"/>
                <w:highlight w:val="none"/>
                <w:lang w:bidi="ar"/>
              </w:rPr>
              <w:t>附属单位上缴收入</w:t>
            </w:r>
          </w:p>
        </w:tc>
        <w:tc>
          <w:tcPr>
            <w:tcW w:w="1269"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Cs w:val="21"/>
                <w:highlight w:val="none"/>
              </w:rPr>
            </w:pPr>
            <w:r>
              <w:rPr>
                <w:rFonts w:hint="eastAsia" w:ascii="宋体" w:hAnsi="宋体" w:eastAsia="宋体" w:cs="宋体"/>
                <w:color w:val="000000"/>
                <w:kern w:val="0"/>
                <w:szCs w:val="21"/>
                <w:highlight w:val="none"/>
                <w:lang w:bidi="ar"/>
              </w:rPr>
              <w:t>其他收入</w:t>
            </w:r>
          </w:p>
        </w:tc>
      </w:tr>
      <w:tr>
        <w:tblPrEx>
          <w:tblCellMar>
            <w:top w:w="0" w:type="dxa"/>
            <w:left w:w="108" w:type="dxa"/>
            <w:bottom w:w="0" w:type="dxa"/>
            <w:right w:w="108" w:type="dxa"/>
          </w:tblCellMar>
        </w:tblPrEx>
        <w:trPr>
          <w:trHeight w:val="327" w:hRule="atLeast"/>
        </w:trPr>
        <w:tc>
          <w:tcPr>
            <w:tcW w:w="1584"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功能分类科目编码</w:t>
            </w:r>
          </w:p>
        </w:tc>
        <w:tc>
          <w:tcPr>
            <w:tcW w:w="2374" w:type="dxa"/>
            <w:gridSpan w:val="4"/>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科目名称</w:t>
            </w:r>
          </w:p>
        </w:tc>
        <w:tc>
          <w:tcPr>
            <w:tcW w:w="152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45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37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46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48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44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269"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r>
      <w:tr>
        <w:tblPrEx>
          <w:tblCellMar>
            <w:top w:w="0" w:type="dxa"/>
            <w:left w:w="108" w:type="dxa"/>
            <w:bottom w:w="0" w:type="dxa"/>
            <w:right w:w="108" w:type="dxa"/>
          </w:tblCellMar>
        </w:tblPrEx>
        <w:trPr>
          <w:trHeight w:val="327" w:hRule="atLeast"/>
        </w:trPr>
        <w:tc>
          <w:tcPr>
            <w:tcW w:w="1584"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2374" w:type="dxa"/>
            <w:gridSpan w:val="4"/>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52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45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37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46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48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44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269"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r>
      <w:tr>
        <w:tblPrEx>
          <w:tblCellMar>
            <w:top w:w="0" w:type="dxa"/>
            <w:left w:w="108" w:type="dxa"/>
            <w:bottom w:w="0" w:type="dxa"/>
            <w:right w:w="108" w:type="dxa"/>
          </w:tblCellMar>
        </w:tblPrEx>
        <w:trPr>
          <w:trHeight w:val="327" w:hRule="atLeast"/>
        </w:trPr>
        <w:tc>
          <w:tcPr>
            <w:tcW w:w="1584"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2374" w:type="dxa"/>
            <w:gridSpan w:val="4"/>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52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45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37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46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48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44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269"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r>
      <w:tr>
        <w:tblPrEx>
          <w:tblCellMar>
            <w:top w:w="0" w:type="dxa"/>
            <w:left w:w="108" w:type="dxa"/>
            <w:bottom w:w="0" w:type="dxa"/>
            <w:right w:w="108" w:type="dxa"/>
          </w:tblCellMar>
        </w:tblPrEx>
        <w:trPr>
          <w:trHeight w:val="327" w:hRule="atLeast"/>
        </w:trPr>
        <w:tc>
          <w:tcPr>
            <w:tcW w:w="3958" w:type="dxa"/>
            <w:gridSpan w:val="5"/>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栏次</w:t>
            </w:r>
          </w:p>
        </w:tc>
        <w:tc>
          <w:tcPr>
            <w:tcW w:w="152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1</w:t>
            </w:r>
          </w:p>
        </w:tc>
        <w:tc>
          <w:tcPr>
            <w:tcW w:w="145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2</w:t>
            </w:r>
          </w:p>
        </w:tc>
        <w:tc>
          <w:tcPr>
            <w:tcW w:w="137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3</w:t>
            </w:r>
          </w:p>
        </w:tc>
        <w:tc>
          <w:tcPr>
            <w:tcW w:w="146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4</w:t>
            </w:r>
          </w:p>
        </w:tc>
        <w:tc>
          <w:tcPr>
            <w:tcW w:w="148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5</w:t>
            </w:r>
          </w:p>
        </w:tc>
        <w:tc>
          <w:tcPr>
            <w:tcW w:w="144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6</w:t>
            </w:r>
          </w:p>
        </w:tc>
        <w:tc>
          <w:tcPr>
            <w:tcW w:w="126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7</w:t>
            </w:r>
          </w:p>
        </w:tc>
      </w:tr>
      <w:tr>
        <w:tblPrEx>
          <w:tblCellMar>
            <w:top w:w="0" w:type="dxa"/>
            <w:left w:w="108" w:type="dxa"/>
            <w:bottom w:w="0" w:type="dxa"/>
            <w:right w:w="108" w:type="dxa"/>
          </w:tblCellMar>
        </w:tblPrEx>
        <w:trPr>
          <w:trHeight w:val="961" w:hRule="atLeast"/>
        </w:trPr>
        <w:tc>
          <w:tcPr>
            <w:tcW w:w="3958" w:type="dxa"/>
            <w:gridSpan w:val="5"/>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合计</w:t>
            </w:r>
          </w:p>
        </w:tc>
        <w:tc>
          <w:tcPr>
            <w:tcW w:w="152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b/>
                <w:bCs/>
                <w:color w:val="000000"/>
                <w:sz w:val="22"/>
                <w:szCs w:val="22"/>
                <w:highlight w:val="none"/>
              </w:rPr>
            </w:pPr>
            <w:r>
              <w:rPr>
                <w:rFonts w:hint="eastAsia" w:ascii="宋体" w:hAnsi="宋体" w:eastAsia="宋体" w:cs="宋体"/>
                <w:b/>
                <w:bCs/>
                <w:color w:val="000000"/>
                <w:sz w:val="22"/>
                <w:szCs w:val="22"/>
                <w:highlight w:val="none"/>
              </w:rPr>
              <w:t>2195.79</w:t>
            </w:r>
          </w:p>
        </w:tc>
        <w:tc>
          <w:tcPr>
            <w:tcW w:w="14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b/>
                <w:bCs/>
                <w:color w:val="000000"/>
                <w:sz w:val="22"/>
                <w:szCs w:val="22"/>
                <w:highlight w:val="none"/>
              </w:rPr>
            </w:pPr>
            <w:r>
              <w:rPr>
                <w:rFonts w:hint="eastAsia" w:ascii="宋体" w:hAnsi="宋体" w:eastAsia="宋体" w:cs="宋体"/>
                <w:b/>
                <w:bCs/>
                <w:color w:val="000000"/>
                <w:sz w:val="22"/>
                <w:szCs w:val="22"/>
                <w:highlight w:val="none"/>
              </w:rPr>
              <w:t>2195.79</w:t>
            </w:r>
          </w:p>
        </w:tc>
        <w:tc>
          <w:tcPr>
            <w:tcW w:w="13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b/>
                <w:bCs/>
                <w:color w:val="000000"/>
                <w:sz w:val="22"/>
                <w:szCs w:val="22"/>
                <w:highlight w:val="none"/>
              </w:rPr>
            </w:pPr>
            <w:r>
              <w:rPr>
                <w:rFonts w:hint="eastAsia" w:ascii="宋体" w:hAnsi="宋体" w:eastAsia="宋体" w:cs="宋体"/>
                <w:b/>
                <w:bCs/>
                <w:color w:val="000000"/>
                <w:sz w:val="22"/>
                <w:szCs w:val="22"/>
                <w:highlight w:val="none"/>
              </w:rPr>
              <w:t>0.00</w:t>
            </w:r>
          </w:p>
        </w:tc>
        <w:tc>
          <w:tcPr>
            <w:tcW w:w="146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b/>
                <w:bCs/>
                <w:color w:val="000000"/>
                <w:sz w:val="22"/>
                <w:szCs w:val="22"/>
                <w:highlight w:val="none"/>
              </w:rPr>
            </w:pPr>
            <w:r>
              <w:rPr>
                <w:rFonts w:hint="eastAsia" w:ascii="宋体" w:hAnsi="宋体" w:eastAsia="宋体" w:cs="宋体"/>
                <w:b/>
                <w:bCs/>
                <w:color w:val="000000"/>
                <w:sz w:val="22"/>
                <w:szCs w:val="22"/>
                <w:highlight w:val="none"/>
              </w:rPr>
              <w:t>0.00</w:t>
            </w:r>
          </w:p>
        </w:tc>
        <w:tc>
          <w:tcPr>
            <w:tcW w:w="14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b/>
                <w:bCs/>
                <w:color w:val="000000"/>
                <w:sz w:val="22"/>
                <w:szCs w:val="22"/>
                <w:highlight w:val="none"/>
              </w:rPr>
            </w:pPr>
            <w:r>
              <w:rPr>
                <w:rFonts w:hint="eastAsia" w:ascii="宋体" w:hAnsi="宋体" w:eastAsia="宋体" w:cs="宋体"/>
                <w:b/>
                <w:bCs/>
                <w:color w:val="000000"/>
                <w:sz w:val="22"/>
                <w:szCs w:val="22"/>
                <w:highlight w:val="none"/>
              </w:rPr>
              <w:t>0.00</w:t>
            </w:r>
          </w:p>
        </w:tc>
        <w:tc>
          <w:tcPr>
            <w:tcW w:w="144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b/>
                <w:bCs/>
                <w:color w:val="000000"/>
                <w:sz w:val="22"/>
                <w:szCs w:val="22"/>
                <w:highlight w:val="none"/>
              </w:rPr>
            </w:pPr>
            <w:r>
              <w:rPr>
                <w:rFonts w:hint="eastAsia" w:ascii="宋体" w:hAnsi="宋体" w:eastAsia="宋体" w:cs="宋体"/>
                <w:b/>
                <w:bCs/>
                <w:color w:val="000000"/>
                <w:sz w:val="22"/>
                <w:szCs w:val="22"/>
                <w:highlight w:val="none"/>
              </w:rPr>
              <w:t>0.00</w:t>
            </w:r>
          </w:p>
        </w:tc>
        <w:tc>
          <w:tcPr>
            <w:tcW w:w="12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b/>
                <w:bCs/>
                <w:color w:val="000000"/>
                <w:sz w:val="22"/>
                <w:szCs w:val="22"/>
                <w:highlight w:val="none"/>
              </w:rPr>
            </w:pPr>
            <w:r>
              <w:rPr>
                <w:rFonts w:hint="eastAsia" w:ascii="宋体" w:hAnsi="宋体" w:eastAsia="宋体" w:cs="宋体"/>
                <w:b/>
                <w:bCs/>
                <w:color w:val="000000"/>
                <w:sz w:val="22"/>
                <w:szCs w:val="22"/>
                <w:highlight w:val="none"/>
              </w:rPr>
              <w:t>0.00</w:t>
            </w:r>
          </w:p>
        </w:tc>
      </w:tr>
      <w:tr>
        <w:tblPrEx>
          <w:tblCellMar>
            <w:top w:w="0" w:type="dxa"/>
            <w:left w:w="108" w:type="dxa"/>
            <w:bottom w:w="0" w:type="dxa"/>
            <w:right w:w="108" w:type="dxa"/>
          </w:tblCellMar>
        </w:tblPrEx>
        <w:trPr>
          <w:trHeight w:val="327" w:hRule="atLeast"/>
        </w:trPr>
        <w:tc>
          <w:tcPr>
            <w:tcW w:w="158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201</w:t>
            </w:r>
          </w:p>
        </w:tc>
        <w:tc>
          <w:tcPr>
            <w:tcW w:w="2374"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一般公共服务支出</w:t>
            </w:r>
          </w:p>
        </w:tc>
        <w:tc>
          <w:tcPr>
            <w:tcW w:w="152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18.19</w:t>
            </w:r>
          </w:p>
        </w:tc>
        <w:tc>
          <w:tcPr>
            <w:tcW w:w="14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18.19</w:t>
            </w:r>
          </w:p>
        </w:tc>
        <w:tc>
          <w:tcPr>
            <w:tcW w:w="13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46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4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44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2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27" w:hRule="atLeast"/>
        </w:trPr>
        <w:tc>
          <w:tcPr>
            <w:tcW w:w="158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20129</w:t>
            </w:r>
          </w:p>
        </w:tc>
        <w:tc>
          <w:tcPr>
            <w:tcW w:w="2374"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群众团体事务</w:t>
            </w:r>
          </w:p>
        </w:tc>
        <w:tc>
          <w:tcPr>
            <w:tcW w:w="152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18.19</w:t>
            </w:r>
          </w:p>
        </w:tc>
        <w:tc>
          <w:tcPr>
            <w:tcW w:w="14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18.19</w:t>
            </w:r>
          </w:p>
        </w:tc>
        <w:tc>
          <w:tcPr>
            <w:tcW w:w="13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46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4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44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2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27" w:hRule="atLeast"/>
        </w:trPr>
        <w:tc>
          <w:tcPr>
            <w:tcW w:w="158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2012999</w:t>
            </w:r>
          </w:p>
        </w:tc>
        <w:tc>
          <w:tcPr>
            <w:tcW w:w="2374"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 xml:space="preserve">  其他群众团体事务支出</w:t>
            </w:r>
          </w:p>
        </w:tc>
        <w:tc>
          <w:tcPr>
            <w:tcW w:w="152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18.19</w:t>
            </w:r>
          </w:p>
        </w:tc>
        <w:tc>
          <w:tcPr>
            <w:tcW w:w="14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18.19</w:t>
            </w:r>
          </w:p>
        </w:tc>
        <w:tc>
          <w:tcPr>
            <w:tcW w:w="13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46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4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44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2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27" w:hRule="atLeast"/>
        </w:trPr>
        <w:tc>
          <w:tcPr>
            <w:tcW w:w="158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205</w:t>
            </w:r>
          </w:p>
        </w:tc>
        <w:tc>
          <w:tcPr>
            <w:tcW w:w="2374"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教育支出</w:t>
            </w:r>
          </w:p>
        </w:tc>
        <w:tc>
          <w:tcPr>
            <w:tcW w:w="152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1747.36</w:t>
            </w:r>
          </w:p>
        </w:tc>
        <w:tc>
          <w:tcPr>
            <w:tcW w:w="14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1747.36</w:t>
            </w:r>
          </w:p>
        </w:tc>
        <w:tc>
          <w:tcPr>
            <w:tcW w:w="13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46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4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44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2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27" w:hRule="atLeast"/>
        </w:trPr>
        <w:tc>
          <w:tcPr>
            <w:tcW w:w="158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20502</w:t>
            </w:r>
          </w:p>
        </w:tc>
        <w:tc>
          <w:tcPr>
            <w:tcW w:w="2374"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普通教育</w:t>
            </w:r>
          </w:p>
        </w:tc>
        <w:tc>
          <w:tcPr>
            <w:tcW w:w="152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1747.36</w:t>
            </w:r>
          </w:p>
        </w:tc>
        <w:tc>
          <w:tcPr>
            <w:tcW w:w="14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1747.36</w:t>
            </w:r>
          </w:p>
        </w:tc>
        <w:tc>
          <w:tcPr>
            <w:tcW w:w="13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46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4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44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2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27" w:hRule="atLeast"/>
        </w:trPr>
        <w:tc>
          <w:tcPr>
            <w:tcW w:w="158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2050203</w:t>
            </w:r>
          </w:p>
        </w:tc>
        <w:tc>
          <w:tcPr>
            <w:tcW w:w="2374"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 xml:space="preserve">  初中教育</w:t>
            </w:r>
          </w:p>
        </w:tc>
        <w:tc>
          <w:tcPr>
            <w:tcW w:w="152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1732.18</w:t>
            </w:r>
          </w:p>
        </w:tc>
        <w:tc>
          <w:tcPr>
            <w:tcW w:w="14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1732.18</w:t>
            </w:r>
          </w:p>
        </w:tc>
        <w:tc>
          <w:tcPr>
            <w:tcW w:w="13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46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4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44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2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27" w:hRule="atLeast"/>
        </w:trPr>
        <w:tc>
          <w:tcPr>
            <w:tcW w:w="158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2050299</w:t>
            </w:r>
          </w:p>
        </w:tc>
        <w:tc>
          <w:tcPr>
            <w:tcW w:w="2374"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 xml:space="preserve">  其他普通教育支出</w:t>
            </w:r>
          </w:p>
        </w:tc>
        <w:tc>
          <w:tcPr>
            <w:tcW w:w="152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15.18</w:t>
            </w:r>
          </w:p>
        </w:tc>
        <w:tc>
          <w:tcPr>
            <w:tcW w:w="14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15.18</w:t>
            </w:r>
          </w:p>
        </w:tc>
        <w:tc>
          <w:tcPr>
            <w:tcW w:w="13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46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4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44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2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27" w:hRule="atLeast"/>
        </w:trPr>
        <w:tc>
          <w:tcPr>
            <w:tcW w:w="158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208</w:t>
            </w:r>
          </w:p>
        </w:tc>
        <w:tc>
          <w:tcPr>
            <w:tcW w:w="2374"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社会保障和就业支出</w:t>
            </w:r>
          </w:p>
        </w:tc>
        <w:tc>
          <w:tcPr>
            <w:tcW w:w="152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140.66</w:t>
            </w:r>
          </w:p>
        </w:tc>
        <w:tc>
          <w:tcPr>
            <w:tcW w:w="14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140.66</w:t>
            </w:r>
          </w:p>
        </w:tc>
        <w:tc>
          <w:tcPr>
            <w:tcW w:w="13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46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4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44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2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27" w:hRule="atLeast"/>
        </w:trPr>
        <w:tc>
          <w:tcPr>
            <w:tcW w:w="158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20805</w:t>
            </w:r>
          </w:p>
        </w:tc>
        <w:tc>
          <w:tcPr>
            <w:tcW w:w="2374"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行政事业单位养老支出</w:t>
            </w:r>
          </w:p>
        </w:tc>
        <w:tc>
          <w:tcPr>
            <w:tcW w:w="152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140.66</w:t>
            </w:r>
          </w:p>
        </w:tc>
        <w:tc>
          <w:tcPr>
            <w:tcW w:w="14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140.66</w:t>
            </w:r>
          </w:p>
        </w:tc>
        <w:tc>
          <w:tcPr>
            <w:tcW w:w="13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46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4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44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2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27" w:hRule="atLeast"/>
        </w:trPr>
        <w:tc>
          <w:tcPr>
            <w:tcW w:w="158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2080505</w:t>
            </w:r>
          </w:p>
        </w:tc>
        <w:tc>
          <w:tcPr>
            <w:tcW w:w="2374"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 xml:space="preserve">  机关事业单位基本养老保险缴费支出</w:t>
            </w:r>
          </w:p>
        </w:tc>
        <w:tc>
          <w:tcPr>
            <w:tcW w:w="152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140.66</w:t>
            </w:r>
          </w:p>
        </w:tc>
        <w:tc>
          <w:tcPr>
            <w:tcW w:w="14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140.66</w:t>
            </w:r>
          </w:p>
        </w:tc>
        <w:tc>
          <w:tcPr>
            <w:tcW w:w="13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46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4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44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2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27" w:hRule="atLeast"/>
        </w:trPr>
        <w:tc>
          <w:tcPr>
            <w:tcW w:w="158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221</w:t>
            </w:r>
          </w:p>
        </w:tc>
        <w:tc>
          <w:tcPr>
            <w:tcW w:w="2374"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住房保障支出</w:t>
            </w:r>
          </w:p>
        </w:tc>
        <w:tc>
          <w:tcPr>
            <w:tcW w:w="152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106.46</w:t>
            </w:r>
          </w:p>
        </w:tc>
        <w:tc>
          <w:tcPr>
            <w:tcW w:w="14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106.46</w:t>
            </w:r>
          </w:p>
        </w:tc>
        <w:tc>
          <w:tcPr>
            <w:tcW w:w="13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46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4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44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2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27" w:hRule="atLeast"/>
        </w:trPr>
        <w:tc>
          <w:tcPr>
            <w:tcW w:w="158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22102</w:t>
            </w:r>
          </w:p>
        </w:tc>
        <w:tc>
          <w:tcPr>
            <w:tcW w:w="2374"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住房改革支出</w:t>
            </w:r>
          </w:p>
        </w:tc>
        <w:tc>
          <w:tcPr>
            <w:tcW w:w="152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106.46</w:t>
            </w:r>
          </w:p>
        </w:tc>
        <w:tc>
          <w:tcPr>
            <w:tcW w:w="14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106.46</w:t>
            </w:r>
          </w:p>
        </w:tc>
        <w:tc>
          <w:tcPr>
            <w:tcW w:w="13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46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4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44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2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27" w:hRule="atLeast"/>
        </w:trPr>
        <w:tc>
          <w:tcPr>
            <w:tcW w:w="158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2210201</w:t>
            </w:r>
          </w:p>
        </w:tc>
        <w:tc>
          <w:tcPr>
            <w:tcW w:w="2374"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 xml:space="preserve">  住房公积金</w:t>
            </w:r>
          </w:p>
        </w:tc>
        <w:tc>
          <w:tcPr>
            <w:tcW w:w="152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106.46</w:t>
            </w:r>
          </w:p>
        </w:tc>
        <w:tc>
          <w:tcPr>
            <w:tcW w:w="14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106.46</w:t>
            </w:r>
          </w:p>
        </w:tc>
        <w:tc>
          <w:tcPr>
            <w:tcW w:w="13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46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4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44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2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27" w:hRule="atLeast"/>
        </w:trPr>
        <w:tc>
          <w:tcPr>
            <w:tcW w:w="158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229</w:t>
            </w:r>
          </w:p>
        </w:tc>
        <w:tc>
          <w:tcPr>
            <w:tcW w:w="2374"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其他支出</w:t>
            </w:r>
          </w:p>
        </w:tc>
        <w:tc>
          <w:tcPr>
            <w:tcW w:w="152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183.12</w:t>
            </w:r>
          </w:p>
        </w:tc>
        <w:tc>
          <w:tcPr>
            <w:tcW w:w="14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183.12</w:t>
            </w:r>
          </w:p>
        </w:tc>
        <w:tc>
          <w:tcPr>
            <w:tcW w:w="13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46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4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44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2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27" w:hRule="atLeast"/>
        </w:trPr>
        <w:tc>
          <w:tcPr>
            <w:tcW w:w="158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22999</w:t>
            </w:r>
          </w:p>
        </w:tc>
        <w:tc>
          <w:tcPr>
            <w:tcW w:w="2374"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其他支出</w:t>
            </w:r>
          </w:p>
        </w:tc>
        <w:tc>
          <w:tcPr>
            <w:tcW w:w="152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183.12</w:t>
            </w:r>
          </w:p>
        </w:tc>
        <w:tc>
          <w:tcPr>
            <w:tcW w:w="14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183.12</w:t>
            </w:r>
          </w:p>
        </w:tc>
        <w:tc>
          <w:tcPr>
            <w:tcW w:w="13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46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4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44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2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27" w:hRule="atLeast"/>
        </w:trPr>
        <w:tc>
          <w:tcPr>
            <w:tcW w:w="158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2299999</w:t>
            </w:r>
          </w:p>
        </w:tc>
        <w:tc>
          <w:tcPr>
            <w:tcW w:w="2374"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 xml:space="preserve">  其他支出</w:t>
            </w:r>
          </w:p>
        </w:tc>
        <w:tc>
          <w:tcPr>
            <w:tcW w:w="152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183.12</w:t>
            </w:r>
          </w:p>
        </w:tc>
        <w:tc>
          <w:tcPr>
            <w:tcW w:w="14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183.12</w:t>
            </w:r>
          </w:p>
        </w:tc>
        <w:tc>
          <w:tcPr>
            <w:tcW w:w="13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46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4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44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2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27" w:hRule="atLeast"/>
        </w:trPr>
        <w:tc>
          <w:tcPr>
            <w:tcW w:w="13960" w:type="dxa"/>
            <w:gridSpan w:val="12"/>
            <w:tcBorders>
              <w:top w:val="single" w:color="auto" w:sz="4" w:space="0"/>
              <w:left w:val="nil"/>
              <w:bottom w:val="nil"/>
              <w:right w:val="nil"/>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注：本表反映部门本年度取得的各项收入情况。</w:t>
            </w:r>
          </w:p>
        </w:tc>
      </w:tr>
    </w:tbl>
    <w:p>
      <w:pPr>
        <w:jc w:val="center"/>
        <w:rPr>
          <w:rFonts w:ascii="仿宋" w:hAnsi="仿宋" w:eastAsia="仿宋" w:cs="仿宋"/>
          <w:sz w:val="24"/>
          <w:highlight w:val="none"/>
        </w:rPr>
      </w:pPr>
    </w:p>
    <w:p>
      <w:pPr>
        <w:rPr>
          <w:rFonts w:ascii="仿宋" w:hAnsi="仿宋" w:eastAsia="仿宋" w:cs="仿宋"/>
          <w:sz w:val="24"/>
          <w:highlight w:val="none"/>
        </w:rPr>
      </w:pPr>
      <w:r>
        <w:rPr>
          <w:rFonts w:ascii="仿宋" w:hAnsi="仿宋" w:eastAsia="仿宋" w:cs="仿宋"/>
          <w:sz w:val="24"/>
          <w:highlight w:val="none"/>
        </w:rPr>
        <w:br w:type="page"/>
      </w:r>
    </w:p>
    <w:p>
      <w:pPr>
        <w:jc w:val="center"/>
        <w:rPr>
          <w:rFonts w:ascii="仿宋" w:hAnsi="仿宋" w:eastAsia="仿宋" w:cs="仿宋"/>
          <w:sz w:val="24"/>
          <w:highlight w:val="none"/>
        </w:rPr>
      </w:pPr>
    </w:p>
    <w:p>
      <w:pPr>
        <w:jc w:val="left"/>
        <w:rPr>
          <w:rFonts w:hint="eastAsia" w:ascii="仿宋" w:hAnsi="仿宋" w:eastAsia="仿宋" w:cs="仿宋"/>
          <w:sz w:val="24"/>
          <w:highlight w:val="none"/>
        </w:rPr>
      </w:pPr>
      <w:r>
        <w:rPr>
          <w:rFonts w:hint="eastAsia" w:ascii="仿宋" w:hAnsi="仿宋" w:eastAsia="仿宋" w:cs="仿宋"/>
          <w:sz w:val="24"/>
          <w:highlight w:val="none"/>
        </w:rPr>
        <w:t>表三：支出决算表</w:t>
      </w:r>
    </w:p>
    <w:p>
      <w:pPr>
        <w:jc w:val="left"/>
        <w:rPr>
          <w:rFonts w:hint="eastAsia" w:ascii="仿宋" w:hAnsi="仿宋" w:eastAsia="仿宋" w:cs="仿宋"/>
          <w:sz w:val="24"/>
          <w:highlight w:val="none"/>
        </w:rPr>
      </w:pPr>
    </w:p>
    <w:tbl>
      <w:tblPr>
        <w:tblStyle w:val="6"/>
        <w:tblW w:w="13980" w:type="dxa"/>
        <w:tblInd w:w="96" w:type="dxa"/>
        <w:tblLayout w:type="fixed"/>
        <w:tblCellMar>
          <w:top w:w="0" w:type="dxa"/>
          <w:left w:w="108" w:type="dxa"/>
          <w:bottom w:w="0" w:type="dxa"/>
          <w:right w:w="108" w:type="dxa"/>
        </w:tblCellMar>
      </w:tblPr>
      <w:tblGrid>
        <w:gridCol w:w="1142"/>
        <w:gridCol w:w="237"/>
        <w:gridCol w:w="239"/>
        <w:gridCol w:w="64"/>
        <w:gridCol w:w="2222"/>
        <w:gridCol w:w="1627"/>
        <w:gridCol w:w="1680"/>
        <w:gridCol w:w="1760"/>
        <w:gridCol w:w="1653"/>
        <w:gridCol w:w="1654"/>
        <w:gridCol w:w="1702"/>
      </w:tblGrid>
      <w:tr>
        <w:tblPrEx>
          <w:tblCellMar>
            <w:top w:w="0" w:type="dxa"/>
            <w:left w:w="108" w:type="dxa"/>
            <w:bottom w:w="0" w:type="dxa"/>
            <w:right w:w="108" w:type="dxa"/>
          </w:tblCellMar>
        </w:tblPrEx>
        <w:trPr>
          <w:trHeight w:val="623" w:hRule="atLeast"/>
        </w:trPr>
        <w:tc>
          <w:tcPr>
            <w:tcW w:w="13980" w:type="dxa"/>
            <w:gridSpan w:val="11"/>
            <w:tcBorders>
              <w:top w:val="nil"/>
              <w:left w:val="nil"/>
              <w:bottom w:val="nil"/>
              <w:right w:val="nil"/>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30"/>
                <w:szCs w:val="30"/>
                <w:highlight w:val="none"/>
              </w:rPr>
            </w:pPr>
            <w:r>
              <w:rPr>
                <w:rFonts w:hint="eastAsia" w:ascii="宋体" w:hAnsi="宋体" w:eastAsia="宋体" w:cs="宋体"/>
                <w:color w:val="000000"/>
                <w:kern w:val="0"/>
                <w:sz w:val="32"/>
                <w:szCs w:val="32"/>
                <w:highlight w:val="none"/>
                <w:lang w:bidi="ar"/>
              </w:rPr>
              <w:t>支出决算表</w:t>
            </w:r>
          </w:p>
        </w:tc>
      </w:tr>
      <w:tr>
        <w:trPr>
          <w:trHeight w:val="312" w:hRule="atLeast"/>
        </w:trPr>
        <w:tc>
          <w:tcPr>
            <w:tcW w:w="1142" w:type="dxa"/>
            <w:tcBorders>
              <w:top w:val="nil"/>
              <w:left w:val="nil"/>
              <w:bottom w:val="nil"/>
              <w:right w:val="nil"/>
            </w:tcBorders>
            <w:shd w:val="clear" w:color="auto" w:fill="auto"/>
            <w:noWrap/>
            <w:vAlign w:val="center"/>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237" w:type="dxa"/>
            <w:tcBorders>
              <w:top w:val="nil"/>
              <w:left w:val="nil"/>
              <w:bottom w:val="nil"/>
              <w:right w:val="nil"/>
            </w:tcBorders>
            <w:shd w:val="clear" w:color="auto" w:fill="auto"/>
            <w:noWrap/>
            <w:vAlign w:val="center"/>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303" w:type="dxa"/>
            <w:gridSpan w:val="2"/>
            <w:tcBorders>
              <w:top w:val="nil"/>
              <w:left w:val="nil"/>
              <w:bottom w:val="nil"/>
              <w:right w:val="nil"/>
            </w:tcBorders>
            <w:shd w:val="clear" w:color="auto" w:fill="auto"/>
            <w:noWrap/>
            <w:vAlign w:val="center"/>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2222" w:type="dxa"/>
            <w:tcBorders>
              <w:top w:val="nil"/>
              <w:left w:val="nil"/>
              <w:bottom w:val="nil"/>
              <w:right w:val="nil"/>
            </w:tcBorders>
            <w:shd w:val="clear" w:color="auto" w:fill="auto"/>
            <w:noWrap/>
            <w:vAlign w:val="center"/>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627" w:type="dxa"/>
            <w:tcBorders>
              <w:top w:val="nil"/>
              <w:left w:val="nil"/>
              <w:bottom w:val="nil"/>
              <w:right w:val="nil"/>
            </w:tcBorders>
            <w:shd w:val="clear" w:color="auto" w:fill="auto"/>
            <w:noWrap/>
            <w:vAlign w:val="center"/>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680" w:type="dxa"/>
            <w:tcBorders>
              <w:top w:val="nil"/>
              <w:left w:val="nil"/>
              <w:bottom w:val="nil"/>
              <w:right w:val="nil"/>
            </w:tcBorders>
            <w:shd w:val="clear" w:color="auto" w:fill="auto"/>
            <w:noWrap/>
            <w:vAlign w:val="center"/>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760" w:type="dxa"/>
            <w:tcBorders>
              <w:top w:val="nil"/>
              <w:left w:val="nil"/>
              <w:bottom w:val="nil"/>
              <w:right w:val="nil"/>
            </w:tcBorders>
            <w:shd w:val="clear" w:color="auto" w:fill="auto"/>
            <w:noWrap/>
            <w:vAlign w:val="center"/>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653" w:type="dxa"/>
            <w:tcBorders>
              <w:top w:val="nil"/>
              <w:left w:val="nil"/>
              <w:bottom w:val="nil"/>
              <w:right w:val="nil"/>
            </w:tcBorders>
            <w:shd w:val="clear" w:color="auto" w:fill="auto"/>
            <w:noWrap/>
            <w:vAlign w:val="center"/>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654" w:type="dxa"/>
            <w:tcBorders>
              <w:top w:val="nil"/>
              <w:left w:val="nil"/>
              <w:bottom w:val="nil"/>
              <w:right w:val="nil"/>
            </w:tcBorders>
            <w:shd w:val="clear" w:color="auto" w:fill="auto"/>
            <w:noWrap/>
            <w:vAlign w:val="center"/>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702" w:type="dxa"/>
            <w:tcBorders>
              <w:top w:val="nil"/>
              <w:left w:val="nil"/>
              <w:bottom w:val="nil"/>
              <w:right w:val="nil"/>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0"/>
                <w:szCs w:val="20"/>
                <w:highlight w:val="none"/>
              </w:rPr>
            </w:pPr>
            <w:r>
              <w:rPr>
                <w:rFonts w:hint="eastAsia" w:ascii="宋体" w:hAnsi="宋体" w:eastAsia="宋体" w:cs="宋体"/>
                <w:color w:val="000000"/>
                <w:kern w:val="0"/>
                <w:sz w:val="20"/>
                <w:szCs w:val="20"/>
                <w:highlight w:val="none"/>
                <w:lang w:bidi="ar"/>
              </w:rPr>
              <w:t>公开03表</w:t>
            </w:r>
          </w:p>
        </w:tc>
      </w:tr>
      <w:tr>
        <w:tblPrEx>
          <w:tblCellMar>
            <w:top w:w="0" w:type="dxa"/>
            <w:left w:w="108" w:type="dxa"/>
            <w:bottom w:w="0" w:type="dxa"/>
            <w:right w:w="108" w:type="dxa"/>
          </w:tblCellMar>
        </w:tblPrEx>
        <w:trPr>
          <w:trHeight w:val="312" w:hRule="atLeast"/>
        </w:trPr>
        <w:tc>
          <w:tcPr>
            <w:tcW w:w="8971" w:type="dxa"/>
            <w:gridSpan w:val="8"/>
            <w:tcBorders>
              <w:top w:val="nil"/>
              <w:left w:val="nil"/>
              <w:bottom w:val="single" w:color="auto" w:sz="4" w:space="0"/>
              <w:right w:val="nil"/>
            </w:tcBorders>
            <w:shd w:val="clear" w:color="auto" w:fill="auto"/>
            <w:noWrap/>
            <w:vAlign w:val="center"/>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r>
              <w:rPr>
                <w:rFonts w:hint="eastAsia" w:ascii="宋体" w:hAnsi="宋体" w:eastAsia="宋体" w:cs="宋体"/>
                <w:color w:val="000000"/>
                <w:kern w:val="0"/>
                <w:sz w:val="20"/>
                <w:szCs w:val="20"/>
                <w:highlight w:val="none"/>
                <w:lang w:bidi="ar"/>
              </w:rPr>
              <w:t>部门：</w:t>
            </w:r>
            <w:r>
              <w:rPr>
                <w:rFonts w:hint="default" w:ascii="宋体" w:hAnsi="宋体" w:eastAsia="宋体" w:cs="宋体"/>
                <w:color w:val="000000"/>
                <w:sz w:val="20"/>
                <w:u w:color="auto"/>
              </w:rPr>
              <w:t>环江毛南族自治县民族中学</w:t>
            </w:r>
          </w:p>
        </w:tc>
        <w:tc>
          <w:tcPr>
            <w:tcW w:w="1653" w:type="dxa"/>
            <w:tcBorders>
              <w:top w:val="nil"/>
              <w:left w:val="nil"/>
              <w:bottom w:val="single" w:color="auto" w:sz="4" w:space="0"/>
              <w:right w:val="nil"/>
            </w:tcBorders>
            <w:shd w:val="clear" w:color="auto" w:fill="auto"/>
            <w:noWrap/>
            <w:vAlign w:val="center"/>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654" w:type="dxa"/>
            <w:tcBorders>
              <w:top w:val="nil"/>
              <w:left w:val="nil"/>
              <w:bottom w:val="single" w:color="auto" w:sz="4" w:space="0"/>
              <w:right w:val="nil"/>
            </w:tcBorders>
            <w:shd w:val="clear" w:color="auto" w:fill="auto"/>
            <w:noWrap/>
            <w:vAlign w:val="center"/>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702" w:type="dxa"/>
            <w:tcBorders>
              <w:top w:val="nil"/>
              <w:left w:val="nil"/>
              <w:bottom w:val="single" w:color="auto" w:sz="4" w:space="0"/>
              <w:right w:val="nil"/>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0"/>
                <w:szCs w:val="20"/>
                <w:highlight w:val="none"/>
              </w:rPr>
            </w:pPr>
            <w:r>
              <w:rPr>
                <w:rFonts w:hint="eastAsia" w:ascii="宋体" w:hAnsi="宋体" w:eastAsia="宋体" w:cs="宋体"/>
                <w:color w:val="000000"/>
                <w:kern w:val="0"/>
                <w:sz w:val="20"/>
                <w:szCs w:val="20"/>
                <w:highlight w:val="none"/>
                <w:lang w:bidi="ar"/>
              </w:rPr>
              <w:t>金额单位：万元</w:t>
            </w:r>
          </w:p>
        </w:tc>
      </w:tr>
      <w:tr>
        <w:tblPrEx>
          <w:tblCellMar>
            <w:top w:w="0" w:type="dxa"/>
            <w:left w:w="108" w:type="dxa"/>
            <w:bottom w:w="0" w:type="dxa"/>
            <w:right w:w="108" w:type="dxa"/>
          </w:tblCellMar>
        </w:tblPrEx>
        <w:trPr>
          <w:trHeight w:val="322" w:hRule="atLeast"/>
        </w:trPr>
        <w:tc>
          <w:tcPr>
            <w:tcW w:w="3904" w:type="dxa"/>
            <w:gridSpan w:val="5"/>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项目</w:t>
            </w:r>
          </w:p>
        </w:tc>
        <w:tc>
          <w:tcPr>
            <w:tcW w:w="1627"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本年支出合计</w:t>
            </w:r>
          </w:p>
        </w:tc>
        <w:tc>
          <w:tcPr>
            <w:tcW w:w="1680"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基本支出</w:t>
            </w:r>
          </w:p>
        </w:tc>
        <w:tc>
          <w:tcPr>
            <w:tcW w:w="1760"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项目支出</w:t>
            </w:r>
          </w:p>
        </w:tc>
        <w:tc>
          <w:tcPr>
            <w:tcW w:w="1653"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上缴上级支出</w:t>
            </w:r>
          </w:p>
        </w:tc>
        <w:tc>
          <w:tcPr>
            <w:tcW w:w="1654"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经营支出</w:t>
            </w:r>
          </w:p>
        </w:tc>
        <w:tc>
          <w:tcPr>
            <w:tcW w:w="1702"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对附属单位补助支出</w:t>
            </w:r>
          </w:p>
        </w:tc>
      </w:tr>
      <w:tr>
        <w:tblPrEx>
          <w:tblCellMar>
            <w:top w:w="0" w:type="dxa"/>
            <w:left w:w="108" w:type="dxa"/>
            <w:bottom w:w="0" w:type="dxa"/>
            <w:right w:w="108" w:type="dxa"/>
          </w:tblCellMar>
        </w:tblPrEx>
        <w:trPr>
          <w:trHeight w:val="322" w:hRule="atLeast"/>
        </w:trPr>
        <w:tc>
          <w:tcPr>
            <w:tcW w:w="1618" w:type="dxa"/>
            <w:gridSpan w:val="3"/>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功能分类科目编码</w:t>
            </w:r>
          </w:p>
        </w:tc>
        <w:tc>
          <w:tcPr>
            <w:tcW w:w="2286" w:type="dxa"/>
            <w:gridSpan w:val="2"/>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科目名称</w:t>
            </w:r>
          </w:p>
        </w:tc>
        <w:tc>
          <w:tcPr>
            <w:tcW w:w="162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68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76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65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654"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70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r>
      <w:tr>
        <w:tblPrEx>
          <w:tblCellMar>
            <w:top w:w="0" w:type="dxa"/>
            <w:left w:w="108" w:type="dxa"/>
            <w:bottom w:w="0" w:type="dxa"/>
            <w:right w:w="108" w:type="dxa"/>
          </w:tblCellMar>
        </w:tblPrEx>
        <w:trPr>
          <w:trHeight w:val="465" w:hRule="atLeast"/>
        </w:trPr>
        <w:tc>
          <w:tcPr>
            <w:tcW w:w="1618" w:type="dxa"/>
            <w:gridSpan w:val="3"/>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2286" w:type="dxa"/>
            <w:gridSpan w:val="2"/>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62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68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76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65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654"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70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r>
      <w:tr>
        <w:tblPrEx>
          <w:tblCellMar>
            <w:top w:w="0" w:type="dxa"/>
            <w:left w:w="108" w:type="dxa"/>
            <w:bottom w:w="0" w:type="dxa"/>
            <w:right w:w="108" w:type="dxa"/>
          </w:tblCellMar>
        </w:tblPrEx>
        <w:trPr>
          <w:trHeight w:val="837" w:hRule="atLeast"/>
        </w:trPr>
        <w:tc>
          <w:tcPr>
            <w:tcW w:w="1618" w:type="dxa"/>
            <w:gridSpan w:val="3"/>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2286" w:type="dxa"/>
            <w:gridSpan w:val="2"/>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62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68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76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65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654"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70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r>
      <w:tr>
        <w:tblPrEx>
          <w:tblCellMar>
            <w:top w:w="0" w:type="dxa"/>
            <w:left w:w="108" w:type="dxa"/>
            <w:bottom w:w="0" w:type="dxa"/>
            <w:right w:w="108" w:type="dxa"/>
          </w:tblCellMar>
        </w:tblPrEx>
        <w:trPr>
          <w:trHeight w:val="322" w:hRule="atLeast"/>
        </w:trPr>
        <w:tc>
          <w:tcPr>
            <w:tcW w:w="3904" w:type="dxa"/>
            <w:gridSpan w:val="5"/>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栏次</w:t>
            </w:r>
          </w:p>
        </w:tc>
        <w:tc>
          <w:tcPr>
            <w:tcW w:w="162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1</w:t>
            </w:r>
          </w:p>
        </w:tc>
        <w:tc>
          <w:tcPr>
            <w:tcW w:w="168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2</w:t>
            </w:r>
          </w:p>
        </w:tc>
        <w:tc>
          <w:tcPr>
            <w:tcW w:w="176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3</w:t>
            </w:r>
          </w:p>
        </w:tc>
        <w:tc>
          <w:tcPr>
            <w:tcW w:w="165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4</w:t>
            </w:r>
          </w:p>
        </w:tc>
        <w:tc>
          <w:tcPr>
            <w:tcW w:w="165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5</w:t>
            </w:r>
          </w:p>
        </w:tc>
        <w:tc>
          <w:tcPr>
            <w:tcW w:w="170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6</w:t>
            </w:r>
          </w:p>
        </w:tc>
      </w:tr>
      <w:tr>
        <w:tblPrEx>
          <w:tblCellMar>
            <w:top w:w="0" w:type="dxa"/>
            <w:left w:w="108" w:type="dxa"/>
            <w:bottom w:w="0" w:type="dxa"/>
            <w:right w:w="108" w:type="dxa"/>
          </w:tblCellMar>
        </w:tblPrEx>
        <w:trPr>
          <w:trHeight w:val="633" w:hRule="atLeast"/>
        </w:trPr>
        <w:tc>
          <w:tcPr>
            <w:tcW w:w="3904" w:type="dxa"/>
            <w:gridSpan w:val="5"/>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合计</w:t>
            </w:r>
          </w:p>
        </w:tc>
        <w:tc>
          <w:tcPr>
            <w:tcW w:w="162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b/>
                <w:bCs/>
                <w:color w:val="000000"/>
                <w:sz w:val="22"/>
                <w:szCs w:val="22"/>
                <w:highlight w:val="none"/>
              </w:rPr>
            </w:pPr>
            <w:r>
              <w:rPr>
                <w:rFonts w:hint="default" w:ascii="宋体" w:hAnsi="宋体" w:eastAsia="宋体" w:cs="宋体"/>
                <w:b/>
                <w:bCs/>
                <w:color w:val="000000"/>
                <w:sz w:val="22"/>
                <w:szCs w:val="22"/>
                <w:highlight w:val="none"/>
              </w:rPr>
              <w:t>2195.79</w:t>
            </w:r>
          </w:p>
        </w:tc>
        <w:tc>
          <w:tcPr>
            <w:tcW w:w="16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b/>
                <w:bCs/>
                <w:color w:val="000000"/>
                <w:sz w:val="22"/>
                <w:szCs w:val="22"/>
                <w:highlight w:val="none"/>
              </w:rPr>
            </w:pPr>
            <w:r>
              <w:rPr>
                <w:rFonts w:hint="default" w:ascii="宋体" w:hAnsi="宋体" w:eastAsia="宋体" w:cs="宋体"/>
                <w:b/>
                <w:bCs/>
                <w:color w:val="000000"/>
                <w:sz w:val="22"/>
                <w:szCs w:val="22"/>
                <w:highlight w:val="none"/>
              </w:rPr>
              <w:t>1894.29</w:t>
            </w:r>
          </w:p>
        </w:tc>
        <w:tc>
          <w:tcPr>
            <w:tcW w:w="17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b/>
                <w:bCs/>
                <w:color w:val="000000"/>
                <w:sz w:val="22"/>
                <w:szCs w:val="22"/>
                <w:highlight w:val="none"/>
              </w:rPr>
            </w:pPr>
            <w:r>
              <w:rPr>
                <w:rFonts w:hint="eastAsia" w:ascii="宋体" w:hAnsi="宋体" w:eastAsia="宋体" w:cs="宋体"/>
                <w:b/>
                <w:bCs/>
                <w:color w:val="000000"/>
                <w:sz w:val="22"/>
                <w:szCs w:val="22"/>
                <w:highlight w:val="none"/>
              </w:rPr>
              <w:t>301.50</w:t>
            </w:r>
          </w:p>
        </w:tc>
        <w:tc>
          <w:tcPr>
            <w:tcW w:w="16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b/>
                <w:bCs/>
                <w:color w:val="000000"/>
                <w:sz w:val="22"/>
                <w:szCs w:val="22"/>
                <w:highlight w:val="none"/>
              </w:rPr>
            </w:pPr>
            <w:r>
              <w:rPr>
                <w:rFonts w:hint="eastAsia" w:ascii="宋体" w:hAnsi="宋体" w:eastAsia="宋体" w:cs="宋体"/>
                <w:b/>
                <w:bCs/>
                <w:color w:val="000000"/>
                <w:sz w:val="22"/>
                <w:szCs w:val="22"/>
                <w:highlight w:val="none"/>
              </w:rPr>
              <w:t>0.00</w:t>
            </w:r>
          </w:p>
        </w:tc>
        <w:tc>
          <w:tcPr>
            <w:tcW w:w="165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b/>
                <w:bCs/>
                <w:color w:val="000000"/>
                <w:sz w:val="22"/>
                <w:szCs w:val="22"/>
                <w:highlight w:val="none"/>
              </w:rPr>
            </w:pPr>
            <w:r>
              <w:rPr>
                <w:rFonts w:hint="eastAsia" w:ascii="宋体" w:hAnsi="宋体" w:eastAsia="宋体" w:cs="宋体"/>
                <w:b/>
                <w:bCs/>
                <w:color w:val="000000"/>
                <w:sz w:val="22"/>
                <w:szCs w:val="22"/>
                <w:highlight w:val="none"/>
              </w:rPr>
              <w:t>0.00</w:t>
            </w:r>
          </w:p>
        </w:tc>
        <w:tc>
          <w:tcPr>
            <w:tcW w:w="17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b/>
                <w:bCs/>
                <w:color w:val="000000"/>
                <w:sz w:val="22"/>
                <w:szCs w:val="22"/>
                <w:highlight w:val="none"/>
              </w:rPr>
            </w:pPr>
            <w:r>
              <w:rPr>
                <w:rFonts w:hint="default" w:ascii="宋体" w:hAnsi="宋体" w:eastAsia="宋体" w:cs="宋体"/>
                <w:b/>
                <w:bCs/>
                <w:color w:val="000000"/>
                <w:sz w:val="22"/>
                <w:szCs w:val="22"/>
                <w:highlight w:val="none"/>
              </w:rPr>
              <w:t>0.00</w:t>
            </w:r>
          </w:p>
        </w:tc>
      </w:tr>
      <w:tr>
        <w:tblPrEx>
          <w:tblCellMar>
            <w:top w:w="0" w:type="dxa"/>
            <w:left w:w="108" w:type="dxa"/>
            <w:bottom w:w="0" w:type="dxa"/>
            <w:right w:w="108" w:type="dxa"/>
          </w:tblCellMar>
        </w:tblPrEx>
        <w:trPr>
          <w:trHeight w:val="322" w:hRule="atLeast"/>
        </w:trPr>
        <w:tc>
          <w:tcPr>
            <w:tcW w:w="1618"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201</w:t>
            </w:r>
          </w:p>
        </w:tc>
        <w:tc>
          <w:tcPr>
            <w:tcW w:w="2286"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一般公共服务支出</w:t>
            </w:r>
          </w:p>
        </w:tc>
        <w:tc>
          <w:tcPr>
            <w:tcW w:w="162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18.19</w:t>
            </w:r>
          </w:p>
        </w:tc>
        <w:tc>
          <w:tcPr>
            <w:tcW w:w="16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18.19</w:t>
            </w:r>
          </w:p>
        </w:tc>
        <w:tc>
          <w:tcPr>
            <w:tcW w:w="17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6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0.00</w:t>
            </w:r>
          </w:p>
        </w:tc>
        <w:tc>
          <w:tcPr>
            <w:tcW w:w="165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7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22" w:hRule="atLeast"/>
        </w:trPr>
        <w:tc>
          <w:tcPr>
            <w:tcW w:w="1618"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20129</w:t>
            </w:r>
          </w:p>
        </w:tc>
        <w:tc>
          <w:tcPr>
            <w:tcW w:w="2286"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群众团体事务</w:t>
            </w:r>
          </w:p>
        </w:tc>
        <w:tc>
          <w:tcPr>
            <w:tcW w:w="162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18.19</w:t>
            </w:r>
          </w:p>
        </w:tc>
        <w:tc>
          <w:tcPr>
            <w:tcW w:w="16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18.19</w:t>
            </w:r>
          </w:p>
        </w:tc>
        <w:tc>
          <w:tcPr>
            <w:tcW w:w="17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6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0.00</w:t>
            </w:r>
          </w:p>
        </w:tc>
        <w:tc>
          <w:tcPr>
            <w:tcW w:w="165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7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22" w:hRule="atLeast"/>
        </w:trPr>
        <w:tc>
          <w:tcPr>
            <w:tcW w:w="1618"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2012999</w:t>
            </w:r>
          </w:p>
        </w:tc>
        <w:tc>
          <w:tcPr>
            <w:tcW w:w="2286"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 xml:space="preserve">  其他群众团体事务支出</w:t>
            </w:r>
          </w:p>
        </w:tc>
        <w:tc>
          <w:tcPr>
            <w:tcW w:w="162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18.19</w:t>
            </w:r>
          </w:p>
        </w:tc>
        <w:tc>
          <w:tcPr>
            <w:tcW w:w="16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18.19</w:t>
            </w:r>
          </w:p>
        </w:tc>
        <w:tc>
          <w:tcPr>
            <w:tcW w:w="17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6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0.00</w:t>
            </w:r>
          </w:p>
        </w:tc>
        <w:tc>
          <w:tcPr>
            <w:tcW w:w="165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7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22" w:hRule="atLeast"/>
        </w:trPr>
        <w:tc>
          <w:tcPr>
            <w:tcW w:w="1618"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205</w:t>
            </w:r>
          </w:p>
        </w:tc>
        <w:tc>
          <w:tcPr>
            <w:tcW w:w="2286"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教育支出</w:t>
            </w:r>
          </w:p>
        </w:tc>
        <w:tc>
          <w:tcPr>
            <w:tcW w:w="162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1747.36</w:t>
            </w:r>
          </w:p>
        </w:tc>
        <w:tc>
          <w:tcPr>
            <w:tcW w:w="16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1628.98</w:t>
            </w:r>
          </w:p>
        </w:tc>
        <w:tc>
          <w:tcPr>
            <w:tcW w:w="17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118.38</w:t>
            </w:r>
          </w:p>
        </w:tc>
        <w:tc>
          <w:tcPr>
            <w:tcW w:w="16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0.00</w:t>
            </w:r>
          </w:p>
        </w:tc>
        <w:tc>
          <w:tcPr>
            <w:tcW w:w="165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7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rPr>
          <w:trHeight w:val="322" w:hRule="atLeast"/>
        </w:trPr>
        <w:tc>
          <w:tcPr>
            <w:tcW w:w="1618"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20502</w:t>
            </w:r>
          </w:p>
        </w:tc>
        <w:tc>
          <w:tcPr>
            <w:tcW w:w="2286"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普通教育</w:t>
            </w:r>
          </w:p>
        </w:tc>
        <w:tc>
          <w:tcPr>
            <w:tcW w:w="162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1747.36</w:t>
            </w:r>
          </w:p>
        </w:tc>
        <w:tc>
          <w:tcPr>
            <w:tcW w:w="16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1628.98</w:t>
            </w:r>
          </w:p>
        </w:tc>
        <w:tc>
          <w:tcPr>
            <w:tcW w:w="17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118.38</w:t>
            </w:r>
          </w:p>
        </w:tc>
        <w:tc>
          <w:tcPr>
            <w:tcW w:w="16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0.00</w:t>
            </w:r>
          </w:p>
        </w:tc>
        <w:tc>
          <w:tcPr>
            <w:tcW w:w="165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7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22" w:hRule="atLeast"/>
        </w:trPr>
        <w:tc>
          <w:tcPr>
            <w:tcW w:w="1618"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2050203</w:t>
            </w:r>
          </w:p>
        </w:tc>
        <w:tc>
          <w:tcPr>
            <w:tcW w:w="2286"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 xml:space="preserve">  初中教育</w:t>
            </w:r>
          </w:p>
        </w:tc>
        <w:tc>
          <w:tcPr>
            <w:tcW w:w="162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1732.18</w:t>
            </w:r>
          </w:p>
        </w:tc>
        <w:tc>
          <w:tcPr>
            <w:tcW w:w="16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1620.23</w:t>
            </w:r>
          </w:p>
        </w:tc>
        <w:tc>
          <w:tcPr>
            <w:tcW w:w="17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111.95</w:t>
            </w:r>
          </w:p>
        </w:tc>
        <w:tc>
          <w:tcPr>
            <w:tcW w:w="16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0.00</w:t>
            </w:r>
          </w:p>
        </w:tc>
        <w:tc>
          <w:tcPr>
            <w:tcW w:w="165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7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rPr>
          <w:trHeight w:val="322" w:hRule="atLeast"/>
        </w:trPr>
        <w:tc>
          <w:tcPr>
            <w:tcW w:w="1618"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2050299</w:t>
            </w:r>
          </w:p>
        </w:tc>
        <w:tc>
          <w:tcPr>
            <w:tcW w:w="2286"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 xml:space="preserve">  其他普通教育支出</w:t>
            </w:r>
          </w:p>
        </w:tc>
        <w:tc>
          <w:tcPr>
            <w:tcW w:w="162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15.18</w:t>
            </w:r>
          </w:p>
        </w:tc>
        <w:tc>
          <w:tcPr>
            <w:tcW w:w="16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8.75</w:t>
            </w:r>
          </w:p>
        </w:tc>
        <w:tc>
          <w:tcPr>
            <w:tcW w:w="17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6.43</w:t>
            </w:r>
          </w:p>
        </w:tc>
        <w:tc>
          <w:tcPr>
            <w:tcW w:w="16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0.00</w:t>
            </w:r>
          </w:p>
        </w:tc>
        <w:tc>
          <w:tcPr>
            <w:tcW w:w="165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7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22" w:hRule="atLeast"/>
        </w:trPr>
        <w:tc>
          <w:tcPr>
            <w:tcW w:w="1618"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208</w:t>
            </w:r>
          </w:p>
        </w:tc>
        <w:tc>
          <w:tcPr>
            <w:tcW w:w="2286"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社会保障和就业支出</w:t>
            </w:r>
          </w:p>
        </w:tc>
        <w:tc>
          <w:tcPr>
            <w:tcW w:w="162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140.66</w:t>
            </w:r>
          </w:p>
        </w:tc>
        <w:tc>
          <w:tcPr>
            <w:tcW w:w="16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140.66</w:t>
            </w:r>
          </w:p>
        </w:tc>
        <w:tc>
          <w:tcPr>
            <w:tcW w:w="17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6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0.00</w:t>
            </w:r>
          </w:p>
        </w:tc>
        <w:tc>
          <w:tcPr>
            <w:tcW w:w="165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7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22" w:hRule="atLeast"/>
        </w:trPr>
        <w:tc>
          <w:tcPr>
            <w:tcW w:w="1618"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20805</w:t>
            </w:r>
          </w:p>
        </w:tc>
        <w:tc>
          <w:tcPr>
            <w:tcW w:w="2286"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行政事业单位养老支出</w:t>
            </w:r>
          </w:p>
        </w:tc>
        <w:tc>
          <w:tcPr>
            <w:tcW w:w="162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140.66</w:t>
            </w:r>
          </w:p>
        </w:tc>
        <w:tc>
          <w:tcPr>
            <w:tcW w:w="16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140.66</w:t>
            </w:r>
          </w:p>
        </w:tc>
        <w:tc>
          <w:tcPr>
            <w:tcW w:w="17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6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0.00</w:t>
            </w:r>
          </w:p>
        </w:tc>
        <w:tc>
          <w:tcPr>
            <w:tcW w:w="165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7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22" w:hRule="atLeast"/>
        </w:trPr>
        <w:tc>
          <w:tcPr>
            <w:tcW w:w="1618"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2080505</w:t>
            </w:r>
          </w:p>
        </w:tc>
        <w:tc>
          <w:tcPr>
            <w:tcW w:w="2286"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 xml:space="preserve">  机关事业单位基本养老保险缴费支出</w:t>
            </w:r>
          </w:p>
        </w:tc>
        <w:tc>
          <w:tcPr>
            <w:tcW w:w="162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140.66</w:t>
            </w:r>
          </w:p>
        </w:tc>
        <w:tc>
          <w:tcPr>
            <w:tcW w:w="16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140.66</w:t>
            </w:r>
          </w:p>
        </w:tc>
        <w:tc>
          <w:tcPr>
            <w:tcW w:w="17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6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0.00</w:t>
            </w:r>
          </w:p>
        </w:tc>
        <w:tc>
          <w:tcPr>
            <w:tcW w:w="165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7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rPr>
          <w:trHeight w:val="322" w:hRule="atLeast"/>
        </w:trPr>
        <w:tc>
          <w:tcPr>
            <w:tcW w:w="1618"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221</w:t>
            </w:r>
          </w:p>
        </w:tc>
        <w:tc>
          <w:tcPr>
            <w:tcW w:w="2286"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住房保障支出</w:t>
            </w:r>
          </w:p>
        </w:tc>
        <w:tc>
          <w:tcPr>
            <w:tcW w:w="162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106.46</w:t>
            </w:r>
          </w:p>
        </w:tc>
        <w:tc>
          <w:tcPr>
            <w:tcW w:w="16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106.46</w:t>
            </w:r>
          </w:p>
        </w:tc>
        <w:tc>
          <w:tcPr>
            <w:tcW w:w="17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6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0.00</w:t>
            </w:r>
          </w:p>
        </w:tc>
        <w:tc>
          <w:tcPr>
            <w:tcW w:w="165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7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22" w:hRule="atLeast"/>
        </w:trPr>
        <w:tc>
          <w:tcPr>
            <w:tcW w:w="1618"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22102</w:t>
            </w:r>
          </w:p>
        </w:tc>
        <w:tc>
          <w:tcPr>
            <w:tcW w:w="2286"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住房改革支出</w:t>
            </w:r>
          </w:p>
        </w:tc>
        <w:tc>
          <w:tcPr>
            <w:tcW w:w="162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106.46</w:t>
            </w:r>
          </w:p>
        </w:tc>
        <w:tc>
          <w:tcPr>
            <w:tcW w:w="16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106.46</w:t>
            </w:r>
          </w:p>
        </w:tc>
        <w:tc>
          <w:tcPr>
            <w:tcW w:w="17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6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0.00</w:t>
            </w:r>
          </w:p>
        </w:tc>
        <w:tc>
          <w:tcPr>
            <w:tcW w:w="165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7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22" w:hRule="atLeast"/>
        </w:trPr>
        <w:tc>
          <w:tcPr>
            <w:tcW w:w="1618"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2210201</w:t>
            </w:r>
          </w:p>
        </w:tc>
        <w:tc>
          <w:tcPr>
            <w:tcW w:w="2286"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 xml:space="preserve">  住房公积金</w:t>
            </w:r>
          </w:p>
        </w:tc>
        <w:tc>
          <w:tcPr>
            <w:tcW w:w="162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106.46</w:t>
            </w:r>
          </w:p>
        </w:tc>
        <w:tc>
          <w:tcPr>
            <w:tcW w:w="16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106.46</w:t>
            </w:r>
          </w:p>
        </w:tc>
        <w:tc>
          <w:tcPr>
            <w:tcW w:w="17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6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0.00</w:t>
            </w:r>
          </w:p>
        </w:tc>
        <w:tc>
          <w:tcPr>
            <w:tcW w:w="165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7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22" w:hRule="atLeast"/>
        </w:trPr>
        <w:tc>
          <w:tcPr>
            <w:tcW w:w="1618"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229</w:t>
            </w:r>
          </w:p>
        </w:tc>
        <w:tc>
          <w:tcPr>
            <w:tcW w:w="2286"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其他支出</w:t>
            </w:r>
          </w:p>
        </w:tc>
        <w:tc>
          <w:tcPr>
            <w:tcW w:w="162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183.12</w:t>
            </w:r>
          </w:p>
        </w:tc>
        <w:tc>
          <w:tcPr>
            <w:tcW w:w="16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0.00</w:t>
            </w:r>
          </w:p>
        </w:tc>
        <w:tc>
          <w:tcPr>
            <w:tcW w:w="17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183.12</w:t>
            </w:r>
          </w:p>
        </w:tc>
        <w:tc>
          <w:tcPr>
            <w:tcW w:w="16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0.00</w:t>
            </w:r>
          </w:p>
        </w:tc>
        <w:tc>
          <w:tcPr>
            <w:tcW w:w="165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7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rPr>
          <w:trHeight w:val="322" w:hRule="atLeast"/>
        </w:trPr>
        <w:tc>
          <w:tcPr>
            <w:tcW w:w="1618"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22999</w:t>
            </w:r>
          </w:p>
        </w:tc>
        <w:tc>
          <w:tcPr>
            <w:tcW w:w="2286"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其他支出</w:t>
            </w:r>
          </w:p>
        </w:tc>
        <w:tc>
          <w:tcPr>
            <w:tcW w:w="162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183.12</w:t>
            </w:r>
          </w:p>
        </w:tc>
        <w:tc>
          <w:tcPr>
            <w:tcW w:w="16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0.00</w:t>
            </w:r>
          </w:p>
        </w:tc>
        <w:tc>
          <w:tcPr>
            <w:tcW w:w="17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183.12</w:t>
            </w:r>
          </w:p>
        </w:tc>
        <w:tc>
          <w:tcPr>
            <w:tcW w:w="16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0.00</w:t>
            </w:r>
          </w:p>
        </w:tc>
        <w:tc>
          <w:tcPr>
            <w:tcW w:w="165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7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22" w:hRule="atLeast"/>
        </w:trPr>
        <w:tc>
          <w:tcPr>
            <w:tcW w:w="1618"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2299999</w:t>
            </w:r>
          </w:p>
        </w:tc>
        <w:tc>
          <w:tcPr>
            <w:tcW w:w="2286"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 xml:space="preserve">  其他支出</w:t>
            </w:r>
          </w:p>
        </w:tc>
        <w:tc>
          <w:tcPr>
            <w:tcW w:w="162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183.12</w:t>
            </w:r>
          </w:p>
        </w:tc>
        <w:tc>
          <w:tcPr>
            <w:tcW w:w="16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0.00</w:t>
            </w:r>
          </w:p>
        </w:tc>
        <w:tc>
          <w:tcPr>
            <w:tcW w:w="17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183.12</w:t>
            </w:r>
          </w:p>
        </w:tc>
        <w:tc>
          <w:tcPr>
            <w:tcW w:w="16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0.00</w:t>
            </w:r>
          </w:p>
        </w:tc>
        <w:tc>
          <w:tcPr>
            <w:tcW w:w="165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7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22" w:hRule="atLeast"/>
        </w:trPr>
        <w:tc>
          <w:tcPr>
            <w:tcW w:w="13980" w:type="dxa"/>
            <w:gridSpan w:val="11"/>
            <w:tcBorders>
              <w:top w:val="single" w:color="auto" w:sz="4" w:space="0"/>
              <w:left w:val="nil"/>
              <w:bottom w:val="nil"/>
              <w:right w:val="nil"/>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注：本表反映部门本年度各项支出情况。</w:t>
            </w:r>
          </w:p>
        </w:tc>
      </w:tr>
    </w:tbl>
    <w:p>
      <w:pPr>
        <w:rPr>
          <w:rFonts w:ascii="仿宋" w:hAnsi="仿宋" w:eastAsia="仿宋" w:cs="仿宋"/>
          <w:sz w:val="24"/>
          <w:highlight w:val="none"/>
        </w:rPr>
      </w:pPr>
      <w:r>
        <w:rPr>
          <w:rFonts w:ascii="仿宋" w:hAnsi="仿宋" w:eastAsia="仿宋" w:cs="仿宋"/>
          <w:sz w:val="24"/>
          <w:highlight w:val="none"/>
        </w:rPr>
        <w:br w:type="page"/>
      </w:r>
    </w:p>
    <w:p>
      <w:pPr>
        <w:jc w:val="center"/>
        <w:rPr>
          <w:rFonts w:ascii="仿宋" w:hAnsi="仿宋" w:eastAsia="仿宋" w:cs="仿宋"/>
          <w:sz w:val="24"/>
          <w:highlight w:val="none"/>
        </w:rPr>
      </w:pPr>
    </w:p>
    <w:p>
      <w:pPr>
        <w:jc w:val="left"/>
        <w:rPr>
          <w:rFonts w:hint="eastAsia" w:ascii="仿宋" w:hAnsi="仿宋" w:eastAsia="仿宋" w:cs="仿宋"/>
          <w:sz w:val="24"/>
          <w:highlight w:val="none"/>
        </w:rPr>
      </w:pPr>
      <w:r>
        <w:rPr>
          <w:rFonts w:hint="eastAsia" w:ascii="仿宋" w:hAnsi="仿宋" w:eastAsia="仿宋" w:cs="仿宋"/>
          <w:sz w:val="24"/>
          <w:highlight w:val="none"/>
        </w:rPr>
        <w:t>表四：财政拨款收入支出决算总表</w:t>
      </w:r>
    </w:p>
    <w:p>
      <w:pPr>
        <w:jc w:val="left"/>
        <w:rPr>
          <w:rFonts w:hint="eastAsia" w:ascii="仿宋" w:hAnsi="仿宋" w:eastAsia="仿宋" w:cs="仿宋"/>
          <w:sz w:val="24"/>
          <w:highlight w:val="none"/>
        </w:rPr>
      </w:pPr>
    </w:p>
    <w:tbl>
      <w:tblPr>
        <w:tblStyle w:val="6"/>
        <w:tblW w:w="4966" w:type="pct"/>
        <w:tblInd w:w="0" w:type="dxa"/>
        <w:tblLayout w:type="fixed"/>
        <w:tblCellMar>
          <w:top w:w="0" w:type="dxa"/>
          <w:left w:w="108" w:type="dxa"/>
          <w:bottom w:w="0" w:type="dxa"/>
          <w:right w:w="108" w:type="dxa"/>
        </w:tblCellMar>
      </w:tblPr>
      <w:tblGrid>
        <w:gridCol w:w="2214"/>
        <w:gridCol w:w="785"/>
        <w:gridCol w:w="1307"/>
        <w:gridCol w:w="2360"/>
        <w:gridCol w:w="853"/>
        <w:gridCol w:w="1088"/>
        <w:gridCol w:w="1773"/>
        <w:gridCol w:w="1803"/>
        <w:gridCol w:w="1894"/>
      </w:tblGrid>
      <w:tr>
        <w:tblPrEx>
          <w:tblCellMar>
            <w:top w:w="0" w:type="dxa"/>
            <w:left w:w="108" w:type="dxa"/>
            <w:bottom w:w="0" w:type="dxa"/>
            <w:right w:w="108" w:type="dxa"/>
          </w:tblCellMar>
        </w:tblPrEx>
        <w:trPr>
          <w:trHeight w:val="520" w:hRule="atLeast"/>
        </w:trPr>
        <w:tc>
          <w:tcPr>
            <w:tcW w:w="5000" w:type="pct"/>
            <w:gridSpan w:val="9"/>
            <w:tcBorders>
              <w:top w:val="nil"/>
              <w:left w:val="nil"/>
              <w:bottom w:val="nil"/>
              <w:right w:val="nil"/>
            </w:tcBorders>
            <w:shd w:val="clear" w:color="auto" w:fill="auto"/>
            <w:noWrap/>
            <w:vAlign w:val="bottom"/>
          </w:tcPr>
          <w:p>
            <w:pPr>
              <w:keepNext w:val="0"/>
              <w:keepLines w:val="0"/>
              <w:widowControl/>
              <w:suppressLineNumbers w:val="0"/>
              <w:spacing w:before="0" w:beforeAutospacing="0" w:after="0" w:afterAutospacing="0"/>
              <w:ind w:left="0" w:right="0"/>
              <w:jc w:val="center"/>
              <w:textAlignment w:val="bottom"/>
              <w:rPr>
                <w:rFonts w:hint="default" w:ascii="宋体" w:hAnsi="宋体" w:eastAsia="宋体" w:cs="宋体"/>
                <w:color w:val="000000"/>
                <w:sz w:val="30"/>
                <w:szCs w:val="30"/>
                <w:highlight w:val="none"/>
              </w:rPr>
            </w:pPr>
            <w:r>
              <w:rPr>
                <w:rFonts w:hint="eastAsia" w:ascii="宋体" w:hAnsi="宋体" w:eastAsia="宋体" w:cs="宋体"/>
                <w:color w:val="000000"/>
                <w:kern w:val="0"/>
                <w:sz w:val="32"/>
                <w:szCs w:val="32"/>
                <w:highlight w:val="none"/>
                <w:lang w:bidi="ar"/>
              </w:rPr>
              <w:t>财政拨款收入支出决算总表</w:t>
            </w:r>
          </w:p>
        </w:tc>
      </w:tr>
      <w:tr>
        <w:tblPrEx>
          <w:tblCellMar>
            <w:top w:w="0" w:type="dxa"/>
            <w:left w:w="108" w:type="dxa"/>
            <w:bottom w:w="0" w:type="dxa"/>
            <w:right w:w="108" w:type="dxa"/>
          </w:tblCellMar>
        </w:tblPrEx>
        <w:trPr>
          <w:trHeight w:val="260" w:hRule="atLeast"/>
        </w:trPr>
        <w:tc>
          <w:tcPr>
            <w:tcW w:w="786" w:type="pct"/>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279" w:type="pct"/>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464" w:type="pct"/>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838" w:type="pct"/>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302" w:type="pct"/>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386" w:type="pct"/>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629" w:type="pct"/>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640" w:type="pct"/>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672" w:type="pct"/>
            <w:tcBorders>
              <w:top w:val="nil"/>
              <w:left w:val="nil"/>
              <w:bottom w:val="nil"/>
              <w:right w:val="nil"/>
            </w:tcBorders>
            <w:shd w:val="clear" w:color="auto" w:fill="auto"/>
            <w:noWrap/>
            <w:vAlign w:val="bottom"/>
          </w:tcPr>
          <w:p>
            <w:pPr>
              <w:keepNext w:val="0"/>
              <w:keepLines w:val="0"/>
              <w:widowControl/>
              <w:suppressLineNumbers w:val="0"/>
              <w:spacing w:before="0" w:beforeAutospacing="0" w:after="0" w:afterAutospacing="0"/>
              <w:ind w:left="0" w:right="0"/>
              <w:jc w:val="right"/>
              <w:textAlignment w:val="bottom"/>
              <w:rPr>
                <w:rFonts w:hint="default" w:ascii="宋体" w:hAnsi="宋体" w:eastAsia="宋体" w:cs="宋体"/>
                <w:color w:val="000000"/>
                <w:sz w:val="20"/>
                <w:szCs w:val="20"/>
                <w:highlight w:val="none"/>
              </w:rPr>
            </w:pPr>
            <w:r>
              <w:rPr>
                <w:rFonts w:hint="eastAsia" w:ascii="宋体" w:hAnsi="宋体" w:eastAsia="宋体" w:cs="宋体"/>
                <w:color w:val="000000"/>
                <w:kern w:val="0"/>
                <w:sz w:val="20"/>
                <w:szCs w:val="20"/>
                <w:highlight w:val="none"/>
                <w:lang w:bidi="ar"/>
              </w:rPr>
              <w:t>公开04表</w:t>
            </w:r>
          </w:p>
        </w:tc>
      </w:tr>
      <w:tr>
        <w:tblPrEx>
          <w:tblCellMar>
            <w:top w:w="0" w:type="dxa"/>
            <w:left w:w="108" w:type="dxa"/>
            <w:bottom w:w="0" w:type="dxa"/>
            <w:right w:w="108" w:type="dxa"/>
          </w:tblCellMar>
        </w:tblPrEx>
        <w:trPr>
          <w:trHeight w:val="260" w:hRule="atLeast"/>
        </w:trPr>
        <w:tc>
          <w:tcPr>
            <w:tcW w:w="3056" w:type="pct"/>
            <w:gridSpan w:val="6"/>
            <w:tcBorders>
              <w:top w:val="nil"/>
              <w:left w:val="nil"/>
              <w:bottom w:val="single" w:color="auto" w:sz="4" w:space="0"/>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r>
              <w:rPr>
                <w:rFonts w:hint="eastAsia" w:ascii="宋体" w:hAnsi="宋体" w:eastAsia="宋体" w:cs="宋体"/>
                <w:color w:val="000000"/>
                <w:kern w:val="0"/>
                <w:sz w:val="20"/>
                <w:szCs w:val="20"/>
                <w:highlight w:val="none"/>
                <w:lang w:bidi="ar"/>
              </w:rPr>
              <w:t>部门：</w:t>
            </w:r>
            <w:r>
              <w:rPr>
                <w:rFonts w:hint="default" w:ascii="宋体" w:hAnsi="宋体" w:eastAsia="宋体" w:cs="宋体"/>
                <w:color w:val="000000"/>
                <w:sz w:val="20"/>
                <w:u w:color="auto"/>
              </w:rPr>
              <w:t>环江毛南族自治县民族中学</w:t>
            </w:r>
          </w:p>
        </w:tc>
        <w:tc>
          <w:tcPr>
            <w:tcW w:w="629" w:type="pct"/>
            <w:tcBorders>
              <w:top w:val="nil"/>
              <w:left w:val="nil"/>
              <w:bottom w:val="single" w:color="auto" w:sz="4" w:space="0"/>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640" w:type="pct"/>
            <w:tcBorders>
              <w:top w:val="nil"/>
              <w:left w:val="nil"/>
              <w:bottom w:val="single" w:color="auto" w:sz="4" w:space="0"/>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672" w:type="pct"/>
            <w:tcBorders>
              <w:top w:val="nil"/>
              <w:left w:val="nil"/>
              <w:bottom w:val="single" w:color="auto" w:sz="4" w:space="0"/>
              <w:right w:val="nil"/>
            </w:tcBorders>
            <w:shd w:val="clear" w:color="auto" w:fill="auto"/>
            <w:noWrap/>
            <w:vAlign w:val="bottom"/>
          </w:tcPr>
          <w:p>
            <w:pPr>
              <w:keepNext w:val="0"/>
              <w:keepLines w:val="0"/>
              <w:widowControl/>
              <w:suppressLineNumbers w:val="0"/>
              <w:spacing w:before="0" w:beforeAutospacing="0" w:after="0" w:afterAutospacing="0"/>
              <w:ind w:left="0" w:right="0"/>
              <w:jc w:val="right"/>
              <w:textAlignment w:val="bottom"/>
              <w:rPr>
                <w:rFonts w:hint="default" w:ascii="宋体" w:hAnsi="宋体" w:eastAsia="宋体" w:cs="宋体"/>
                <w:color w:val="000000"/>
                <w:sz w:val="20"/>
                <w:szCs w:val="20"/>
                <w:highlight w:val="none"/>
              </w:rPr>
            </w:pPr>
            <w:r>
              <w:rPr>
                <w:rFonts w:hint="eastAsia" w:ascii="宋体" w:hAnsi="宋体" w:eastAsia="宋体" w:cs="宋体"/>
                <w:color w:val="000000"/>
                <w:kern w:val="0"/>
                <w:sz w:val="20"/>
                <w:szCs w:val="20"/>
                <w:highlight w:val="none"/>
                <w:lang w:bidi="ar"/>
              </w:rPr>
              <w:t>金额单位：万元</w:t>
            </w:r>
          </w:p>
        </w:tc>
      </w:tr>
      <w:tr>
        <w:tblPrEx>
          <w:tblCellMar>
            <w:top w:w="0" w:type="dxa"/>
            <w:left w:w="108" w:type="dxa"/>
            <w:bottom w:w="0" w:type="dxa"/>
            <w:right w:w="108" w:type="dxa"/>
          </w:tblCellMar>
        </w:tblPrEx>
        <w:trPr>
          <w:trHeight w:val="268" w:hRule="atLeast"/>
        </w:trPr>
        <w:tc>
          <w:tcPr>
            <w:tcW w:w="1529" w:type="pct"/>
            <w:gridSpan w:val="3"/>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收     入</w:t>
            </w:r>
          </w:p>
        </w:tc>
        <w:tc>
          <w:tcPr>
            <w:tcW w:w="3470" w:type="pct"/>
            <w:gridSpan w:val="6"/>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支     出</w:t>
            </w:r>
          </w:p>
        </w:tc>
      </w:tr>
      <w:tr>
        <w:tblPrEx>
          <w:tblCellMar>
            <w:top w:w="0" w:type="dxa"/>
            <w:left w:w="108" w:type="dxa"/>
            <w:bottom w:w="0" w:type="dxa"/>
            <w:right w:w="108" w:type="dxa"/>
          </w:tblCellMar>
        </w:tblPrEx>
        <w:trPr>
          <w:trHeight w:val="312" w:hRule="atLeast"/>
        </w:trPr>
        <w:tc>
          <w:tcPr>
            <w:tcW w:w="786"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项目</w:t>
            </w:r>
          </w:p>
        </w:tc>
        <w:tc>
          <w:tcPr>
            <w:tcW w:w="279"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行次</w:t>
            </w:r>
          </w:p>
        </w:tc>
        <w:tc>
          <w:tcPr>
            <w:tcW w:w="464"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金额</w:t>
            </w:r>
          </w:p>
        </w:tc>
        <w:tc>
          <w:tcPr>
            <w:tcW w:w="838"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项目</w:t>
            </w:r>
          </w:p>
        </w:tc>
        <w:tc>
          <w:tcPr>
            <w:tcW w:w="302"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行次</w:t>
            </w:r>
          </w:p>
        </w:tc>
        <w:tc>
          <w:tcPr>
            <w:tcW w:w="386" w:type="pct"/>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合计</w:t>
            </w:r>
          </w:p>
        </w:tc>
        <w:tc>
          <w:tcPr>
            <w:tcW w:w="629"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一般公共预算财政拨款</w:t>
            </w:r>
          </w:p>
        </w:tc>
        <w:tc>
          <w:tcPr>
            <w:tcW w:w="640"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政府性基金预算财政拨款</w:t>
            </w:r>
          </w:p>
        </w:tc>
        <w:tc>
          <w:tcPr>
            <w:tcW w:w="672"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国有资本经营预算财政拨款</w:t>
            </w:r>
          </w:p>
        </w:tc>
      </w:tr>
      <w:tr>
        <w:tblPrEx>
          <w:tblCellMar>
            <w:top w:w="0" w:type="dxa"/>
            <w:left w:w="108" w:type="dxa"/>
            <w:bottom w:w="0" w:type="dxa"/>
            <w:right w:w="108" w:type="dxa"/>
          </w:tblCellMar>
        </w:tblPrEx>
        <w:trPr>
          <w:trHeight w:val="536" w:hRule="atLeast"/>
        </w:trPr>
        <w:tc>
          <w:tcPr>
            <w:tcW w:w="786"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279"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464"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838"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302"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386" w:type="pct"/>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629"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640"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672"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r>
      <w:tr>
        <w:tblPrEx>
          <w:tblCellMar>
            <w:top w:w="0" w:type="dxa"/>
            <w:left w:w="108" w:type="dxa"/>
            <w:bottom w:w="0" w:type="dxa"/>
            <w:right w:w="108" w:type="dxa"/>
          </w:tblCellMar>
        </w:tblPrEx>
        <w:trPr>
          <w:trHeight w:val="268" w:hRule="atLeast"/>
        </w:trPr>
        <w:tc>
          <w:tcPr>
            <w:tcW w:w="7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栏次</w:t>
            </w:r>
          </w:p>
        </w:tc>
        <w:tc>
          <w:tcPr>
            <w:tcW w:w="27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46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1</w:t>
            </w:r>
          </w:p>
        </w:tc>
        <w:tc>
          <w:tcPr>
            <w:tcW w:w="83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栏次</w:t>
            </w:r>
          </w:p>
        </w:tc>
        <w:tc>
          <w:tcPr>
            <w:tcW w:w="30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3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2</w:t>
            </w:r>
          </w:p>
        </w:tc>
        <w:tc>
          <w:tcPr>
            <w:tcW w:w="62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3</w:t>
            </w:r>
          </w:p>
        </w:tc>
        <w:tc>
          <w:tcPr>
            <w:tcW w:w="64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4</w:t>
            </w:r>
          </w:p>
        </w:tc>
        <w:tc>
          <w:tcPr>
            <w:tcW w:w="67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5</w:t>
            </w:r>
          </w:p>
        </w:tc>
      </w:tr>
      <w:tr>
        <w:tblPrEx>
          <w:tblCellMar>
            <w:top w:w="0" w:type="dxa"/>
            <w:left w:w="108" w:type="dxa"/>
            <w:bottom w:w="0" w:type="dxa"/>
            <w:right w:w="108" w:type="dxa"/>
          </w:tblCellMar>
        </w:tblPrEx>
        <w:trPr>
          <w:trHeight w:val="268" w:hRule="atLeast"/>
        </w:trPr>
        <w:tc>
          <w:tcPr>
            <w:tcW w:w="7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一、一般公共预算财政拨款</w:t>
            </w:r>
          </w:p>
        </w:tc>
        <w:tc>
          <w:tcPr>
            <w:tcW w:w="27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1</w:t>
            </w:r>
          </w:p>
        </w:tc>
        <w:tc>
          <w:tcPr>
            <w:tcW w:w="46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2195.79</w:t>
            </w:r>
          </w:p>
        </w:tc>
        <w:tc>
          <w:tcPr>
            <w:tcW w:w="83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一、一般公共服务支出</w:t>
            </w:r>
          </w:p>
        </w:tc>
        <w:tc>
          <w:tcPr>
            <w:tcW w:w="30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33</w:t>
            </w:r>
          </w:p>
        </w:tc>
        <w:tc>
          <w:tcPr>
            <w:tcW w:w="3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18.19</w:t>
            </w:r>
          </w:p>
        </w:tc>
        <w:tc>
          <w:tcPr>
            <w:tcW w:w="62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18.19</w:t>
            </w:r>
          </w:p>
        </w:tc>
        <w:tc>
          <w:tcPr>
            <w:tcW w:w="64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67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268" w:hRule="atLeast"/>
        </w:trPr>
        <w:tc>
          <w:tcPr>
            <w:tcW w:w="7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二、政府性基金预算财政拨款</w:t>
            </w:r>
          </w:p>
        </w:tc>
        <w:tc>
          <w:tcPr>
            <w:tcW w:w="27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2</w:t>
            </w:r>
          </w:p>
        </w:tc>
        <w:tc>
          <w:tcPr>
            <w:tcW w:w="46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83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二、外交支出</w:t>
            </w:r>
          </w:p>
        </w:tc>
        <w:tc>
          <w:tcPr>
            <w:tcW w:w="30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34</w:t>
            </w:r>
          </w:p>
        </w:tc>
        <w:tc>
          <w:tcPr>
            <w:tcW w:w="3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62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0.00</w:t>
            </w:r>
          </w:p>
        </w:tc>
        <w:tc>
          <w:tcPr>
            <w:tcW w:w="64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67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268" w:hRule="atLeast"/>
        </w:trPr>
        <w:tc>
          <w:tcPr>
            <w:tcW w:w="7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三、国有资本经营预算财政拨款</w:t>
            </w:r>
          </w:p>
        </w:tc>
        <w:tc>
          <w:tcPr>
            <w:tcW w:w="27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3</w:t>
            </w:r>
          </w:p>
        </w:tc>
        <w:tc>
          <w:tcPr>
            <w:tcW w:w="46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83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三、国防支出</w:t>
            </w:r>
          </w:p>
        </w:tc>
        <w:tc>
          <w:tcPr>
            <w:tcW w:w="30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35</w:t>
            </w:r>
          </w:p>
        </w:tc>
        <w:tc>
          <w:tcPr>
            <w:tcW w:w="3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62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0.00</w:t>
            </w:r>
          </w:p>
        </w:tc>
        <w:tc>
          <w:tcPr>
            <w:tcW w:w="64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67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268" w:hRule="atLeast"/>
        </w:trPr>
        <w:tc>
          <w:tcPr>
            <w:tcW w:w="7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p>
        </w:tc>
        <w:tc>
          <w:tcPr>
            <w:tcW w:w="27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4</w:t>
            </w:r>
          </w:p>
        </w:tc>
        <w:tc>
          <w:tcPr>
            <w:tcW w:w="46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83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四、公共安全支出</w:t>
            </w:r>
          </w:p>
        </w:tc>
        <w:tc>
          <w:tcPr>
            <w:tcW w:w="30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36</w:t>
            </w:r>
          </w:p>
        </w:tc>
        <w:tc>
          <w:tcPr>
            <w:tcW w:w="3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62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0.00</w:t>
            </w:r>
          </w:p>
        </w:tc>
        <w:tc>
          <w:tcPr>
            <w:tcW w:w="64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67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268" w:hRule="atLeast"/>
        </w:trPr>
        <w:tc>
          <w:tcPr>
            <w:tcW w:w="7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p>
        </w:tc>
        <w:tc>
          <w:tcPr>
            <w:tcW w:w="27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5</w:t>
            </w:r>
          </w:p>
        </w:tc>
        <w:tc>
          <w:tcPr>
            <w:tcW w:w="46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83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五、教育支出</w:t>
            </w:r>
          </w:p>
        </w:tc>
        <w:tc>
          <w:tcPr>
            <w:tcW w:w="30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37</w:t>
            </w:r>
          </w:p>
        </w:tc>
        <w:tc>
          <w:tcPr>
            <w:tcW w:w="3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1747.36</w:t>
            </w:r>
          </w:p>
        </w:tc>
        <w:tc>
          <w:tcPr>
            <w:tcW w:w="62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1747.36</w:t>
            </w:r>
          </w:p>
        </w:tc>
        <w:tc>
          <w:tcPr>
            <w:tcW w:w="64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67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268" w:hRule="atLeast"/>
        </w:trPr>
        <w:tc>
          <w:tcPr>
            <w:tcW w:w="7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p>
        </w:tc>
        <w:tc>
          <w:tcPr>
            <w:tcW w:w="27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6</w:t>
            </w:r>
          </w:p>
        </w:tc>
        <w:tc>
          <w:tcPr>
            <w:tcW w:w="46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83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六、科学技术支出</w:t>
            </w:r>
          </w:p>
        </w:tc>
        <w:tc>
          <w:tcPr>
            <w:tcW w:w="30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38</w:t>
            </w:r>
          </w:p>
        </w:tc>
        <w:tc>
          <w:tcPr>
            <w:tcW w:w="3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62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0.00</w:t>
            </w:r>
          </w:p>
        </w:tc>
        <w:tc>
          <w:tcPr>
            <w:tcW w:w="64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67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268" w:hRule="atLeast"/>
        </w:trPr>
        <w:tc>
          <w:tcPr>
            <w:tcW w:w="7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p>
        </w:tc>
        <w:tc>
          <w:tcPr>
            <w:tcW w:w="27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7</w:t>
            </w:r>
          </w:p>
        </w:tc>
        <w:tc>
          <w:tcPr>
            <w:tcW w:w="46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83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七、文化旅游体育与传媒支出</w:t>
            </w:r>
          </w:p>
        </w:tc>
        <w:tc>
          <w:tcPr>
            <w:tcW w:w="30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39</w:t>
            </w:r>
          </w:p>
        </w:tc>
        <w:tc>
          <w:tcPr>
            <w:tcW w:w="3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62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0.00</w:t>
            </w:r>
          </w:p>
        </w:tc>
        <w:tc>
          <w:tcPr>
            <w:tcW w:w="64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67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268" w:hRule="atLeast"/>
        </w:trPr>
        <w:tc>
          <w:tcPr>
            <w:tcW w:w="7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p>
        </w:tc>
        <w:tc>
          <w:tcPr>
            <w:tcW w:w="27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8</w:t>
            </w:r>
          </w:p>
        </w:tc>
        <w:tc>
          <w:tcPr>
            <w:tcW w:w="46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83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八、社会保障和就业支出</w:t>
            </w:r>
          </w:p>
        </w:tc>
        <w:tc>
          <w:tcPr>
            <w:tcW w:w="30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40</w:t>
            </w:r>
          </w:p>
        </w:tc>
        <w:tc>
          <w:tcPr>
            <w:tcW w:w="3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140.66</w:t>
            </w:r>
          </w:p>
        </w:tc>
        <w:tc>
          <w:tcPr>
            <w:tcW w:w="62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140.66</w:t>
            </w:r>
          </w:p>
        </w:tc>
        <w:tc>
          <w:tcPr>
            <w:tcW w:w="64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67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268" w:hRule="atLeast"/>
        </w:trPr>
        <w:tc>
          <w:tcPr>
            <w:tcW w:w="7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p>
        </w:tc>
        <w:tc>
          <w:tcPr>
            <w:tcW w:w="27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9</w:t>
            </w:r>
          </w:p>
        </w:tc>
        <w:tc>
          <w:tcPr>
            <w:tcW w:w="46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83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九、卫生健康支出</w:t>
            </w:r>
          </w:p>
        </w:tc>
        <w:tc>
          <w:tcPr>
            <w:tcW w:w="30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41</w:t>
            </w:r>
          </w:p>
        </w:tc>
        <w:tc>
          <w:tcPr>
            <w:tcW w:w="3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62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0.00</w:t>
            </w:r>
          </w:p>
        </w:tc>
        <w:tc>
          <w:tcPr>
            <w:tcW w:w="64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67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268" w:hRule="atLeast"/>
        </w:trPr>
        <w:tc>
          <w:tcPr>
            <w:tcW w:w="7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p>
        </w:tc>
        <w:tc>
          <w:tcPr>
            <w:tcW w:w="27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10</w:t>
            </w:r>
          </w:p>
        </w:tc>
        <w:tc>
          <w:tcPr>
            <w:tcW w:w="46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83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十、节能环保支出</w:t>
            </w:r>
          </w:p>
        </w:tc>
        <w:tc>
          <w:tcPr>
            <w:tcW w:w="30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42</w:t>
            </w:r>
          </w:p>
        </w:tc>
        <w:tc>
          <w:tcPr>
            <w:tcW w:w="3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62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0.00</w:t>
            </w:r>
          </w:p>
        </w:tc>
        <w:tc>
          <w:tcPr>
            <w:tcW w:w="64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67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268" w:hRule="atLeast"/>
        </w:trPr>
        <w:tc>
          <w:tcPr>
            <w:tcW w:w="7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p>
        </w:tc>
        <w:tc>
          <w:tcPr>
            <w:tcW w:w="27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11</w:t>
            </w:r>
          </w:p>
        </w:tc>
        <w:tc>
          <w:tcPr>
            <w:tcW w:w="46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83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十一、城乡社区支出</w:t>
            </w:r>
          </w:p>
        </w:tc>
        <w:tc>
          <w:tcPr>
            <w:tcW w:w="30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43</w:t>
            </w:r>
          </w:p>
        </w:tc>
        <w:tc>
          <w:tcPr>
            <w:tcW w:w="3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62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0.00</w:t>
            </w:r>
          </w:p>
        </w:tc>
        <w:tc>
          <w:tcPr>
            <w:tcW w:w="64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67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268" w:hRule="atLeast"/>
        </w:trPr>
        <w:tc>
          <w:tcPr>
            <w:tcW w:w="7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p>
        </w:tc>
        <w:tc>
          <w:tcPr>
            <w:tcW w:w="27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12</w:t>
            </w:r>
          </w:p>
        </w:tc>
        <w:tc>
          <w:tcPr>
            <w:tcW w:w="46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83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十二、农林水支出</w:t>
            </w:r>
          </w:p>
        </w:tc>
        <w:tc>
          <w:tcPr>
            <w:tcW w:w="30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44</w:t>
            </w:r>
          </w:p>
        </w:tc>
        <w:tc>
          <w:tcPr>
            <w:tcW w:w="3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62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0.00</w:t>
            </w:r>
          </w:p>
        </w:tc>
        <w:tc>
          <w:tcPr>
            <w:tcW w:w="64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67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268" w:hRule="atLeast"/>
        </w:trPr>
        <w:tc>
          <w:tcPr>
            <w:tcW w:w="7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p>
        </w:tc>
        <w:tc>
          <w:tcPr>
            <w:tcW w:w="27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13</w:t>
            </w:r>
          </w:p>
        </w:tc>
        <w:tc>
          <w:tcPr>
            <w:tcW w:w="46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83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十三、交通运输支出</w:t>
            </w:r>
          </w:p>
        </w:tc>
        <w:tc>
          <w:tcPr>
            <w:tcW w:w="30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45</w:t>
            </w:r>
          </w:p>
        </w:tc>
        <w:tc>
          <w:tcPr>
            <w:tcW w:w="3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62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0.00</w:t>
            </w:r>
          </w:p>
        </w:tc>
        <w:tc>
          <w:tcPr>
            <w:tcW w:w="64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67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268" w:hRule="atLeast"/>
        </w:trPr>
        <w:tc>
          <w:tcPr>
            <w:tcW w:w="7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p>
        </w:tc>
        <w:tc>
          <w:tcPr>
            <w:tcW w:w="27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14</w:t>
            </w:r>
          </w:p>
        </w:tc>
        <w:tc>
          <w:tcPr>
            <w:tcW w:w="46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83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十四、资源勘探工业信息等支出</w:t>
            </w:r>
          </w:p>
        </w:tc>
        <w:tc>
          <w:tcPr>
            <w:tcW w:w="30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46</w:t>
            </w:r>
          </w:p>
        </w:tc>
        <w:tc>
          <w:tcPr>
            <w:tcW w:w="3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62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0.00</w:t>
            </w:r>
          </w:p>
        </w:tc>
        <w:tc>
          <w:tcPr>
            <w:tcW w:w="64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67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268" w:hRule="atLeast"/>
        </w:trPr>
        <w:tc>
          <w:tcPr>
            <w:tcW w:w="7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p>
        </w:tc>
        <w:tc>
          <w:tcPr>
            <w:tcW w:w="27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15</w:t>
            </w:r>
          </w:p>
        </w:tc>
        <w:tc>
          <w:tcPr>
            <w:tcW w:w="46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83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十五、商业服务业等支出</w:t>
            </w:r>
          </w:p>
        </w:tc>
        <w:tc>
          <w:tcPr>
            <w:tcW w:w="30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47</w:t>
            </w:r>
          </w:p>
        </w:tc>
        <w:tc>
          <w:tcPr>
            <w:tcW w:w="3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62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0.00</w:t>
            </w:r>
          </w:p>
        </w:tc>
        <w:tc>
          <w:tcPr>
            <w:tcW w:w="64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67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268" w:hRule="atLeast"/>
        </w:trPr>
        <w:tc>
          <w:tcPr>
            <w:tcW w:w="7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p>
        </w:tc>
        <w:tc>
          <w:tcPr>
            <w:tcW w:w="27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16</w:t>
            </w:r>
          </w:p>
        </w:tc>
        <w:tc>
          <w:tcPr>
            <w:tcW w:w="46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83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十六、金融支出</w:t>
            </w:r>
          </w:p>
        </w:tc>
        <w:tc>
          <w:tcPr>
            <w:tcW w:w="30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48</w:t>
            </w:r>
          </w:p>
        </w:tc>
        <w:tc>
          <w:tcPr>
            <w:tcW w:w="3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62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0.00</w:t>
            </w:r>
          </w:p>
        </w:tc>
        <w:tc>
          <w:tcPr>
            <w:tcW w:w="64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67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268" w:hRule="atLeast"/>
        </w:trPr>
        <w:tc>
          <w:tcPr>
            <w:tcW w:w="7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p>
        </w:tc>
        <w:tc>
          <w:tcPr>
            <w:tcW w:w="27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17</w:t>
            </w:r>
          </w:p>
        </w:tc>
        <w:tc>
          <w:tcPr>
            <w:tcW w:w="46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83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十七、援助其他地区支出</w:t>
            </w:r>
          </w:p>
        </w:tc>
        <w:tc>
          <w:tcPr>
            <w:tcW w:w="30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49</w:t>
            </w:r>
          </w:p>
        </w:tc>
        <w:tc>
          <w:tcPr>
            <w:tcW w:w="3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62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0.00</w:t>
            </w:r>
          </w:p>
        </w:tc>
        <w:tc>
          <w:tcPr>
            <w:tcW w:w="64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67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268" w:hRule="atLeast"/>
        </w:trPr>
        <w:tc>
          <w:tcPr>
            <w:tcW w:w="7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p>
        </w:tc>
        <w:tc>
          <w:tcPr>
            <w:tcW w:w="27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18</w:t>
            </w:r>
          </w:p>
        </w:tc>
        <w:tc>
          <w:tcPr>
            <w:tcW w:w="46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83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十八、自然资源海洋气象等支出</w:t>
            </w:r>
          </w:p>
        </w:tc>
        <w:tc>
          <w:tcPr>
            <w:tcW w:w="30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50</w:t>
            </w:r>
          </w:p>
        </w:tc>
        <w:tc>
          <w:tcPr>
            <w:tcW w:w="3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62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0.00</w:t>
            </w:r>
          </w:p>
        </w:tc>
        <w:tc>
          <w:tcPr>
            <w:tcW w:w="64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67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268" w:hRule="atLeast"/>
        </w:trPr>
        <w:tc>
          <w:tcPr>
            <w:tcW w:w="7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p>
        </w:tc>
        <w:tc>
          <w:tcPr>
            <w:tcW w:w="27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19</w:t>
            </w:r>
          </w:p>
        </w:tc>
        <w:tc>
          <w:tcPr>
            <w:tcW w:w="46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83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十九、住房保障支出</w:t>
            </w:r>
          </w:p>
        </w:tc>
        <w:tc>
          <w:tcPr>
            <w:tcW w:w="30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51</w:t>
            </w:r>
          </w:p>
        </w:tc>
        <w:tc>
          <w:tcPr>
            <w:tcW w:w="3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106.46</w:t>
            </w:r>
          </w:p>
        </w:tc>
        <w:tc>
          <w:tcPr>
            <w:tcW w:w="62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106.46</w:t>
            </w:r>
          </w:p>
        </w:tc>
        <w:tc>
          <w:tcPr>
            <w:tcW w:w="64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67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268" w:hRule="atLeast"/>
        </w:trPr>
        <w:tc>
          <w:tcPr>
            <w:tcW w:w="7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p>
        </w:tc>
        <w:tc>
          <w:tcPr>
            <w:tcW w:w="27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20</w:t>
            </w:r>
          </w:p>
        </w:tc>
        <w:tc>
          <w:tcPr>
            <w:tcW w:w="46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83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二十、粮油物资储备支出</w:t>
            </w:r>
          </w:p>
        </w:tc>
        <w:tc>
          <w:tcPr>
            <w:tcW w:w="30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52</w:t>
            </w:r>
          </w:p>
        </w:tc>
        <w:tc>
          <w:tcPr>
            <w:tcW w:w="3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62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0.00</w:t>
            </w:r>
          </w:p>
        </w:tc>
        <w:tc>
          <w:tcPr>
            <w:tcW w:w="64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67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268" w:hRule="atLeast"/>
        </w:trPr>
        <w:tc>
          <w:tcPr>
            <w:tcW w:w="7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p>
        </w:tc>
        <w:tc>
          <w:tcPr>
            <w:tcW w:w="27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21</w:t>
            </w:r>
          </w:p>
        </w:tc>
        <w:tc>
          <w:tcPr>
            <w:tcW w:w="46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83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二十一、国有资本经营预算支出</w:t>
            </w:r>
          </w:p>
        </w:tc>
        <w:tc>
          <w:tcPr>
            <w:tcW w:w="30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53</w:t>
            </w:r>
          </w:p>
        </w:tc>
        <w:tc>
          <w:tcPr>
            <w:tcW w:w="3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62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0.00</w:t>
            </w:r>
          </w:p>
        </w:tc>
        <w:tc>
          <w:tcPr>
            <w:tcW w:w="64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67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268" w:hRule="atLeast"/>
        </w:trPr>
        <w:tc>
          <w:tcPr>
            <w:tcW w:w="7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p>
        </w:tc>
        <w:tc>
          <w:tcPr>
            <w:tcW w:w="27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22</w:t>
            </w:r>
          </w:p>
        </w:tc>
        <w:tc>
          <w:tcPr>
            <w:tcW w:w="46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83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二十二、灾害防治及应急管理支出</w:t>
            </w:r>
          </w:p>
        </w:tc>
        <w:tc>
          <w:tcPr>
            <w:tcW w:w="30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54</w:t>
            </w:r>
          </w:p>
        </w:tc>
        <w:tc>
          <w:tcPr>
            <w:tcW w:w="3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62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0.00</w:t>
            </w:r>
          </w:p>
        </w:tc>
        <w:tc>
          <w:tcPr>
            <w:tcW w:w="64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67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268" w:hRule="atLeast"/>
        </w:trPr>
        <w:tc>
          <w:tcPr>
            <w:tcW w:w="7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p>
        </w:tc>
        <w:tc>
          <w:tcPr>
            <w:tcW w:w="27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23</w:t>
            </w:r>
          </w:p>
        </w:tc>
        <w:tc>
          <w:tcPr>
            <w:tcW w:w="46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83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二十三、其他支出</w:t>
            </w:r>
          </w:p>
        </w:tc>
        <w:tc>
          <w:tcPr>
            <w:tcW w:w="30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55</w:t>
            </w:r>
          </w:p>
        </w:tc>
        <w:tc>
          <w:tcPr>
            <w:tcW w:w="3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183.12</w:t>
            </w:r>
          </w:p>
        </w:tc>
        <w:tc>
          <w:tcPr>
            <w:tcW w:w="62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183.12</w:t>
            </w:r>
          </w:p>
        </w:tc>
        <w:tc>
          <w:tcPr>
            <w:tcW w:w="64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67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268" w:hRule="atLeast"/>
        </w:trPr>
        <w:tc>
          <w:tcPr>
            <w:tcW w:w="7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p>
        </w:tc>
        <w:tc>
          <w:tcPr>
            <w:tcW w:w="27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24</w:t>
            </w:r>
          </w:p>
        </w:tc>
        <w:tc>
          <w:tcPr>
            <w:tcW w:w="46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83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二十四、债务还本支出</w:t>
            </w:r>
          </w:p>
        </w:tc>
        <w:tc>
          <w:tcPr>
            <w:tcW w:w="30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56</w:t>
            </w:r>
          </w:p>
        </w:tc>
        <w:tc>
          <w:tcPr>
            <w:tcW w:w="3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62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0.00</w:t>
            </w:r>
          </w:p>
        </w:tc>
        <w:tc>
          <w:tcPr>
            <w:tcW w:w="64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67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268" w:hRule="atLeast"/>
        </w:trPr>
        <w:tc>
          <w:tcPr>
            <w:tcW w:w="7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p>
        </w:tc>
        <w:tc>
          <w:tcPr>
            <w:tcW w:w="27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25</w:t>
            </w:r>
          </w:p>
        </w:tc>
        <w:tc>
          <w:tcPr>
            <w:tcW w:w="46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83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二十五、债务付息支出</w:t>
            </w:r>
          </w:p>
        </w:tc>
        <w:tc>
          <w:tcPr>
            <w:tcW w:w="30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57</w:t>
            </w:r>
          </w:p>
        </w:tc>
        <w:tc>
          <w:tcPr>
            <w:tcW w:w="3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62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0.00</w:t>
            </w:r>
          </w:p>
        </w:tc>
        <w:tc>
          <w:tcPr>
            <w:tcW w:w="64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67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268" w:hRule="atLeast"/>
        </w:trPr>
        <w:tc>
          <w:tcPr>
            <w:tcW w:w="7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p>
        </w:tc>
        <w:tc>
          <w:tcPr>
            <w:tcW w:w="27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26</w:t>
            </w:r>
          </w:p>
        </w:tc>
        <w:tc>
          <w:tcPr>
            <w:tcW w:w="46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83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二十六、抗疫特别国债安排的支出</w:t>
            </w:r>
          </w:p>
        </w:tc>
        <w:tc>
          <w:tcPr>
            <w:tcW w:w="30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58</w:t>
            </w:r>
          </w:p>
        </w:tc>
        <w:tc>
          <w:tcPr>
            <w:tcW w:w="3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62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0.00</w:t>
            </w:r>
          </w:p>
        </w:tc>
        <w:tc>
          <w:tcPr>
            <w:tcW w:w="64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67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268" w:hRule="atLeast"/>
        </w:trPr>
        <w:tc>
          <w:tcPr>
            <w:tcW w:w="7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本年收入合计</w:t>
            </w:r>
          </w:p>
        </w:tc>
        <w:tc>
          <w:tcPr>
            <w:tcW w:w="27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27</w:t>
            </w:r>
          </w:p>
        </w:tc>
        <w:tc>
          <w:tcPr>
            <w:tcW w:w="46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2195.79</w:t>
            </w:r>
          </w:p>
        </w:tc>
        <w:tc>
          <w:tcPr>
            <w:tcW w:w="83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本年支出合计</w:t>
            </w:r>
          </w:p>
        </w:tc>
        <w:tc>
          <w:tcPr>
            <w:tcW w:w="30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59</w:t>
            </w:r>
          </w:p>
        </w:tc>
        <w:tc>
          <w:tcPr>
            <w:tcW w:w="3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2195.79</w:t>
            </w:r>
          </w:p>
        </w:tc>
        <w:tc>
          <w:tcPr>
            <w:tcW w:w="62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2195.79</w:t>
            </w:r>
          </w:p>
        </w:tc>
        <w:tc>
          <w:tcPr>
            <w:tcW w:w="64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67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268" w:hRule="atLeast"/>
        </w:trPr>
        <w:tc>
          <w:tcPr>
            <w:tcW w:w="7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年初财政拨款结转和结余</w:t>
            </w:r>
          </w:p>
        </w:tc>
        <w:tc>
          <w:tcPr>
            <w:tcW w:w="27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28</w:t>
            </w:r>
          </w:p>
        </w:tc>
        <w:tc>
          <w:tcPr>
            <w:tcW w:w="46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83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年末财政拨款结转和结余</w:t>
            </w:r>
          </w:p>
        </w:tc>
        <w:tc>
          <w:tcPr>
            <w:tcW w:w="30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60</w:t>
            </w:r>
          </w:p>
        </w:tc>
        <w:tc>
          <w:tcPr>
            <w:tcW w:w="3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62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0.00</w:t>
            </w:r>
          </w:p>
        </w:tc>
        <w:tc>
          <w:tcPr>
            <w:tcW w:w="64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67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268" w:hRule="atLeast"/>
        </w:trPr>
        <w:tc>
          <w:tcPr>
            <w:tcW w:w="7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 xml:space="preserve">  一般公共预算财政拨款</w:t>
            </w:r>
          </w:p>
        </w:tc>
        <w:tc>
          <w:tcPr>
            <w:tcW w:w="27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29</w:t>
            </w:r>
          </w:p>
        </w:tc>
        <w:tc>
          <w:tcPr>
            <w:tcW w:w="46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83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p>
        </w:tc>
        <w:tc>
          <w:tcPr>
            <w:tcW w:w="30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61</w:t>
            </w:r>
          </w:p>
        </w:tc>
        <w:tc>
          <w:tcPr>
            <w:tcW w:w="3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62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0.00</w:t>
            </w:r>
          </w:p>
        </w:tc>
        <w:tc>
          <w:tcPr>
            <w:tcW w:w="64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67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268" w:hRule="atLeast"/>
        </w:trPr>
        <w:tc>
          <w:tcPr>
            <w:tcW w:w="7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 xml:space="preserve">  政府性基金预算财政拨款</w:t>
            </w:r>
          </w:p>
        </w:tc>
        <w:tc>
          <w:tcPr>
            <w:tcW w:w="27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30</w:t>
            </w:r>
          </w:p>
        </w:tc>
        <w:tc>
          <w:tcPr>
            <w:tcW w:w="46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83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p>
        </w:tc>
        <w:tc>
          <w:tcPr>
            <w:tcW w:w="30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62</w:t>
            </w:r>
          </w:p>
        </w:tc>
        <w:tc>
          <w:tcPr>
            <w:tcW w:w="3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62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0.00</w:t>
            </w:r>
          </w:p>
        </w:tc>
        <w:tc>
          <w:tcPr>
            <w:tcW w:w="64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67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268" w:hRule="atLeast"/>
        </w:trPr>
        <w:tc>
          <w:tcPr>
            <w:tcW w:w="7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 xml:space="preserve">  国有资本经营预算财政拨款</w:t>
            </w:r>
          </w:p>
        </w:tc>
        <w:tc>
          <w:tcPr>
            <w:tcW w:w="27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31</w:t>
            </w:r>
          </w:p>
        </w:tc>
        <w:tc>
          <w:tcPr>
            <w:tcW w:w="46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83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p>
        </w:tc>
        <w:tc>
          <w:tcPr>
            <w:tcW w:w="30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63</w:t>
            </w:r>
          </w:p>
        </w:tc>
        <w:tc>
          <w:tcPr>
            <w:tcW w:w="3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62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0.00</w:t>
            </w:r>
          </w:p>
        </w:tc>
        <w:tc>
          <w:tcPr>
            <w:tcW w:w="64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67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268" w:hRule="atLeast"/>
        </w:trPr>
        <w:tc>
          <w:tcPr>
            <w:tcW w:w="7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总计</w:t>
            </w:r>
          </w:p>
        </w:tc>
        <w:tc>
          <w:tcPr>
            <w:tcW w:w="27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32</w:t>
            </w:r>
          </w:p>
        </w:tc>
        <w:tc>
          <w:tcPr>
            <w:tcW w:w="46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2195.79</w:t>
            </w:r>
          </w:p>
        </w:tc>
        <w:tc>
          <w:tcPr>
            <w:tcW w:w="83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总计</w:t>
            </w:r>
          </w:p>
        </w:tc>
        <w:tc>
          <w:tcPr>
            <w:tcW w:w="30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64</w:t>
            </w:r>
          </w:p>
        </w:tc>
        <w:tc>
          <w:tcPr>
            <w:tcW w:w="3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2195.79</w:t>
            </w:r>
          </w:p>
        </w:tc>
        <w:tc>
          <w:tcPr>
            <w:tcW w:w="62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2195.79</w:t>
            </w:r>
          </w:p>
        </w:tc>
        <w:tc>
          <w:tcPr>
            <w:tcW w:w="64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67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268" w:hRule="atLeast"/>
        </w:trPr>
        <w:tc>
          <w:tcPr>
            <w:tcW w:w="4327" w:type="pct"/>
            <w:gridSpan w:val="8"/>
            <w:tcBorders>
              <w:top w:val="single" w:color="auto" w:sz="4" w:space="0"/>
              <w:left w:val="nil"/>
              <w:bottom w:val="nil"/>
              <w:right w:val="nil"/>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注：本表反映部门本年度一般公共预算财政拨款、政府性基金预算财政拨款和国有资本经营预算财政拨款的总收支和年末结转结余情况。</w:t>
            </w:r>
          </w:p>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000000"/>
                <w:kern w:val="0"/>
                <w:sz w:val="22"/>
                <w:szCs w:val="22"/>
                <w:highlight w:val="none"/>
                <w:lang w:bidi="ar"/>
              </w:rPr>
            </w:pPr>
          </w:p>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000000"/>
                <w:kern w:val="0"/>
                <w:sz w:val="22"/>
                <w:szCs w:val="22"/>
                <w:highlight w:val="none"/>
                <w:lang w:bidi="ar"/>
              </w:rPr>
            </w:pPr>
          </w:p>
        </w:tc>
        <w:tc>
          <w:tcPr>
            <w:tcW w:w="672" w:type="pct"/>
            <w:tcBorders>
              <w:top w:val="single" w:color="auto" w:sz="4" w:space="0"/>
              <w:left w:val="nil"/>
              <w:bottom w:val="nil"/>
              <w:right w:val="nil"/>
            </w:tcBorders>
            <w:shd w:val="clear" w:color="auto" w:fill="auto"/>
            <w:noWrap/>
            <w:vAlign w:val="center"/>
          </w:tcPr>
          <w:p>
            <w:pPr>
              <w:keepNext w:val="0"/>
              <w:keepLines w:val="0"/>
              <w:suppressLineNumbers w:val="0"/>
              <w:spacing w:before="0" w:beforeAutospacing="0" w:after="0" w:afterAutospacing="0"/>
              <w:ind w:left="0" w:right="0"/>
              <w:jc w:val="left"/>
              <w:rPr>
                <w:rFonts w:hint="default" w:ascii="宋体" w:hAnsi="宋体" w:eastAsia="宋体" w:cs="宋体"/>
                <w:color w:val="000000"/>
                <w:sz w:val="20"/>
                <w:szCs w:val="20"/>
                <w:highlight w:val="none"/>
              </w:rPr>
            </w:pPr>
          </w:p>
        </w:tc>
      </w:tr>
    </w:tbl>
    <w:p>
      <w:pPr>
        <w:jc w:val="left"/>
        <w:rPr>
          <w:rFonts w:ascii="仿宋" w:hAnsi="仿宋" w:eastAsia="仿宋" w:cs="仿宋"/>
          <w:sz w:val="24"/>
          <w:highlight w:val="none"/>
        </w:rPr>
      </w:pPr>
    </w:p>
    <w:p>
      <w:pPr>
        <w:rPr>
          <w:rFonts w:ascii="仿宋" w:hAnsi="仿宋" w:eastAsia="仿宋" w:cs="仿宋"/>
          <w:sz w:val="24"/>
          <w:highlight w:val="none"/>
        </w:rPr>
      </w:pPr>
      <w:r>
        <w:rPr>
          <w:rFonts w:ascii="仿宋" w:hAnsi="仿宋" w:eastAsia="仿宋" w:cs="仿宋"/>
          <w:sz w:val="24"/>
          <w:highlight w:val="none"/>
        </w:rPr>
        <w:br w:type="page"/>
      </w:r>
    </w:p>
    <w:p>
      <w:pPr>
        <w:jc w:val="left"/>
        <w:rPr>
          <w:rFonts w:ascii="仿宋" w:hAnsi="仿宋" w:eastAsia="仿宋" w:cs="仿宋"/>
          <w:sz w:val="24"/>
          <w:highlight w:val="none"/>
        </w:rPr>
      </w:pPr>
    </w:p>
    <w:p>
      <w:pPr>
        <w:jc w:val="left"/>
        <w:rPr>
          <w:rFonts w:hint="eastAsia" w:ascii="仿宋" w:hAnsi="仿宋" w:eastAsia="仿宋" w:cs="仿宋"/>
          <w:sz w:val="24"/>
          <w:highlight w:val="none"/>
        </w:rPr>
      </w:pPr>
      <w:r>
        <w:rPr>
          <w:rFonts w:hint="eastAsia" w:ascii="仿宋" w:hAnsi="仿宋" w:eastAsia="仿宋" w:cs="仿宋"/>
          <w:sz w:val="24"/>
          <w:highlight w:val="none"/>
        </w:rPr>
        <w:t>表五：一般公共预算财政拨款支出决算表</w:t>
      </w:r>
    </w:p>
    <w:p>
      <w:pPr>
        <w:jc w:val="left"/>
        <w:rPr>
          <w:rFonts w:hint="eastAsia" w:ascii="仿宋" w:hAnsi="仿宋" w:eastAsia="仿宋" w:cs="仿宋"/>
          <w:sz w:val="24"/>
          <w:highlight w:val="none"/>
        </w:rPr>
      </w:pPr>
    </w:p>
    <w:tbl>
      <w:tblPr>
        <w:tblStyle w:val="6"/>
        <w:tblW w:w="13980" w:type="dxa"/>
        <w:tblInd w:w="96" w:type="dxa"/>
        <w:tblLayout w:type="fixed"/>
        <w:tblCellMar>
          <w:top w:w="0" w:type="dxa"/>
          <w:left w:w="108" w:type="dxa"/>
          <w:bottom w:w="0" w:type="dxa"/>
          <w:right w:w="108" w:type="dxa"/>
        </w:tblCellMar>
      </w:tblPr>
      <w:tblGrid>
        <w:gridCol w:w="2011"/>
        <w:gridCol w:w="272"/>
        <w:gridCol w:w="238"/>
        <w:gridCol w:w="238"/>
        <w:gridCol w:w="2052"/>
        <w:gridCol w:w="3173"/>
        <w:gridCol w:w="3107"/>
        <w:gridCol w:w="2889"/>
      </w:tblGrid>
      <w:tr>
        <w:tblPrEx>
          <w:tblCellMar>
            <w:top w:w="0" w:type="dxa"/>
            <w:left w:w="108" w:type="dxa"/>
            <w:bottom w:w="0" w:type="dxa"/>
            <w:right w:w="108" w:type="dxa"/>
          </w:tblCellMar>
        </w:tblPrEx>
        <w:trPr>
          <w:trHeight w:val="693" w:hRule="atLeast"/>
        </w:trPr>
        <w:tc>
          <w:tcPr>
            <w:tcW w:w="13980" w:type="dxa"/>
            <w:gridSpan w:val="8"/>
            <w:tcBorders>
              <w:top w:val="nil"/>
              <w:left w:val="nil"/>
              <w:bottom w:val="nil"/>
              <w:right w:val="nil"/>
            </w:tcBorders>
            <w:shd w:val="clear" w:color="auto" w:fill="auto"/>
            <w:noWrap/>
            <w:vAlign w:val="bottom"/>
          </w:tcPr>
          <w:p>
            <w:pPr>
              <w:keepNext w:val="0"/>
              <w:keepLines w:val="0"/>
              <w:widowControl/>
              <w:suppressLineNumbers w:val="0"/>
              <w:spacing w:before="0" w:beforeAutospacing="0" w:after="0" w:afterAutospacing="0"/>
              <w:ind w:left="0" w:right="0"/>
              <w:jc w:val="center"/>
              <w:textAlignment w:val="bottom"/>
              <w:rPr>
                <w:rFonts w:hint="default" w:ascii="宋体" w:hAnsi="宋体" w:eastAsia="宋体" w:cs="宋体"/>
                <w:color w:val="000000"/>
                <w:sz w:val="30"/>
                <w:szCs w:val="30"/>
                <w:highlight w:val="none"/>
              </w:rPr>
            </w:pPr>
            <w:r>
              <w:rPr>
                <w:rFonts w:hint="eastAsia" w:ascii="宋体" w:hAnsi="宋体" w:eastAsia="宋体" w:cs="宋体"/>
                <w:color w:val="000000"/>
                <w:kern w:val="0"/>
                <w:sz w:val="32"/>
                <w:szCs w:val="32"/>
                <w:highlight w:val="none"/>
                <w:lang w:bidi="ar"/>
              </w:rPr>
              <w:t>一般公共预算财政拨款支出决算表</w:t>
            </w:r>
          </w:p>
        </w:tc>
      </w:tr>
      <w:tr>
        <w:tblPrEx>
          <w:tblCellMar>
            <w:top w:w="0" w:type="dxa"/>
            <w:left w:w="108" w:type="dxa"/>
            <w:bottom w:w="0" w:type="dxa"/>
            <w:right w:w="108" w:type="dxa"/>
          </w:tblCellMar>
        </w:tblPrEx>
        <w:trPr>
          <w:trHeight w:val="346" w:hRule="atLeast"/>
        </w:trPr>
        <w:tc>
          <w:tcPr>
            <w:tcW w:w="2283" w:type="dxa"/>
            <w:gridSpan w:val="2"/>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238"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238"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2052"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3173"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3107"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2889" w:type="dxa"/>
            <w:tcBorders>
              <w:top w:val="nil"/>
              <w:left w:val="nil"/>
              <w:bottom w:val="nil"/>
              <w:right w:val="nil"/>
            </w:tcBorders>
            <w:shd w:val="clear" w:color="auto" w:fill="auto"/>
            <w:noWrap/>
            <w:vAlign w:val="bottom"/>
          </w:tcPr>
          <w:p>
            <w:pPr>
              <w:keepNext w:val="0"/>
              <w:keepLines w:val="0"/>
              <w:widowControl/>
              <w:suppressLineNumbers w:val="0"/>
              <w:spacing w:before="0" w:beforeAutospacing="0" w:after="0" w:afterAutospacing="0"/>
              <w:ind w:left="0" w:right="0"/>
              <w:jc w:val="right"/>
              <w:textAlignment w:val="bottom"/>
              <w:rPr>
                <w:rFonts w:hint="default" w:ascii="宋体" w:hAnsi="宋体" w:eastAsia="宋体" w:cs="宋体"/>
                <w:color w:val="000000"/>
                <w:sz w:val="20"/>
                <w:szCs w:val="20"/>
                <w:highlight w:val="none"/>
              </w:rPr>
            </w:pPr>
            <w:r>
              <w:rPr>
                <w:rFonts w:hint="eastAsia" w:ascii="宋体" w:hAnsi="宋体" w:eastAsia="宋体" w:cs="宋体"/>
                <w:color w:val="000000"/>
                <w:kern w:val="0"/>
                <w:sz w:val="20"/>
                <w:szCs w:val="20"/>
                <w:highlight w:val="none"/>
                <w:lang w:bidi="ar"/>
              </w:rPr>
              <w:t>公开05表</w:t>
            </w:r>
          </w:p>
        </w:tc>
      </w:tr>
      <w:tr>
        <w:tblPrEx>
          <w:tblCellMar>
            <w:top w:w="0" w:type="dxa"/>
            <w:left w:w="108" w:type="dxa"/>
            <w:bottom w:w="0" w:type="dxa"/>
            <w:right w:w="108" w:type="dxa"/>
          </w:tblCellMar>
        </w:tblPrEx>
        <w:trPr>
          <w:trHeight w:val="346" w:hRule="atLeast"/>
        </w:trPr>
        <w:tc>
          <w:tcPr>
            <w:tcW w:w="7984" w:type="dxa"/>
            <w:gridSpan w:val="6"/>
            <w:tcBorders>
              <w:top w:val="nil"/>
              <w:left w:val="nil"/>
              <w:bottom w:val="single" w:color="auto" w:sz="4" w:space="0"/>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r>
              <w:rPr>
                <w:rFonts w:hint="eastAsia" w:ascii="宋体" w:hAnsi="宋体" w:eastAsia="宋体" w:cs="宋体"/>
                <w:color w:val="000000"/>
                <w:kern w:val="0"/>
                <w:sz w:val="20"/>
                <w:szCs w:val="20"/>
                <w:highlight w:val="none"/>
                <w:lang w:bidi="ar"/>
              </w:rPr>
              <w:t>部门：</w:t>
            </w:r>
            <w:r>
              <w:rPr>
                <w:rFonts w:hint="default" w:ascii="宋体" w:hAnsi="宋体" w:eastAsia="宋体" w:cs="宋体"/>
                <w:color w:val="000000"/>
                <w:sz w:val="20"/>
                <w:u w:color="auto"/>
              </w:rPr>
              <w:t>环江毛南族自治县民族中学</w:t>
            </w:r>
          </w:p>
        </w:tc>
        <w:tc>
          <w:tcPr>
            <w:tcW w:w="3107" w:type="dxa"/>
            <w:tcBorders>
              <w:top w:val="nil"/>
              <w:left w:val="nil"/>
              <w:bottom w:val="single" w:color="auto" w:sz="4" w:space="0"/>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2889" w:type="dxa"/>
            <w:tcBorders>
              <w:top w:val="nil"/>
              <w:left w:val="nil"/>
              <w:bottom w:val="single" w:color="auto" w:sz="4" w:space="0"/>
              <w:right w:val="nil"/>
            </w:tcBorders>
            <w:shd w:val="clear" w:color="auto" w:fill="auto"/>
            <w:noWrap/>
            <w:vAlign w:val="bottom"/>
          </w:tcPr>
          <w:p>
            <w:pPr>
              <w:keepNext w:val="0"/>
              <w:keepLines w:val="0"/>
              <w:widowControl/>
              <w:suppressLineNumbers w:val="0"/>
              <w:spacing w:before="0" w:beforeAutospacing="0" w:after="0" w:afterAutospacing="0"/>
              <w:ind w:left="0" w:right="0"/>
              <w:jc w:val="right"/>
              <w:textAlignment w:val="bottom"/>
              <w:rPr>
                <w:rFonts w:hint="default" w:ascii="宋体" w:hAnsi="宋体" w:eastAsia="宋体" w:cs="宋体"/>
                <w:color w:val="000000"/>
                <w:sz w:val="20"/>
                <w:szCs w:val="20"/>
                <w:highlight w:val="none"/>
              </w:rPr>
            </w:pPr>
            <w:r>
              <w:rPr>
                <w:rFonts w:hint="eastAsia" w:ascii="宋体" w:hAnsi="宋体" w:eastAsia="宋体" w:cs="宋体"/>
                <w:color w:val="000000"/>
                <w:kern w:val="0"/>
                <w:sz w:val="20"/>
                <w:szCs w:val="20"/>
                <w:highlight w:val="none"/>
                <w:lang w:bidi="ar"/>
              </w:rPr>
              <w:t>金额单位：万元</w:t>
            </w:r>
          </w:p>
        </w:tc>
      </w:tr>
      <w:tr>
        <w:tblPrEx>
          <w:tblCellMar>
            <w:top w:w="0" w:type="dxa"/>
            <w:left w:w="108" w:type="dxa"/>
            <w:bottom w:w="0" w:type="dxa"/>
            <w:right w:w="108" w:type="dxa"/>
          </w:tblCellMar>
        </w:tblPrEx>
        <w:trPr>
          <w:trHeight w:val="358" w:hRule="atLeast"/>
        </w:trPr>
        <w:tc>
          <w:tcPr>
            <w:tcW w:w="4811" w:type="dxa"/>
            <w:gridSpan w:val="5"/>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项目</w:t>
            </w:r>
          </w:p>
        </w:tc>
        <w:tc>
          <w:tcPr>
            <w:tcW w:w="9169"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本年支出</w:t>
            </w:r>
          </w:p>
        </w:tc>
      </w:tr>
      <w:tr>
        <w:tblPrEx>
          <w:tblCellMar>
            <w:top w:w="0" w:type="dxa"/>
            <w:left w:w="108" w:type="dxa"/>
            <w:bottom w:w="0" w:type="dxa"/>
            <w:right w:w="108" w:type="dxa"/>
          </w:tblCellMar>
        </w:tblPrEx>
        <w:trPr>
          <w:trHeight w:val="353" w:hRule="atLeast"/>
        </w:trPr>
        <w:tc>
          <w:tcPr>
            <w:tcW w:w="2011"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功能分类科目编码</w:t>
            </w:r>
          </w:p>
        </w:tc>
        <w:tc>
          <w:tcPr>
            <w:tcW w:w="2800" w:type="dxa"/>
            <w:gridSpan w:val="4"/>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科目名称</w:t>
            </w:r>
          </w:p>
        </w:tc>
        <w:tc>
          <w:tcPr>
            <w:tcW w:w="3173"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小计</w:t>
            </w:r>
          </w:p>
        </w:tc>
        <w:tc>
          <w:tcPr>
            <w:tcW w:w="3107"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基本支出</w:t>
            </w:r>
          </w:p>
        </w:tc>
        <w:tc>
          <w:tcPr>
            <w:tcW w:w="2889"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项目支出</w:t>
            </w:r>
          </w:p>
        </w:tc>
      </w:tr>
      <w:tr>
        <w:tblPrEx>
          <w:tblCellMar>
            <w:top w:w="0" w:type="dxa"/>
            <w:left w:w="108" w:type="dxa"/>
            <w:bottom w:w="0" w:type="dxa"/>
            <w:right w:w="108" w:type="dxa"/>
          </w:tblCellMar>
        </w:tblPrEx>
        <w:trPr>
          <w:trHeight w:val="319" w:hRule="atLeast"/>
        </w:trPr>
        <w:tc>
          <w:tcPr>
            <w:tcW w:w="2011"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2800" w:type="dxa"/>
            <w:gridSpan w:val="4"/>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317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310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2889"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r>
      <w:tr>
        <w:tblPrEx>
          <w:tblCellMar>
            <w:top w:w="0" w:type="dxa"/>
            <w:left w:w="108" w:type="dxa"/>
            <w:bottom w:w="0" w:type="dxa"/>
            <w:right w:w="108" w:type="dxa"/>
          </w:tblCellMar>
        </w:tblPrEx>
        <w:trPr>
          <w:trHeight w:val="353" w:hRule="atLeast"/>
        </w:trPr>
        <w:tc>
          <w:tcPr>
            <w:tcW w:w="2011"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2800" w:type="dxa"/>
            <w:gridSpan w:val="4"/>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317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310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2889"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r>
      <w:tr>
        <w:tblPrEx>
          <w:tblCellMar>
            <w:top w:w="0" w:type="dxa"/>
            <w:left w:w="108" w:type="dxa"/>
            <w:bottom w:w="0" w:type="dxa"/>
            <w:right w:w="108" w:type="dxa"/>
          </w:tblCellMar>
        </w:tblPrEx>
        <w:trPr>
          <w:trHeight w:val="358" w:hRule="atLeast"/>
        </w:trPr>
        <w:tc>
          <w:tcPr>
            <w:tcW w:w="4811" w:type="dxa"/>
            <w:gridSpan w:val="5"/>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栏次</w:t>
            </w:r>
          </w:p>
        </w:tc>
        <w:tc>
          <w:tcPr>
            <w:tcW w:w="3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1</w:t>
            </w:r>
          </w:p>
        </w:tc>
        <w:tc>
          <w:tcPr>
            <w:tcW w:w="3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2</w:t>
            </w:r>
          </w:p>
        </w:tc>
        <w:tc>
          <w:tcPr>
            <w:tcW w:w="288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3</w:t>
            </w:r>
          </w:p>
        </w:tc>
      </w:tr>
      <w:tr>
        <w:tblPrEx>
          <w:tblCellMar>
            <w:top w:w="0" w:type="dxa"/>
            <w:left w:w="108" w:type="dxa"/>
            <w:bottom w:w="0" w:type="dxa"/>
            <w:right w:w="108" w:type="dxa"/>
          </w:tblCellMar>
        </w:tblPrEx>
        <w:trPr>
          <w:trHeight w:val="358" w:hRule="atLeast"/>
        </w:trPr>
        <w:tc>
          <w:tcPr>
            <w:tcW w:w="4811" w:type="dxa"/>
            <w:gridSpan w:val="5"/>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合计</w:t>
            </w:r>
          </w:p>
        </w:tc>
        <w:tc>
          <w:tcPr>
            <w:tcW w:w="3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b/>
                <w:bCs/>
                <w:color w:val="000000"/>
                <w:sz w:val="22"/>
                <w:szCs w:val="22"/>
                <w:highlight w:val="none"/>
              </w:rPr>
            </w:pPr>
            <w:r>
              <w:rPr>
                <w:rFonts w:hint="default" w:ascii="宋体" w:hAnsi="宋体" w:eastAsia="宋体" w:cs="宋体"/>
                <w:b/>
                <w:bCs/>
                <w:color w:val="000000"/>
                <w:sz w:val="22"/>
                <w:szCs w:val="22"/>
                <w:highlight w:val="none"/>
              </w:rPr>
              <w:t>2195.79</w:t>
            </w:r>
          </w:p>
        </w:tc>
        <w:tc>
          <w:tcPr>
            <w:tcW w:w="3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b/>
                <w:bCs/>
                <w:color w:val="000000"/>
                <w:sz w:val="22"/>
                <w:szCs w:val="22"/>
                <w:highlight w:val="none"/>
              </w:rPr>
            </w:pPr>
            <w:r>
              <w:rPr>
                <w:rFonts w:hint="eastAsia" w:ascii="宋体" w:hAnsi="宋体" w:eastAsia="宋体" w:cs="宋体"/>
                <w:b/>
                <w:bCs/>
                <w:color w:val="000000"/>
                <w:sz w:val="22"/>
                <w:szCs w:val="22"/>
                <w:highlight w:val="none"/>
              </w:rPr>
              <w:t>1894.29</w:t>
            </w:r>
          </w:p>
        </w:tc>
        <w:tc>
          <w:tcPr>
            <w:tcW w:w="288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b/>
                <w:bCs/>
                <w:color w:val="000000"/>
                <w:sz w:val="22"/>
                <w:szCs w:val="22"/>
                <w:highlight w:val="none"/>
              </w:rPr>
            </w:pPr>
            <w:r>
              <w:rPr>
                <w:rFonts w:hint="eastAsia" w:ascii="宋体" w:hAnsi="宋体" w:eastAsia="宋体" w:cs="宋体"/>
                <w:b/>
                <w:bCs/>
                <w:color w:val="000000"/>
                <w:sz w:val="22"/>
                <w:szCs w:val="22"/>
                <w:highlight w:val="none"/>
              </w:rPr>
              <w:t>301.50</w:t>
            </w:r>
          </w:p>
        </w:tc>
      </w:tr>
      <w:tr>
        <w:tblPrEx>
          <w:tblCellMar>
            <w:top w:w="0" w:type="dxa"/>
            <w:left w:w="108" w:type="dxa"/>
            <w:bottom w:w="0" w:type="dxa"/>
            <w:right w:w="108" w:type="dxa"/>
          </w:tblCellMar>
        </w:tblPrEx>
        <w:trPr>
          <w:trHeight w:val="358" w:hRule="atLeast"/>
        </w:trPr>
        <w:tc>
          <w:tcPr>
            <w:tcW w:w="201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201</w:t>
            </w:r>
          </w:p>
        </w:tc>
        <w:tc>
          <w:tcPr>
            <w:tcW w:w="2800"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一般公共服务支出</w:t>
            </w:r>
          </w:p>
        </w:tc>
        <w:tc>
          <w:tcPr>
            <w:tcW w:w="3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18.19</w:t>
            </w:r>
          </w:p>
        </w:tc>
        <w:tc>
          <w:tcPr>
            <w:tcW w:w="3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18.19</w:t>
            </w:r>
          </w:p>
        </w:tc>
        <w:tc>
          <w:tcPr>
            <w:tcW w:w="288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58" w:hRule="atLeast"/>
        </w:trPr>
        <w:tc>
          <w:tcPr>
            <w:tcW w:w="201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20129</w:t>
            </w:r>
          </w:p>
        </w:tc>
        <w:tc>
          <w:tcPr>
            <w:tcW w:w="2800"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群众团体事务</w:t>
            </w:r>
          </w:p>
        </w:tc>
        <w:tc>
          <w:tcPr>
            <w:tcW w:w="3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18.19</w:t>
            </w:r>
          </w:p>
        </w:tc>
        <w:tc>
          <w:tcPr>
            <w:tcW w:w="3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18.19</w:t>
            </w:r>
          </w:p>
        </w:tc>
        <w:tc>
          <w:tcPr>
            <w:tcW w:w="288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58" w:hRule="atLeast"/>
        </w:trPr>
        <w:tc>
          <w:tcPr>
            <w:tcW w:w="201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2012999</w:t>
            </w:r>
          </w:p>
        </w:tc>
        <w:tc>
          <w:tcPr>
            <w:tcW w:w="2800"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 xml:space="preserve">  其他群众团体事务支出</w:t>
            </w:r>
          </w:p>
        </w:tc>
        <w:tc>
          <w:tcPr>
            <w:tcW w:w="3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18.19</w:t>
            </w:r>
          </w:p>
        </w:tc>
        <w:tc>
          <w:tcPr>
            <w:tcW w:w="3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18.19</w:t>
            </w:r>
          </w:p>
        </w:tc>
        <w:tc>
          <w:tcPr>
            <w:tcW w:w="288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58" w:hRule="atLeast"/>
        </w:trPr>
        <w:tc>
          <w:tcPr>
            <w:tcW w:w="201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205</w:t>
            </w:r>
          </w:p>
        </w:tc>
        <w:tc>
          <w:tcPr>
            <w:tcW w:w="2800"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教育支出</w:t>
            </w:r>
          </w:p>
        </w:tc>
        <w:tc>
          <w:tcPr>
            <w:tcW w:w="3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1747.36</w:t>
            </w:r>
          </w:p>
        </w:tc>
        <w:tc>
          <w:tcPr>
            <w:tcW w:w="3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1628.98</w:t>
            </w:r>
          </w:p>
        </w:tc>
        <w:tc>
          <w:tcPr>
            <w:tcW w:w="288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118.38</w:t>
            </w:r>
          </w:p>
        </w:tc>
      </w:tr>
      <w:tr>
        <w:tblPrEx>
          <w:tblCellMar>
            <w:top w:w="0" w:type="dxa"/>
            <w:left w:w="108" w:type="dxa"/>
            <w:bottom w:w="0" w:type="dxa"/>
            <w:right w:w="108" w:type="dxa"/>
          </w:tblCellMar>
        </w:tblPrEx>
        <w:trPr>
          <w:trHeight w:val="358" w:hRule="atLeast"/>
        </w:trPr>
        <w:tc>
          <w:tcPr>
            <w:tcW w:w="201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20502</w:t>
            </w:r>
          </w:p>
        </w:tc>
        <w:tc>
          <w:tcPr>
            <w:tcW w:w="2800"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普通教育</w:t>
            </w:r>
          </w:p>
        </w:tc>
        <w:tc>
          <w:tcPr>
            <w:tcW w:w="3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1747.36</w:t>
            </w:r>
          </w:p>
        </w:tc>
        <w:tc>
          <w:tcPr>
            <w:tcW w:w="3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1628.98</w:t>
            </w:r>
          </w:p>
        </w:tc>
        <w:tc>
          <w:tcPr>
            <w:tcW w:w="288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118.38</w:t>
            </w:r>
          </w:p>
        </w:tc>
      </w:tr>
      <w:tr>
        <w:tblPrEx>
          <w:tblCellMar>
            <w:top w:w="0" w:type="dxa"/>
            <w:left w:w="108" w:type="dxa"/>
            <w:bottom w:w="0" w:type="dxa"/>
            <w:right w:w="108" w:type="dxa"/>
          </w:tblCellMar>
        </w:tblPrEx>
        <w:trPr>
          <w:trHeight w:val="358" w:hRule="atLeast"/>
        </w:trPr>
        <w:tc>
          <w:tcPr>
            <w:tcW w:w="201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2050203</w:t>
            </w:r>
          </w:p>
        </w:tc>
        <w:tc>
          <w:tcPr>
            <w:tcW w:w="2800"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 xml:space="preserve">  初中教育</w:t>
            </w:r>
          </w:p>
        </w:tc>
        <w:tc>
          <w:tcPr>
            <w:tcW w:w="3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1732.18</w:t>
            </w:r>
          </w:p>
        </w:tc>
        <w:tc>
          <w:tcPr>
            <w:tcW w:w="3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1620.23</w:t>
            </w:r>
          </w:p>
        </w:tc>
        <w:tc>
          <w:tcPr>
            <w:tcW w:w="288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111.95</w:t>
            </w:r>
          </w:p>
        </w:tc>
      </w:tr>
      <w:tr>
        <w:tblPrEx>
          <w:tblCellMar>
            <w:top w:w="0" w:type="dxa"/>
            <w:left w:w="108" w:type="dxa"/>
            <w:bottom w:w="0" w:type="dxa"/>
            <w:right w:w="108" w:type="dxa"/>
          </w:tblCellMar>
        </w:tblPrEx>
        <w:trPr>
          <w:trHeight w:val="358" w:hRule="atLeast"/>
        </w:trPr>
        <w:tc>
          <w:tcPr>
            <w:tcW w:w="201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2050299</w:t>
            </w:r>
          </w:p>
        </w:tc>
        <w:tc>
          <w:tcPr>
            <w:tcW w:w="2800"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 xml:space="preserve">  其他普通教育支出</w:t>
            </w:r>
          </w:p>
        </w:tc>
        <w:tc>
          <w:tcPr>
            <w:tcW w:w="3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15.18</w:t>
            </w:r>
          </w:p>
        </w:tc>
        <w:tc>
          <w:tcPr>
            <w:tcW w:w="3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8.75</w:t>
            </w:r>
          </w:p>
        </w:tc>
        <w:tc>
          <w:tcPr>
            <w:tcW w:w="288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6.43</w:t>
            </w:r>
          </w:p>
        </w:tc>
      </w:tr>
      <w:tr>
        <w:tblPrEx>
          <w:tblCellMar>
            <w:top w:w="0" w:type="dxa"/>
            <w:left w:w="108" w:type="dxa"/>
            <w:bottom w:w="0" w:type="dxa"/>
            <w:right w:w="108" w:type="dxa"/>
          </w:tblCellMar>
        </w:tblPrEx>
        <w:trPr>
          <w:trHeight w:val="358" w:hRule="atLeast"/>
        </w:trPr>
        <w:tc>
          <w:tcPr>
            <w:tcW w:w="201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208</w:t>
            </w:r>
          </w:p>
        </w:tc>
        <w:tc>
          <w:tcPr>
            <w:tcW w:w="2800"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社会保障和就业支出</w:t>
            </w:r>
          </w:p>
        </w:tc>
        <w:tc>
          <w:tcPr>
            <w:tcW w:w="3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140.66</w:t>
            </w:r>
          </w:p>
        </w:tc>
        <w:tc>
          <w:tcPr>
            <w:tcW w:w="3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140.66</w:t>
            </w:r>
          </w:p>
        </w:tc>
        <w:tc>
          <w:tcPr>
            <w:tcW w:w="288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58" w:hRule="atLeast"/>
        </w:trPr>
        <w:tc>
          <w:tcPr>
            <w:tcW w:w="201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20805</w:t>
            </w:r>
          </w:p>
        </w:tc>
        <w:tc>
          <w:tcPr>
            <w:tcW w:w="2800"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行政事业单位养老支出</w:t>
            </w:r>
          </w:p>
        </w:tc>
        <w:tc>
          <w:tcPr>
            <w:tcW w:w="3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140.66</w:t>
            </w:r>
          </w:p>
        </w:tc>
        <w:tc>
          <w:tcPr>
            <w:tcW w:w="3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140.66</w:t>
            </w:r>
          </w:p>
        </w:tc>
        <w:tc>
          <w:tcPr>
            <w:tcW w:w="288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58" w:hRule="atLeast"/>
        </w:trPr>
        <w:tc>
          <w:tcPr>
            <w:tcW w:w="201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2080505</w:t>
            </w:r>
          </w:p>
        </w:tc>
        <w:tc>
          <w:tcPr>
            <w:tcW w:w="2800"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 xml:space="preserve">  机关事业单位基本养老保险缴费支出</w:t>
            </w:r>
          </w:p>
        </w:tc>
        <w:tc>
          <w:tcPr>
            <w:tcW w:w="3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140.66</w:t>
            </w:r>
          </w:p>
        </w:tc>
        <w:tc>
          <w:tcPr>
            <w:tcW w:w="3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140.66</w:t>
            </w:r>
          </w:p>
        </w:tc>
        <w:tc>
          <w:tcPr>
            <w:tcW w:w="288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58" w:hRule="atLeast"/>
        </w:trPr>
        <w:tc>
          <w:tcPr>
            <w:tcW w:w="201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221</w:t>
            </w:r>
          </w:p>
        </w:tc>
        <w:tc>
          <w:tcPr>
            <w:tcW w:w="2800"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住房保障支出</w:t>
            </w:r>
          </w:p>
        </w:tc>
        <w:tc>
          <w:tcPr>
            <w:tcW w:w="3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106.46</w:t>
            </w:r>
          </w:p>
        </w:tc>
        <w:tc>
          <w:tcPr>
            <w:tcW w:w="3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106.46</w:t>
            </w:r>
          </w:p>
        </w:tc>
        <w:tc>
          <w:tcPr>
            <w:tcW w:w="288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58" w:hRule="atLeast"/>
        </w:trPr>
        <w:tc>
          <w:tcPr>
            <w:tcW w:w="201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22102</w:t>
            </w:r>
          </w:p>
        </w:tc>
        <w:tc>
          <w:tcPr>
            <w:tcW w:w="2800"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住房改革支出</w:t>
            </w:r>
          </w:p>
        </w:tc>
        <w:tc>
          <w:tcPr>
            <w:tcW w:w="3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106.46</w:t>
            </w:r>
          </w:p>
        </w:tc>
        <w:tc>
          <w:tcPr>
            <w:tcW w:w="3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106.46</w:t>
            </w:r>
          </w:p>
        </w:tc>
        <w:tc>
          <w:tcPr>
            <w:tcW w:w="288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58" w:hRule="atLeast"/>
        </w:trPr>
        <w:tc>
          <w:tcPr>
            <w:tcW w:w="201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2210201</w:t>
            </w:r>
          </w:p>
        </w:tc>
        <w:tc>
          <w:tcPr>
            <w:tcW w:w="2800"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 xml:space="preserve">  住房公积金</w:t>
            </w:r>
          </w:p>
        </w:tc>
        <w:tc>
          <w:tcPr>
            <w:tcW w:w="3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106.46</w:t>
            </w:r>
          </w:p>
        </w:tc>
        <w:tc>
          <w:tcPr>
            <w:tcW w:w="3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106.46</w:t>
            </w:r>
          </w:p>
        </w:tc>
        <w:tc>
          <w:tcPr>
            <w:tcW w:w="288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58" w:hRule="atLeast"/>
        </w:trPr>
        <w:tc>
          <w:tcPr>
            <w:tcW w:w="201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229</w:t>
            </w:r>
          </w:p>
        </w:tc>
        <w:tc>
          <w:tcPr>
            <w:tcW w:w="2800"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其他支出</w:t>
            </w:r>
          </w:p>
        </w:tc>
        <w:tc>
          <w:tcPr>
            <w:tcW w:w="3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183.12</w:t>
            </w:r>
          </w:p>
        </w:tc>
        <w:tc>
          <w:tcPr>
            <w:tcW w:w="3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0.00</w:t>
            </w:r>
          </w:p>
        </w:tc>
        <w:tc>
          <w:tcPr>
            <w:tcW w:w="288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183.12</w:t>
            </w:r>
          </w:p>
        </w:tc>
      </w:tr>
      <w:tr>
        <w:tblPrEx>
          <w:tblCellMar>
            <w:top w:w="0" w:type="dxa"/>
            <w:left w:w="108" w:type="dxa"/>
            <w:bottom w:w="0" w:type="dxa"/>
            <w:right w:w="108" w:type="dxa"/>
          </w:tblCellMar>
        </w:tblPrEx>
        <w:trPr>
          <w:trHeight w:val="358" w:hRule="atLeast"/>
        </w:trPr>
        <w:tc>
          <w:tcPr>
            <w:tcW w:w="201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22999</w:t>
            </w:r>
          </w:p>
        </w:tc>
        <w:tc>
          <w:tcPr>
            <w:tcW w:w="2800"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其他支出</w:t>
            </w:r>
          </w:p>
        </w:tc>
        <w:tc>
          <w:tcPr>
            <w:tcW w:w="3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183.12</w:t>
            </w:r>
          </w:p>
        </w:tc>
        <w:tc>
          <w:tcPr>
            <w:tcW w:w="3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0.00</w:t>
            </w:r>
          </w:p>
        </w:tc>
        <w:tc>
          <w:tcPr>
            <w:tcW w:w="288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183.12</w:t>
            </w:r>
          </w:p>
        </w:tc>
      </w:tr>
      <w:tr>
        <w:tblPrEx>
          <w:tblCellMar>
            <w:top w:w="0" w:type="dxa"/>
            <w:left w:w="108" w:type="dxa"/>
            <w:bottom w:w="0" w:type="dxa"/>
            <w:right w:w="108" w:type="dxa"/>
          </w:tblCellMar>
        </w:tblPrEx>
        <w:trPr>
          <w:trHeight w:val="358" w:hRule="atLeast"/>
        </w:trPr>
        <w:tc>
          <w:tcPr>
            <w:tcW w:w="201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2299999</w:t>
            </w:r>
          </w:p>
        </w:tc>
        <w:tc>
          <w:tcPr>
            <w:tcW w:w="2800"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 xml:space="preserve">  其他支出</w:t>
            </w:r>
          </w:p>
        </w:tc>
        <w:tc>
          <w:tcPr>
            <w:tcW w:w="3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183.12</w:t>
            </w:r>
          </w:p>
        </w:tc>
        <w:tc>
          <w:tcPr>
            <w:tcW w:w="3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0.00</w:t>
            </w:r>
          </w:p>
        </w:tc>
        <w:tc>
          <w:tcPr>
            <w:tcW w:w="288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183.12</w:t>
            </w:r>
          </w:p>
        </w:tc>
      </w:tr>
      <w:tr>
        <w:tblPrEx>
          <w:tblCellMar>
            <w:top w:w="0" w:type="dxa"/>
            <w:left w:w="108" w:type="dxa"/>
            <w:bottom w:w="0" w:type="dxa"/>
            <w:right w:w="108" w:type="dxa"/>
          </w:tblCellMar>
        </w:tblPrEx>
        <w:trPr>
          <w:trHeight w:val="358" w:hRule="atLeast"/>
        </w:trPr>
        <w:tc>
          <w:tcPr>
            <w:tcW w:w="13980" w:type="dxa"/>
            <w:gridSpan w:val="8"/>
            <w:tcBorders>
              <w:top w:val="single" w:color="auto" w:sz="4" w:space="0"/>
              <w:left w:val="nil"/>
              <w:bottom w:val="nil"/>
              <w:right w:val="nil"/>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注：本表反映部门本年度一般公共预算财政拨款支出情况。</w:t>
            </w:r>
          </w:p>
        </w:tc>
      </w:tr>
    </w:tbl>
    <w:p>
      <w:pPr>
        <w:rPr>
          <w:rFonts w:ascii="仿宋" w:hAnsi="仿宋" w:eastAsia="仿宋" w:cs="仿宋"/>
          <w:sz w:val="24"/>
          <w:highlight w:val="none"/>
        </w:rPr>
      </w:pPr>
      <w:r>
        <w:rPr>
          <w:rFonts w:ascii="仿宋" w:hAnsi="仿宋" w:eastAsia="仿宋" w:cs="仿宋"/>
          <w:sz w:val="24"/>
          <w:highlight w:val="none"/>
        </w:rPr>
        <w:br w:type="page"/>
      </w:r>
    </w:p>
    <w:p>
      <w:pPr>
        <w:jc w:val="left"/>
        <w:rPr>
          <w:rFonts w:hint="eastAsia" w:ascii="仿宋" w:hAnsi="仿宋" w:eastAsia="仿宋" w:cs="仿宋"/>
          <w:sz w:val="24"/>
          <w:highlight w:val="none"/>
        </w:rPr>
      </w:pPr>
      <w:r>
        <w:rPr>
          <w:rFonts w:hint="eastAsia" w:ascii="仿宋" w:hAnsi="仿宋" w:eastAsia="仿宋" w:cs="仿宋"/>
          <w:sz w:val="24"/>
          <w:highlight w:val="none"/>
        </w:rPr>
        <w:t>表六：一般公共预算财政拨款基本支出决算表</w:t>
      </w:r>
    </w:p>
    <w:p>
      <w:pPr>
        <w:jc w:val="left"/>
        <w:rPr>
          <w:rFonts w:hint="eastAsia" w:ascii="仿宋" w:hAnsi="仿宋" w:eastAsia="仿宋" w:cs="仿宋"/>
          <w:sz w:val="24"/>
          <w:highlight w:val="none"/>
        </w:rPr>
      </w:pPr>
    </w:p>
    <w:tbl>
      <w:tblPr>
        <w:tblStyle w:val="6"/>
        <w:tblW w:w="14000" w:type="dxa"/>
        <w:tblInd w:w="96" w:type="dxa"/>
        <w:tblLayout w:type="fixed"/>
        <w:tblCellMar>
          <w:top w:w="0" w:type="dxa"/>
          <w:left w:w="108" w:type="dxa"/>
          <w:bottom w:w="0" w:type="dxa"/>
          <w:right w:w="108" w:type="dxa"/>
        </w:tblCellMar>
      </w:tblPr>
      <w:tblGrid>
        <w:gridCol w:w="1107"/>
        <w:gridCol w:w="2371"/>
        <w:gridCol w:w="1106"/>
        <w:gridCol w:w="1280"/>
        <w:gridCol w:w="2347"/>
        <w:gridCol w:w="1160"/>
        <w:gridCol w:w="1173"/>
        <w:gridCol w:w="2147"/>
        <w:gridCol w:w="1309"/>
      </w:tblGrid>
      <w:tr>
        <w:tblPrEx>
          <w:tblCellMar>
            <w:top w:w="0" w:type="dxa"/>
            <w:left w:w="108" w:type="dxa"/>
            <w:bottom w:w="0" w:type="dxa"/>
            <w:right w:w="108" w:type="dxa"/>
          </w:tblCellMar>
        </w:tblPrEx>
        <w:trPr>
          <w:trHeight w:val="614" w:hRule="atLeast"/>
        </w:trPr>
        <w:tc>
          <w:tcPr>
            <w:tcW w:w="14000" w:type="dxa"/>
            <w:gridSpan w:val="9"/>
            <w:tcBorders>
              <w:top w:val="nil"/>
              <w:left w:val="nil"/>
              <w:bottom w:val="nil"/>
              <w:right w:val="nil"/>
            </w:tcBorders>
            <w:shd w:val="clear" w:color="auto" w:fill="auto"/>
            <w:noWrap/>
            <w:vAlign w:val="bottom"/>
          </w:tcPr>
          <w:p>
            <w:pPr>
              <w:keepNext w:val="0"/>
              <w:keepLines w:val="0"/>
              <w:widowControl/>
              <w:suppressLineNumbers w:val="0"/>
              <w:spacing w:before="0" w:beforeAutospacing="0" w:after="0" w:afterAutospacing="0"/>
              <w:ind w:left="0" w:right="0"/>
              <w:jc w:val="center"/>
              <w:textAlignment w:val="bottom"/>
              <w:rPr>
                <w:rFonts w:hint="default" w:ascii="宋体" w:hAnsi="宋体" w:eastAsia="宋体" w:cs="宋体"/>
                <w:color w:val="000000"/>
                <w:sz w:val="30"/>
                <w:szCs w:val="30"/>
                <w:highlight w:val="none"/>
              </w:rPr>
            </w:pPr>
            <w:r>
              <w:rPr>
                <w:rFonts w:hint="eastAsia" w:ascii="宋体" w:hAnsi="宋体" w:eastAsia="宋体" w:cs="宋体"/>
                <w:color w:val="000000"/>
                <w:kern w:val="0"/>
                <w:sz w:val="32"/>
                <w:szCs w:val="32"/>
                <w:highlight w:val="none"/>
                <w:lang w:bidi="ar"/>
              </w:rPr>
              <w:t>一般公共预算财政拨款基本支出决算明细表</w:t>
            </w:r>
          </w:p>
        </w:tc>
      </w:tr>
      <w:tr>
        <w:tblPrEx>
          <w:tblCellMar>
            <w:top w:w="0" w:type="dxa"/>
            <w:left w:w="108" w:type="dxa"/>
            <w:bottom w:w="0" w:type="dxa"/>
            <w:right w:w="108" w:type="dxa"/>
          </w:tblCellMar>
        </w:tblPrEx>
        <w:trPr>
          <w:trHeight w:val="307" w:hRule="atLeast"/>
        </w:trPr>
        <w:tc>
          <w:tcPr>
            <w:tcW w:w="1107"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2371"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106"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280"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2347"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160"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173"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2147"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309" w:type="dxa"/>
            <w:tcBorders>
              <w:top w:val="nil"/>
              <w:left w:val="nil"/>
              <w:bottom w:val="nil"/>
              <w:right w:val="nil"/>
            </w:tcBorders>
            <w:shd w:val="clear" w:color="auto" w:fill="auto"/>
            <w:noWrap/>
            <w:vAlign w:val="bottom"/>
          </w:tcPr>
          <w:p>
            <w:pPr>
              <w:keepNext w:val="0"/>
              <w:keepLines w:val="0"/>
              <w:widowControl/>
              <w:suppressLineNumbers w:val="0"/>
              <w:spacing w:before="0" w:beforeAutospacing="0" w:after="0" w:afterAutospacing="0"/>
              <w:ind w:left="0" w:right="0"/>
              <w:jc w:val="right"/>
              <w:textAlignment w:val="bottom"/>
              <w:rPr>
                <w:rFonts w:hint="default" w:ascii="宋体" w:hAnsi="宋体" w:eastAsia="宋体" w:cs="宋体"/>
                <w:color w:val="000000"/>
                <w:sz w:val="20"/>
                <w:szCs w:val="20"/>
                <w:highlight w:val="none"/>
              </w:rPr>
            </w:pPr>
            <w:r>
              <w:rPr>
                <w:rFonts w:hint="eastAsia" w:ascii="宋体" w:hAnsi="宋体" w:eastAsia="宋体" w:cs="宋体"/>
                <w:color w:val="000000"/>
                <w:kern w:val="0"/>
                <w:sz w:val="20"/>
                <w:szCs w:val="20"/>
                <w:highlight w:val="none"/>
                <w:lang w:bidi="ar"/>
              </w:rPr>
              <w:t>公开06表</w:t>
            </w:r>
          </w:p>
        </w:tc>
      </w:tr>
      <w:tr>
        <w:tblPrEx>
          <w:tblCellMar>
            <w:top w:w="0" w:type="dxa"/>
            <w:left w:w="108" w:type="dxa"/>
            <w:bottom w:w="0" w:type="dxa"/>
            <w:right w:w="108" w:type="dxa"/>
          </w:tblCellMar>
        </w:tblPrEx>
        <w:trPr>
          <w:trHeight w:val="569" w:hRule="atLeast"/>
        </w:trPr>
        <w:tc>
          <w:tcPr>
            <w:tcW w:w="8211" w:type="dxa"/>
            <w:gridSpan w:val="5"/>
            <w:tcBorders>
              <w:top w:val="nil"/>
              <w:left w:val="nil"/>
              <w:bottom w:val="single" w:color="auto" w:sz="4" w:space="0"/>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r>
              <w:rPr>
                <w:rFonts w:hint="eastAsia" w:ascii="宋体" w:hAnsi="宋体" w:eastAsia="宋体" w:cs="宋体"/>
                <w:color w:val="000000"/>
                <w:kern w:val="0"/>
                <w:sz w:val="20"/>
                <w:szCs w:val="20"/>
                <w:highlight w:val="none"/>
                <w:lang w:bidi="ar"/>
              </w:rPr>
              <w:t>部门：</w:t>
            </w:r>
            <w:r>
              <w:rPr>
                <w:rFonts w:hint="default" w:ascii="宋体" w:hAnsi="宋体" w:eastAsia="宋体" w:cs="宋体"/>
                <w:color w:val="000000"/>
                <w:sz w:val="20"/>
                <w:u w:color="auto"/>
              </w:rPr>
              <w:t>环江毛南族自治县民族中学</w:t>
            </w:r>
          </w:p>
        </w:tc>
        <w:tc>
          <w:tcPr>
            <w:tcW w:w="1160" w:type="dxa"/>
            <w:tcBorders>
              <w:top w:val="nil"/>
              <w:left w:val="nil"/>
              <w:bottom w:val="single" w:color="auto" w:sz="4" w:space="0"/>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173" w:type="dxa"/>
            <w:tcBorders>
              <w:top w:val="nil"/>
              <w:left w:val="nil"/>
              <w:bottom w:val="single" w:color="auto" w:sz="4" w:space="0"/>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3456" w:type="dxa"/>
            <w:gridSpan w:val="2"/>
            <w:tcBorders>
              <w:top w:val="nil"/>
              <w:left w:val="nil"/>
              <w:bottom w:val="single" w:color="auto" w:sz="4" w:space="0"/>
            </w:tcBorders>
            <w:shd w:val="clear" w:color="auto" w:fill="auto"/>
            <w:noWrap/>
            <w:vAlign w:val="bottom"/>
          </w:tcPr>
          <w:p>
            <w:pPr>
              <w:keepNext w:val="0"/>
              <w:keepLines w:val="0"/>
              <w:widowControl/>
              <w:suppressLineNumbers w:val="0"/>
              <w:spacing w:before="0" w:beforeAutospacing="0" w:after="0" w:afterAutospacing="0"/>
              <w:ind w:left="0" w:right="0"/>
              <w:jc w:val="right"/>
              <w:textAlignment w:val="bottom"/>
              <w:rPr>
                <w:rFonts w:hint="default" w:ascii="宋体" w:hAnsi="宋体" w:eastAsia="宋体" w:cs="宋体"/>
                <w:color w:val="000000"/>
                <w:sz w:val="20"/>
                <w:szCs w:val="20"/>
                <w:highlight w:val="none"/>
              </w:rPr>
            </w:pPr>
            <w:r>
              <w:rPr>
                <w:rFonts w:hint="eastAsia" w:ascii="宋体" w:hAnsi="宋体" w:eastAsia="宋体" w:cs="宋体"/>
                <w:color w:val="000000"/>
                <w:kern w:val="0"/>
                <w:sz w:val="20"/>
                <w:szCs w:val="20"/>
                <w:highlight w:val="none"/>
                <w:lang w:bidi="ar"/>
              </w:rPr>
              <w:t>金额单位：万元</w:t>
            </w:r>
          </w:p>
        </w:tc>
      </w:tr>
      <w:tr>
        <w:tblPrEx>
          <w:tblCellMar>
            <w:top w:w="0" w:type="dxa"/>
            <w:left w:w="108" w:type="dxa"/>
            <w:bottom w:w="0" w:type="dxa"/>
            <w:right w:w="108" w:type="dxa"/>
          </w:tblCellMar>
        </w:tblPrEx>
        <w:trPr>
          <w:trHeight w:val="319" w:hRule="atLeast"/>
        </w:trPr>
        <w:tc>
          <w:tcPr>
            <w:tcW w:w="4584"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人员经费</w:t>
            </w:r>
          </w:p>
        </w:tc>
        <w:tc>
          <w:tcPr>
            <w:tcW w:w="9416" w:type="dxa"/>
            <w:gridSpan w:val="6"/>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公用经费</w:t>
            </w:r>
          </w:p>
        </w:tc>
      </w:tr>
      <w:tr>
        <w:tblPrEx>
          <w:tblCellMar>
            <w:top w:w="0" w:type="dxa"/>
            <w:left w:w="108" w:type="dxa"/>
            <w:bottom w:w="0" w:type="dxa"/>
            <w:right w:w="108" w:type="dxa"/>
          </w:tblCellMar>
        </w:tblPrEx>
        <w:trPr>
          <w:trHeight w:val="624" w:hRule="atLeast"/>
        </w:trPr>
        <w:tc>
          <w:tcPr>
            <w:tcW w:w="110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科目编码</w:t>
            </w:r>
          </w:p>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p>
        </w:tc>
        <w:tc>
          <w:tcPr>
            <w:tcW w:w="2371"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科目名称</w:t>
            </w:r>
          </w:p>
        </w:tc>
        <w:tc>
          <w:tcPr>
            <w:tcW w:w="1106"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决算数</w:t>
            </w:r>
          </w:p>
        </w:tc>
        <w:tc>
          <w:tcPr>
            <w:tcW w:w="1280"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科目编码</w:t>
            </w:r>
          </w:p>
        </w:tc>
        <w:tc>
          <w:tcPr>
            <w:tcW w:w="2347"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科目名称</w:t>
            </w:r>
          </w:p>
        </w:tc>
        <w:tc>
          <w:tcPr>
            <w:tcW w:w="1160"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决算数</w:t>
            </w:r>
          </w:p>
        </w:tc>
        <w:tc>
          <w:tcPr>
            <w:tcW w:w="1173"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科目编码</w:t>
            </w:r>
          </w:p>
        </w:tc>
        <w:tc>
          <w:tcPr>
            <w:tcW w:w="2147"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科目名称</w:t>
            </w:r>
          </w:p>
        </w:tc>
        <w:tc>
          <w:tcPr>
            <w:tcW w:w="1309"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决算数</w:t>
            </w:r>
          </w:p>
        </w:tc>
      </w:tr>
      <w:tr>
        <w:tblPrEx>
          <w:tblCellMar>
            <w:top w:w="0" w:type="dxa"/>
            <w:left w:w="108" w:type="dxa"/>
            <w:bottom w:w="0" w:type="dxa"/>
            <w:right w:w="108" w:type="dxa"/>
          </w:tblCellMar>
        </w:tblPrEx>
        <w:trPr>
          <w:trHeight w:val="1237" w:hRule="atLeast"/>
        </w:trPr>
        <w:tc>
          <w:tcPr>
            <w:tcW w:w="110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2371"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10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28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234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16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17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214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309"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r>
      <w:tr>
        <w:tblPrEx>
          <w:tblCellMar>
            <w:top w:w="0" w:type="dxa"/>
            <w:left w:w="108" w:type="dxa"/>
            <w:bottom w:w="0" w:type="dxa"/>
            <w:right w:w="108" w:type="dxa"/>
          </w:tblCellMar>
        </w:tblPrEx>
        <w:trPr>
          <w:trHeight w:val="624" w:hRule="atLeast"/>
        </w:trPr>
        <w:tc>
          <w:tcPr>
            <w:tcW w:w="1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301</w:t>
            </w:r>
          </w:p>
        </w:tc>
        <w:tc>
          <w:tcPr>
            <w:tcW w:w="237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工资福利支出</w:t>
            </w:r>
            <w:bookmarkStart w:id="0" w:name="OLE_LINK4"/>
            <w:bookmarkStart w:id="1" w:name="OLE_LINK3"/>
          </w:p>
        </w:tc>
        <w:tc>
          <w:tcPr>
            <w:tcW w:w="110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1185.76</w:t>
            </w:r>
          </w:p>
        </w:tc>
        <w:tc>
          <w:tcPr>
            <w:tcW w:w="12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302</w:t>
            </w:r>
          </w:p>
        </w:tc>
        <w:tc>
          <w:tcPr>
            <w:tcW w:w="23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商品和服务支出</w:t>
            </w:r>
          </w:p>
        </w:tc>
        <w:tc>
          <w:tcPr>
            <w:tcW w:w="11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205.23</w:t>
            </w:r>
          </w:p>
        </w:tc>
        <w:tc>
          <w:tcPr>
            <w:tcW w:w="1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307</w:t>
            </w:r>
          </w:p>
        </w:tc>
        <w:tc>
          <w:tcPr>
            <w:tcW w:w="21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债务利息及费用支出</w:t>
            </w:r>
          </w:p>
        </w:tc>
        <w:tc>
          <w:tcPr>
            <w:tcW w:w="130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0.00</w:t>
            </w:r>
          </w:p>
        </w:tc>
      </w:tr>
      <w:tr>
        <w:tblPrEx>
          <w:tblCellMar>
            <w:top w:w="0" w:type="dxa"/>
            <w:left w:w="108" w:type="dxa"/>
            <w:bottom w:w="0" w:type="dxa"/>
            <w:right w:w="108" w:type="dxa"/>
          </w:tblCellMar>
        </w:tblPrEx>
        <w:trPr>
          <w:trHeight w:val="624" w:hRule="atLeast"/>
        </w:trPr>
        <w:tc>
          <w:tcPr>
            <w:tcW w:w="1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30101</w:t>
            </w:r>
          </w:p>
        </w:tc>
        <w:tc>
          <w:tcPr>
            <w:tcW w:w="237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基本工资</w:t>
            </w:r>
          </w:p>
        </w:tc>
        <w:tc>
          <w:tcPr>
            <w:tcW w:w="110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518.42</w:t>
            </w:r>
          </w:p>
        </w:tc>
        <w:tc>
          <w:tcPr>
            <w:tcW w:w="12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30201</w:t>
            </w:r>
          </w:p>
        </w:tc>
        <w:tc>
          <w:tcPr>
            <w:tcW w:w="23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办公费</w:t>
            </w:r>
          </w:p>
        </w:tc>
        <w:tc>
          <w:tcPr>
            <w:tcW w:w="11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56.55</w:t>
            </w:r>
          </w:p>
        </w:tc>
        <w:tc>
          <w:tcPr>
            <w:tcW w:w="1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30701</w:t>
            </w:r>
          </w:p>
        </w:tc>
        <w:tc>
          <w:tcPr>
            <w:tcW w:w="21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国内债务付息</w:t>
            </w:r>
          </w:p>
        </w:tc>
        <w:tc>
          <w:tcPr>
            <w:tcW w:w="130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0.00</w:t>
            </w:r>
          </w:p>
        </w:tc>
      </w:tr>
      <w:tr>
        <w:tblPrEx>
          <w:tblCellMar>
            <w:top w:w="0" w:type="dxa"/>
            <w:left w:w="108" w:type="dxa"/>
            <w:bottom w:w="0" w:type="dxa"/>
            <w:right w:w="108" w:type="dxa"/>
          </w:tblCellMar>
        </w:tblPrEx>
        <w:trPr>
          <w:trHeight w:val="624" w:hRule="atLeast"/>
        </w:trPr>
        <w:tc>
          <w:tcPr>
            <w:tcW w:w="1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30102</w:t>
            </w:r>
          </w:p>
        </w:tc>
        <w:tc>
          <w:tcPr>
            <w:tcW w:w="237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津贴补贴</w:t>
            </w:r>
          </w:p>
        </w:tc>
        <w:tc>
          <w:tcPr>
            <w:tcW w:w="110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45.60</w:t>
            </w:r>
          </w:p>
        </w:tc>
        <w:tc>
          <w:tcPr>
            <w:tcW w:w="12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30202</w:t>
            </w:r>
          </w:p>
        </w:tc>
        <w:tc>
          <w:tcPr>
            <w:tcW w:w="23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印刷费</w:t>
            </w:r>
          </w:p>
        </w:tc>
        <w:tc>
          <w:tcPr>
            <w:tcW w:w="11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0.00</w:t>
            </w:r>
          </w:p>
        </w:tc>
        <w:tc>
          <w:tcPr>
            <w:tcW w:w="1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30702</w:t>
            </w:r>
          </w:p>
        </w:tc>
        <w:tc>
          <w:tcPr>
            <w:tcW w:w="21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国外债务付息</w:t>
            </w:r>
          </w:p>
        </w:tc>
        <w:tc>
          <w:tcPr>
            <w:tcW w:w="130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0.00</w:t>
            </w:r>
          </w:p>
        </w:tc>
      </w:tr>
      <w:tr>
        <w:tblPrEx>
          <w:tblCellMar>
            <w:top w:w="0" w:type="dxa"/>
            <w:left w:w="108" w:type="dxa"/>
            <w:bottom w:w="0" w:type="dxa"/>
            <w:right w:w="108" w:type="dxa"/>
          </w:tblCellMar>
        </w:tblPrEx>
        <w:trPr>
          <w:trHeight w:val="624" w:hRule="atLeast"/>
        </w:trPr>
        <w:tc>
          <w:tcPr>
            <w:tcW w:w="1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30103</w:t>
            </w:r>
          </w:p>
        </w:tc>
        <w:tc>
          <w:tcPr>
            <w:tcW w:w="237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奖金</w:t>
            </w:r>
          </w:p>
        </w:tc>
        <w:tc>
          <w:tcPr>
            <w:tcW w:w="110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95.39</w:t>
            </w:r>
          </w:p>
        </w:tc>
        <w:tc>
          <w:tcPr>
            <w:tcW w:w="12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30203</w:t>
            </w:r>
          </w:p>
        </w:tc>
        <w:tc>
          <w:tcPr>
            <w:tcW w:w="23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咨询费</w:t>
            </w:r>
          </w:p>
        </w:tc>
        <w:tc>
          <w:tcPr>
            <w:tcW w:w="11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0.00</w:t>
            </w:r>
          </w:p>
        </w:tc>
        <w:tc>
          <w:tcPr>
            <w:tcW w:w="1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310</w:t>
            </w:r>
          </w:p>
        </w:tc>
        <w:tc>
          <w:tcPr>
            <w:tcW w:w="21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资本性支出</w:t>
            </w:r>
          </w:p>
        </w:tc>
        <w:tc>
          <w:tcPr>
            <w:tcW w:w="130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27.81</w:t>
            </w:r>
          </w:p>
        </w:tc>
      </w:tr>
      <w:tr>
        <w:tblPrEx>
          <w:tblCellMar>
            <w:top w:w="0" w:type="dxa"/>
            <w:left w:w="108" w:type="dxa"/>
            <w:bottom w:w="0" w:type="dxa"/>
            <w:right w:w="108" w:type="dxa"/>
          </w:tblCellMar>
        </w:tblPrEx>
        <w:trPr>
          <w:trHeight w:val="624" w:hRule="atLeast"/>
        </w:trPr>
        <w:tc>
          <w:tcPr>
            <w:tcW w:w="1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30106</w:t>
            </w:r>
          </w:p>
        </w:tc>
        <w:tc>
          <w:tcPr>
            <w:tcW w:w="237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伙食补助费</w:t>
            </w:r>
          </w:p>
        </w:tc>
        <w:tc>
          <w:tcPr>
            <w:tcW w:w="110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0.00</w:t>
            </w:r>
          </w:p>
        </w:tc>
        <w:tc>
          <w:tcPr>
            <w:tcW w:w="12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30204</w:t>
            </w:r>
          </w:p>
        </w:tc>
        <w:tc>
          <w:tcPr>
            <w:tcW w:w="23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手续费</w:t>
            </w:r>
          </w:p>
        </w:tc>
        <w:tc>
          <w:tcPr>
            <w:tcW w:w="11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0.00</w:t>
            </w:r>
          </w:p>
        </w:tc>
        <w:tc>
          <w:tcPr>
            <w:tcW w:w="1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31001</w:t>
            </w:r>
          </w:p>
        </w:tc>
        <w:tc>
          <w:tcPr>
            <w:tcW w:w="21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房屋建筑物购建</w:t>
            </w:r>
          </w:p>
        </w:tc>
        <w:tc>
          <w:tcPr>
            <w:tcW w:w="130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0.00</w:t>
            </w:r>
          </w:p>
        </w:tc>
      </w:tr>
      <w:tr>
        <w:tblPrEx>
          <w:tblCellMar>
            <w:top w:w="0" w:type="dxa"/>
            <w:left w:w="108" w:type="dxa"/>
            <w:bottom w:w="0" w:type="dxa"/>
            <w:right w:w="108" w:type="dxa"/>
          </w:tblCellMar>
        </w:tblPrEx>
        <w:trPr>
          <w:trHeight w:val="624" w:hRule="atLeast"/>
        </w:trPr>
        <w:tc>
          <w:tcPr>
            <w:tcW w:w="1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30107</w:t>
            </w:r>
          </w:p>
        </w:tc>
        <w:tc>
          <w:tcPr>
            <w:tcW w:w="237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绩效工资</w:t>
            </w:r>
          </w:p>
        </w:tc>
        <w:tc>
          <w:tcPr>
            <w:tcW w:w="110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210.22</w:t>
            </w:r>
          </w:p>
        </w:tc>
        <w:tc>
          <w:tcPr>
            <w:tcW w:w="12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30205</w:t>
            </w:r>
          </w:p>
        </w:tc>
        <w:tc>
          <w:tcPr>
            <w:tcW w:w="23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水费</w:t>
            </w:r>
          </w:p>
        </w:tc>
        <w:tc>
          <w:tcPr>
            <w:tcW w:w="11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33.03</w:t>
            </w:r>
          </w:p>
        </w:tc>
        <w:tc>
          <w:tcPr>
            <w:tcW w:w="1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31002</w:t>
            </w:r>
          </w:p>
        </w:tc>
        <w:tc>
          <w:tcPr>
            <w:tcW w:w="21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办公设备购置</w:t>
            </w:r>
          </w:p>
        </w:tc>
        <w:tc>
          <w:tcPr>
            <w:tcW w:w="130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23.93</w:t>
            </w:r>
          </w:p>
        </w:tc>
      </w:tr>
      <w:tr>
        <w:tblPrEx>
          <w:tblCellMar>
            <w:top w:w="0" w:type="dxa"/>
            <w:left w:w="108" w:type="dxa"/>
            <w:bottom w:w="0" w:type="dxa"/>
            <w:right w:w="108" w:type="dxa"/>
          </w:tblCellMar>
        </w:tblPrEx>
        <w:trPr>
          <w:trHeight w:val="624" w:hRule="atLeast"/>
        </w:trPr>
        <w:tc>
          <w:tcPr>
            <w:tcW w:w="1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30108</w:t>
            </w:r>
          </w:p>
        </w:tc>
        <w:tc>
          <w:tcPr>
            <w:tcW w:w="237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机关事业单位基本养老保险缴费</w:t>
            </w:r>
          </w:p>
        </w:tc>
        <w:tc>
          <w:tcPr>
            <w:tcW w:w="110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140.66</w:t>
            </w:r>
          </w:p>
        </w:tc>
        <w:tc>
          <w:tcPr>
            <w:tcW w:w="12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30206</w:t>
            </w:r>
          </w:p>
        </w:tc>
        <w:tc>
          <w:tcPr>
            <w:tcW w:w="23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电费</w:t>
            </w:r>
          </w:p>
        </w:tc>
        <w:tc>
          <w:tcPr>
            <w:tcW w:w="11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31.75</w:t>
            </w:r>
          </w:p>
        </w:tc>
        <w:tc>
          <w:tcPr>
            <w:tcW w:w="1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31003</w:t>
            </w:r>
          </w:p>
        </w:tc>
        <w:tc>
          <w:tcPr>
            <w:tcW w:w="21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专用设备购置</w:t>
            </w:r>
          </w:p>
        </w:tc>
        <w:tc>
          <w:tcPr>
            <w:tcW w:w="130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3.88</w:t>
            </w:r>
          </w:p>
        </w:tc>
      </w:tr>
      <w:tr>
        <w:tblPrEx>
          <w:tblCellMar>
            <w:top w:w="0" w:type="dxa"/>
            <w:left w:w="108" w:type="dxa"/>
            <w:bottom w:w="0" w:type="dxa"/>
            <w:right w:w="108" w:type="dxa"/>
          </w:tblCellMar>
        </w:tblPrEx>
        <w:trPr>
          <w:trHeight w:val="624" w:hRule="atLeast"/>
        </w:trPr>
        <w:tc>
          <w:tcPr>
            <w:tcW w:w="1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30109</w:t>
            </w:r>
          </w:p>
        </w:tc>
        <w:tc>
          <w:tcPr>
            <w:tcW w:w="237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职业年金缴费</w:t>
            </w:r>
          </w:p>
        </w:tc>
        <w:tc>
          <w:tcPr>
            <w:tcW w:w="110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0.00</w:t>
            </w:r>
          </w:p>
        </w:tc>
        <w:tc>
          <w:tcPr>
            <w:tcW w:w="12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30207</w:t>
            </w:r>
          </w:p>
        </w:tc>
        <w:tc>
          <w:tcPr>
            <w:tcW w:w="23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邮电费</w:t>
            </w:r>
          </w:p>
        </w:tc>
        <w:tc>
          <w:tcPr>
            <w:tcW w:w="11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14.18</w:t>
            </w:r>
          </w:p>
        </w:tc>
        <w:tc>
          <w:tcPr>
            <w:tcW w:w="1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31005</w:t>
            </w:r>
          </w:p>
        </w:tc>
        <w:tc>
          <w:tcPr>
            <w:tcW w:w="21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基础设施建设</w:t>
            </w:r>
          </w:p>
        </w:tc>
        <w:tc>
          <w:tcPr>
            <w:tcW w:w="130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0.00</w:t>
            </w:r>
          </w:p>
        </w:tc>
      </w:tr>
      <w:tr>
        <w:tblPrEx>
          <w:tblCellMar>
            <w:top w:w="0" w:type="dxa"/>
            <w:left w:w="108" w:type="dxa"/>
            <w:bottom w:w="0" w:type="dxa"/>
            <w:right w:w="108" w:type="dxa"/>
          </w:tblCellMar>
        </w:tblPrEx>
        <w:trPr>
          <w:trHeight w:val="624" w:hRule="atLeast"/>
        </w:trPr>
        <w:tc>
          <w:tcPr>
            <w:tcW w:w="1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30110</w:t>
            </w:r>
          </w:p>
        </w:tc>
        <w:tc>
          <w:tcPr>
            <w:tcW w:w="237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职工基本医疗保险缴费</w:t>
            </w:r>
          </w:p>
        </w:tc>
        <w:tc>
          <w:tcPr>
            <w:tcW w:w="110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61.09</w:t>
            </w:r>
          </w:p>
        </w:tc>
        <w:tc>
          <w:tcPr>
            <w:tcW w:w="12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30208</w:t>
            </w:r>
          </w:p>
        </w:tc>
        <w:tc>
          <w:tcPr>
            <w:tcW w:w="23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取暖费</w:t>
            </w:r>
          </w:p>
        </w:tc>
        <w:tc>
          <w:tcPr>
            <w:tcW w:w="11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0.00</w:t>
            </w:r>
          </w:p>
        </w:tc>
        <w:tc>
          <w:tcPr>
            <w:tcW w:w="1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31006</w:t>
            </w:r>
          </w:p>
        </w:tc>
        <w:tc>
          <w:tcPr>
            <w:tcW w:w="21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大型修缮</w:t>
            </w:r>
          </w:p>
        </w:tc>
        <w:tc>
          <w:tcPr>
            <w:tcW w:w="130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0.00</w:t>
            </w:r>
          </w:p>
        </w:tc>
      </w:tr>
      <w:tr>
        <w:tblPrEx>
          <w:tblCellMar>
            <w:top w:w="0" w:type="dxa"/>
            <w:left w:w="108" w:type="dxa"/>
            <w:bottom w:w="0" w:type="dxa"/>
            <w:right w:w="108" w:type="dxa"/>
          </w:tblCellMar>
        </w:tblPrEx>
        <w:trPr>
          <w:trHeight w:val="624" w:hRule="atLeast"/>
        </w:trPr>
        <w:tc>
          <w:tcPr>
            <w:tcW w:w="1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30111</w:t>
            </w:r>
          </w:p>
        </w:tc>
        <w:tc>
          <w:tcPr>
            <w:tcW w:w="237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公务员医疗补助缴费</w:t>
            </w:r>
          </w:p>
        </w:tc>
        <w:tc>
          <w:tcPr>
            <w:tcW w:w="110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0.00</w:t>
            </w:r>
          </w:p>
        </w:tc>
        <w:tc>
          <w:tcPr>
            <w:tcW w:w="12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30209</w:t>
            </w:r>
          </w:p>
        </w:tc>
        <w:tc>
          <w:tcPr>
            <w:tcW w:w="23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物业管理费</w:t>
            </w:r>
          </w:p>
        </w:tc>
        <w:tc>
          <w:tcPr>
            <w:tcW w:w="11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0.05</w:t>
            </w:r>
          </w:p>
        </w:tc>
        <w:tc>
          <w:tcPr>
            <w:tcW w:w="1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31007</w:t>
            </w:r>
          </w:p>
        </w:tc>
        <w:tc>
          <w:tcPr>
            <w:tcW w:w="21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信息网络及软件购置更新</w:t>
            </w:r>
          </w:p>
        </w:tc>
        <w:tc>
          <w:tcPr>
            <w:tcW w:w="130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0.00</w:t>
            </w:r>
          </w:p>
        </w:tc>
      </w:tr>
      <w:tr>
        <w:tblPrEx>
          <w:tblCellMar>
            <w:top w:w="0" w:type="dxa"/>
            <w:left w:w="108" w:type="dxa"/>
            <w:bottom w:w="0" w:type="dxa"/>
            <w:right w:w="108" w:type="dxa"/>
          </w:tblCellMar>
        </w:tblPrEx>
        <w:trPr>
          <w:trHeight w:val="624" w:hRule="atLeast"/>
        </w:trPr>
        <w:tc>
          <w:tcPr>
            <w:tcW w:w="1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30112</w:t>
            </w:r>
          </w:p>
        </w:tc>
        <w:tc>
          <w:tcPr>
            <w:tcW w:w="237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其他社会保障缴费</w:t>
            </w:r>
          </w:p>
        </w:tc>
        <w:tc>
          <w:tcPr>
            <w:tcW w:w="110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7.92</w:t>
            </w:r>
          </w:p>
        </w:tc>
        <w:tc>
          <w:tcPr>
            <w:tcW w:w="12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30211</w:t>
            </w:r>
          </w:p>
        </w:tc>
        <w:tc>
          <w:tcPr>
            <w:tcW w:w="23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差旅费</w:t>
            </w:r>
          </w:p>
        </w:tc>
        <w:tc>
          <w:tcPr>
            <w:tcW w:w="11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0.57</w:t>
            </w:r>
          </w:p>
        </w:tc>
        <w:tc>
          <w:tcPr>
            <w:tcW w:w="1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31008</w:t>
            </w:r>
          </w:p>
        </w:tc>
        <w:tc>
          <w:tcPr>
            <w:tcW w:w="21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物资储备</w:t>
            </w:r>
          </w:p>
        </w:tc>
        <w:tc>
          <w:tcPr>
            <w:tcW w:w="130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0.00</w:t>
            </w:r>
          </w:p>
        </w:tc>
      </w:tr>
      <w:tr>
        <w:tblPrEx>
          <w:tblCellMar>
            <w:top w:w="0" w:type="dxa"/>
            <w:left w:w="108" w:type="dxa"/>
            <w:bottom w:w="0" w:type="dxa"/>
            <w:right w:w="108" w:type="dxa"/>
          </w:tblCellMar>
        </w:tblPrEx>
        <w:trPr>
          <w:trHeight w:val="624" w:hRule="atLeast"/>
        </w:trPr>
        <w:tc>
          <w:tcPr>
            <w:tcW w:w="1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30113</w:t>
            </w:r>
          </w:p>
        </w:tc>
        <w:tc>
          <w:tcPr>
            <w:tcW w:w="237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住房公积金</w:t>
            </w:r>
          </w:p>
        </w:tc>
        <w:tc>
          <w:tcPr>
            <w:tcW w:w="110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106.46</w:t>
            </w:r>
          </w:p>
        </w:tc>
        <w:tc>
          <w:tcPr>
            <w:tcW w:w="12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30212</w:t>
            </w:r>
          </w:p>
        </w:tc>
        <w:tc>
          <w:tcPr>
            <w:tcW w:w="23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因公出国（境）费用</w:t>
            </w:r>
          </w:p>
        </w:tc>
        <w:tc>
          <w:tcPr>
            <w:tcW w:w="11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0.00</w:t>
            </w:r>
          </w:p>
        </w:tc>
        <w:tc>
          <w:tcPr>
            <w:tcW w:w="1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31009</w:t>
            </w:r>
          </w:p>
        </w:tc>
        <w:tc>
          <w:tcPr>
            <w:tcW w:w="21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土地补偿</w:t>
            </w:r>
          </w:p>
        </w:tc>
        <w:tc>
          <w:tcPr>
            <w:tcW w:w="130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0.00</w:t>
            </w:r>
          </w:p>
        </w:tc>
      </w:tr>
      <w:tr>
        <w:tblPrEx>
          <w:tblCellMar>
            <w:top w:w="0" w:type="dxa"/>
            <w:left w:w="108" w:type="dxa"/>
            <w:bottom w:w="0" w:type="dxa"/>
            <w:right w:w="108" w:type="dxa"/>
          </w:tblCellMar>
        </w:tblPrEx>
        <w:trPr>
          <w:trHeight w:val="624" w:hRule="atLeast"/>
        </w:trPr>
        <w:tc>
          <w:tcPr>
            <w:tcW w:w="1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30114</w:t>
            </w:r>
          </w:p>
        </w:tc>
        <w:tc>
          <w:tcPr>
            <w:tcW w:w="237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医疗费</w:t>
            </w:r>
          </w:p>
        </w:tc>
        <w:tc>
          <w:tcPr>
            <w:tcW w:w="110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0.00</w:t>
            </w:r>
          </w:p>
        </w:tc>
        <w:tc>
          <w:tcPr>
            <w:tcW w:w="12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30213</w:t>
            </w:r>
          </w:p>
        </w:tc>
        <w:tc>
          <w:tcPr>
            <w:tcW w:w="23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维修（护）费</w:t>
            </w:r>
          </w:p>
        </w:tc>
        <w:tc>
          <w:tcPr>
            <w:tcW w:w="11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47.31</w:t>
            </w:r>
          </w:p>
        </w:tc>
        <w:tc>
          <w:tcPr>
            <w:tcW w:w="1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31010</w:t>
            </w:r>
          </w:p>
        </w:tc>
        <w:tc>
          <w:tcPr>
            <w:tcW w:w="21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安置补助</w:t>
            </w:r>
          </w:p>
        </w:tc>
        <w:tc>
          <w:tcPr>
            <w:tcW w:w="130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0.00</w:t>
            </w:r>
          </w:p>
        </w:tc>
      </w:tr>
      <w:tr>
        <w:tblPrEx>
          <w:tblCellMar>
            <w:top w:w="0" w:type="dxa"/>
            <w:left w:w="108" w:type="dxa"/>
            <w:bottom w:w="0" w:type="dxa"/>
            <w:right w:w="108" w:type="dxa"/>
          </w:tblCellMar>
        </w:tblPrEx>
        <w:trPr>
          <w:trHeight w:val="624" w:hRule="atLeast"/>
        </w:trPr>
        <w:tc>
          <w:tcPr>
            <w:tcW w:w="1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30199</w:t>
            </w:r>
          </w:p>
        </w:tc>
        <w:tc>
          <w:tcPr>
            <w:tcW w:w="237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其他工资福利支出</w:t>
            </w:r>
          </w:p>
        </w:tc>
        <w:tc>
          <w:tcPr>
            <w:tcW w:w="110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0.00</w:t>
            </w:r>
          </w:p>
        </w:tc>
        <w:tc>
          <w:tcPr>
            <w:tcW w:w="12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30214</w:t>
            </w:r>
          </w:p>
        </w:tc>
        <w:tc>
          <w:tcPr>
            <w:tcW w:w="23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租赁费</w:t>
            </w:r>
          </w:p>
        </w:tc>
        <w:tc>
          <w:tcPr>
            <w:tcW w:w="11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0.00</w:t>
            </w:r>
          </w:p>
        </w:tc>
        <w:tc>
          <w:tcPr>
            <w:tcW w:w="1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31011</w:t>
            </w:r>
          </w:p>
        </w:tc>
        <w:tc>
          <w:tcPr>
            <w:tcW w:w="21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地上附着物和青苗补偿</w:t>
            </w:r>
          </w:p>
        </w:tc>
        <w:tc>
          <w:tcPr>
            <w:tcW w:w="130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0.00</w:t>
            </w:r>
          </w:p>
        </w:tc>
      </w:tr>
      <w:tr>
        <w:tblPrEx>
          <w:tblCellMar>
            <w:top w:w="0" w:type="dxa"/>
            <w:left w:w="108" w:type="dxa"/>
            <w:bottom w:w="0" w:type="dxa"/>
            <w:right w:w="108" w:type="dxa"/>
          </w:tblCellMar>
        </w:tblPrEx>
        <w:trPr>
          <w:trHeight w:val="624" w:hRule="atLeast"/>
        </w:trPr>
        <w:tc>
          <w:tcPr>
            <w:tcW w:w="1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303</w:t>
            </w:r>
          </w:p>
        </w:tc>
        <w:tc>
          <w:tcPr>
            <w:tcW w:w="237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对个人和家庭的补助</w:t>
            </w:r>
          </w:p>
        </w:tc>
        <w:tc>
          <w:tcPr>
            <w:tcW w:w="110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475.49</w:t>
            </w:r>
          </w:p>
        </w:tc>
        <w:tc>
          <w:tcPr>
            <w:tcW w:w="12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30215</w:t>
            </w:r>
          </w:p>
        </w:tc>
        <w:tc>
          <w:tcPr>
            <w:tcW w:w="23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会议费</w:t>
            </w:r>
          </w:p>
        </w:tc>
        <w:tc>
          <w:tcPr>
            <w:tcW w:w="11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0.00</w:t>
            </w:r>
          </w:p>
        </w:tc>
        <w:tc>
          <w:tcPr>
            <w:tcW w:w="1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31012</w:t>
            </w:r>
          </w:p>
        </w:tc>
        <w:tc>
          <w:tcPr>
            <w:tcW w:w="21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拆迁补偿</w:t>
            </w:r>
          </w:p>
        </w:tc>
        <w:tc>
          <w:tcPr>
            <w:tcW w:w="130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0.00</w:t>
            </w:r>
          </w:p>
        </w:tc>
      </w:tr>
      <w:tr>
        <w:tblPrEx>
          <w:tblCellMar>
            <w:top w:w="0" w:type="dxa"/>
            <w:left w:w="108" w:type="dxa"/>
            <w:bottom w:w="0" w:type="dxa"/>
            <w:right w:w="108" w:type="dxa"/>
          </w:tblCellMar>
        </w:tblPrEx>
        <w:trPr>
          <w:trHeight w:val="624" w:hRule="atLeast"/>
        </w:trPr>
        <w:tc>
          <w:tcPr>
            <w:tcW w:w="1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30301</w:t>
            </w:r>
          </w:p>
        </w:tc>
        <w:tc>
          <w:tcPr>
            <w:tcW w:w="237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离休费</w:t>
            </w:r>
          </w:p>
        </w:tc>
        <w:tc>
          <w:tcPr>
            <w:tcW w:w="110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0.00</w:t>
            </w:r>
          </w:p>
        </w:tc>
        <w:tc>
          <w:tcPr>
            <w:tcW w:w="12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30216</w:t>
            </w:r>
          </w:p>
        </w:tc>
        <w:tc>
          <w:tcPr>
            <w:tcW w:w="23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培训费</w:t>
            </w:r>
          </w:p>
        </w:tc>
        <w:tc>
          <w:tcPr>
            <w:tcW w:w="11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0.00</w:t>
            </w:r>
          </w:p>
        </w:tc>
        <w:tc>
          <w:tcPr>
            <w:tcW w:w="1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31013</w:t>
            </w:r>
          </w:p>
        </w:tc>
        <w:tc>
          <w:tcPr>
            <w:tcW w:w="21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公务用车购置</w:t>
            </w:r>
          </w:p>
        </w:tc>
        <w:tc>
          <w:tcPr>
            <w:tcW w:w="130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0.00</w:t>
            </w:r>
          </w:p>
        </w:tc>
      </w:tr>
      <w:tr>
        <w:tblPrEx>
          <w:tblCellMar>
            <w:top w:w="0" w:type="dxa"/>
            <w:left w:w="108" w:type="dxa"/>
            <w:bottom w:w="0" w:type="dxa"/>
            <w:right w:w="108" w:type="dxa"/>
          </w:tblCellMar>
        </w:tblPrEx>
        <w:trPr>
          <w:trHeight w:val="624" w:hRule="atLeast"/>
        </w:trPr>
        <w:tc>
          <w:tcPr>
            <w:tcW w:w="1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30302</w:t>
            </w:r>
          </w:p>
        </w:tc>
        <w:tc>
          <w:tcPr>
            <w:tcW w:w="237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退休费</w:t>
            </w:r>
          </w:p>
        </w:tc>
        <w:tc>
          <w:tcPr>
            <w:tcW w:w="110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0.00</w:t>
            </w:r>
          </w:p>
        </w:tc>
        <w:tc>
          <w:tcPr>
            <w:tcW w:w="12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30217</w:t>
            </w:r>
          </w:p>
        </w:tc>
        <w:tc>
          <w:tcPr>
            <w:tcW w:w="23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公务接待费</w:t>
            </w:r>
          </w:p>
        </w:tc>
        <w:tc>
          <w:tcPr>
            <w:tcW w:w="11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0.00</w:t>
            </w:r>
          </w:p>
        </w:tc>
        <w:tc>
          <w:tcPr>
            <w:tcW w:w="1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31019</w:t>
            </w:r>
          </w:p>
        </w:tc>
        <w:tc>
          <w:tcPr>
            <w:tcW w:w="21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其他交通工具购置</w:t>
            </w:r>
          </w:p>
        </w:tc>
        <w:tc>
          <w:tcPr>
            <w:tcW w:w="130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0.00</w:t>
            </w:r>
          </w:p>
        </w:tc>
      </w:tr>
      <w:tr>
        <w:tblPrEx>
          <w:tblCellMar>
            <w:top w:w="0" w:type="dxa"/>
            <w:left w:w="108" w:type="dxa"/>
            <w:bottom w:w="0" w:type="dxa"/>
            <w:right w:w="108" w:type="dxa"/>
          </w:tblCellMar>
        </w:tblPrEx>
        <w:trPr>
          <w:trHeight w:val="624" w:hRule="atLeast"/>
        </w:trPr>
        <w:tc>
          <w:tcPr>
            <w:tcW w:w="1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30303</w:t>
            </w:r>
          </w:p>
        </w:tc>
        <w:tc>
          <w:tcPr>
            <w:tcW w:w="237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退职（役）费</w:t>
            </w:r>
          </w:p>
        </w:tc>
        <w:tc>
          <w:tcPr>
            <w:tcW w:w="110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0.00</w:t>
            </w:r>
          </w:p>
        </w:tc>
        <w:tc>
          <w:tcPr>
            <w:tcW w:w="12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30218</w:t>
            </w:r>
          </w:p>
        </w:tc>
        <w:tc>
          <w:tcPr>
            <w:tcW w:w="23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专用材料费</w:t>
            </w:r>
          </w:p>
        </w:tc>
        <w:tc>
          <w:tcPr>
            <w:tcW w:w="11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0.00</w:t>
            </w:r>
          </w:p>
        </w:tc>
        <w:tc>
          <w:tcPr>
            <w:tcW w:w="1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31021</w:t>
            </w:r>
          </w:p>
        </w:tc>
        <w:tc>
          <w:tcPr>
            <w:tcW w:w="21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文物和陈列品购置</w:t>
            </w:r>
          </w:p>
        </w:tc>
        <w:tc>
          <w:tcPr>
            <w:tcW w:w="130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0.00</w:t>
            </w:r>
          </w:p>
        </w:tc>
      </w:tr>
      <w:tr>
        <w:tblPrEx>
          <w:tblCellMar>
            <w:top w:w="0" w:type="dxa"/>
            <w:left w:w="108" w:type="dxa"/>
            <w:bottom w:w="0" w:type="dxa"/>
            <w:right w:w="108" w:type="dxa"/>
          </w:tblCellMar>
        </w:tblPrEx>
        <w:trPr>
          <w:trHeight w:val="624" w:hRule="atLeast"/>
        </w:trPr>
        <w:tc>
          <w:tcPr>
            <w:tcW w:w="1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30304</w:t>
            </w:r>
          </w:p>
        </w:tc>
        <w:tc>
          <w:tcPr>
            <w:tcW w:w="237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抚恤金</w:t>
            </w:r>
          </w:p>
        </w:tc>
        <w:tc>
          <w:tcPr>
            <w:tcW w:w="110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0.00</w:t>
            </w:r>
          </w:p>
        </w:tc>
        <w:tc>
          <w:tcPr>
            <w:tcW w:w="12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30224</w:t>
            </w:r>
          </w:p>
        </w:tc>
        <w:tc>
          <w:tcPr>
            <w:tcW w:w="23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被装购置费</w:t>
            </w:r>
          </w:p>
        </w:tc>
        <w:tc>
          <w:tcPr>
            <w:tcW w:w="11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0.00</w:t>
            </w:r>
          </w:p>
        </w:tc>
        <w:tc>
          <w:tcPr>
            <w:tcW w:w="1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31022</w:t>
            </w:r>
          </w:p>
        </w:tc>
        <w:tc>
          <w:tcPr>
            <w:tcW w:w="21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无形资产购置</w:t>
            </w:r>
          </w:p>
        </w:tc>
        <w:tc>
          <w:tcPr>
            <w:tcW w:w="130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0.00</w:t>
            </w:r>
          </w:p>
        </w:tc>
      </w:tr>
      <w:tr>
        <w:tblPrEx>
          <w:tblCellMar>
            <w:top w:w="0" w:type="dxa"/>
            <w:left w:w="108" w:type="dxa"/>
            <w:bottom w:w="0" w:type="dxa"/>
            <w:right w:w="108" w:type="dxa"/>
          </w:tblCellMar>
        </w:tblPrEx>
        <w:trPr>
          <w:trHeight w:val="624" w:hRule="atLeast"/>
        </w:trPr>
        <w:tc>
          <w:tcPr>
            <w:tcW w:w="1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30305</w:t>
            </w:r>
          </w:p>
        </w:tc>
        <w:tc>
          <w:tcPr>
            <w:tcW w:w="237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生活补助</w:t>
            </w:r>
          </w:p>
        </w:tc>
        <w:tc>
          <w:tcPr>
            <w:tcW w:w="110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25.48</w:t>
            </w:r>
          </w:p>
        </w:tc>
        <w:tc>
          <w:tcPr>
            <w:tcW w:w="12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30225</w:t>
            </w:r>
          </w:p>
        </w:tc>
        <w:tc>
          <w:tcPr>
            <w:tcW w:w="23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专用燃料费</w:t>
            </w:r>
          </w:p>
        </w:tc>
        <w:tc>
          <w:tcPr>
            <w:tcW w:w="11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0.00</w:t>
            </w:r>
          </w:p>
        </w:tc>
        <w:tc>
          <w:tcPr>
            <w:tcW w:w="1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31099</w:t>
            </w:r>
          </w:p>
        </w:tc>
        <w:tc>
          <w:tcPr>
            <w:tcW w:w="21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其他资本性支出</w:t>
            </w:r>
          </w:p>
        </w:tc>
        <w:tc>
          <w:tcPr>
            <w:tcW w:w="130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0.00</w:t>
            </w:r>
          </w:p>
        </w:tc>
      </w:tr>
      <w:tr>
        <w:tblPrEx>
          <w:tblCellMar>
            <w:top w:w="0" w:type="dxa"/>
            <w:left w:w="108" w:type="dxa"/>
            <w:bottom w:w="0" w:type="dxa"/>
            <w:right w:w="108" w:type="dxa"/>
          </w:tblCellMar>
        </w:tblPrEx>
        <w:trPr>
          <w:trHeight w:val="624" w:hRule="atLeast"/>
        </w:trPr>
        <w:tc>
          <w:tcPr>
            <w:tcW w:w="1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30306</w:t>
            </w:r>
          </w:p>
        </w:tc>
        <w:tc>
          <w:tcPr>
            <w:tcW w:w="237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救济费</w:t>
            </w:r>
          </w:p>
        </w:tc>
        <w:tc>
          <w:tcPr>
            <w:tcW w:w="110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0.00</w:t>
            </w:r>
          </w:p>
        </w:tc>
        <w:tc>
          <w:tcPr>
            <w:tcW w:w="12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30226</w:t>
            </w:r>
          </w:p>
        </w:tc>
        <w:tc>
          <w:tcPr>
            <w:tcW w:w="23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劳务费</w:t>
            </w:r>
          </w:p>
        </w:tc>
        <w:tc>
          <w:tcPr>
            <w:tcW w:w="11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3.60</w:t>
            </w:r>
          </w:p>
        </w:tc>
        <w:tc>
          <w:tcPr>
            <w:tcW w:w="1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399</w:t>
            </w:r>
          </w:p>
        </w:tc>
        <w:tc>
          <w:tcPr>
            <w:tcW w:w="21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其他支出</w:t>
            </w:r>
          </w:p>
        </w:tc>
        <w:tc>
          <w:tcPr>
            <w:tcW w:w="130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0.00</w:t>
            </w:r>
          </w:p>
        </w:tc>
      </w:tr>
      <w:tr>
        <w:tblPrEx>
          <w:tblCellMar>
            <w:top w:w="0" w:type="dxa"/>
            <w:left w:w="108" w:type="dxa"/>
            <w:bottom w:w="0" w:type="dxa"/>
            <w:right w:w="108" w:type="dxa"/>
          </w:tblCellMar>
        </w:tblPrEx>
        <w:trPr>
          <w:trHeight w:val="624" w:hRule="atLeast"/>
        </w:trPr>
        <w:tc>
          <w:tcPr>
            <w:tcW w:w="1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30307</w:t>
            </w:r>
          </w:p>
        </w:tc>
        <w:tc>
          <w:tcPr>
            <w:tcW w:w="237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医疗费补助</w:t>
            </w:r>
          </w:p>
        </w:tc>
        <w:tc>
          <w:tcPr>
            <w:tcW w:w="110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0.00</w:t>
            </w:r>
          </w:p>
        </w:tc>
        <w:tc>
          <w:tcPr>
            <w:tcW w:w="12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30227</w:t>
            </w:r>
          </w:p>
        </w:tc>
        <w:tc>
          <w:tcPr>
            <w:tcW w:w="23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委托业务费</w:t>
            </w:r>
          </w:p>
        </w:tc>
        <w:tc>
          <w:tcPr>
            <w:tcW w:w="11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0.00</w:t>
            </w:r>
          </w:p>
        </w:tc>
        <w:tc>
          <w:tcPr>
            <w:tcW w:w="1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39907</w:t>
            </w:r>
          </w:p>
        </w:tc>
        <w:tc>
          <w:tcPr>
            <w:tcW w:w="21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国家赔偿费用支出</w:t>
            </w:r>
          </w:p>
        </w:tc>
        <w:tc>
          <w:tcPr>
            <w:tcW w:w="130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0.00</w:t>
            </w:r>
          </w:p>
        </w:tc>
      </w:tr>
      <w:tr>
        <w:tblPrEx>
          <w:tblCellMar>
            <w:top w:w="0" w:type="dxa"/>
            <w:left w:w="108" w:type="dxa"/>
            <w:bottom w:w="0" w:type="dxa"/>
            <w:right w:w="108" w:type="dxa"/>
          </w:tblCellMar>
        </w:tblPrEx>
        <w:trPr>
          <w:trHeight w:val="624" w:hRule="atLeast"/>
        </w:trPr>
        <w:tc>
          <w:tcPr>
            <w:tcW w:w="1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30308</w:t>
            </w:r>
          </w:p>
        </w:tc>
        <w:tc>
          <w:tcPr>
            <w:tcW w:w="237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助学金</w:t>
            </w:r>
          </w:p>
        </w:tc>
        <w:tc>
          <w:tcPr>
            <w:tcW w:w="110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424.12</w:t>
            </w:r>
          </w:p>
        </w:tc>
        <w:tc>
          <w:tcPr>
            <w:tcW w:w="12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30228</w:t>
            </w:r>
          </w:p>
        </w:tc>
        <w:tc>
          <w:tcPr>
            <w:tcW w:w="23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工会经费</w:t>
            </w:r>
          </w:p>
        </w:tc>
        <w:tc>
          <w:tcPr>
            <w:tcW w:w="11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18.19</w:t>
            </w:r>
          </w:p>
        </w:tc>
        <w:tc>
          <w:tcPr>
            <w:tcW w:w="1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39908</w:t>
            </w:r>
          </w:p>
        </w:tc>
        <w:tc>
          <w:tcPr>
            <w:tcW w:w="21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对民间非营利组织和群众性自治组织补贴</w:t>
            </w:r>
          </w:p>
        </w:tc>
        <w:tc>
          <w:tcPr>
            <w:tcW w:w="130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0.00</w:t>
            </w:r>
          </w:p>
        </w:tc>
      </w:tr>
      <w:tr>
        <w:tblPrEx>
          <w:tblCellMar>
            <w:top w:w="0" w:type="dxa"/>
            <w:left w:w="108" w:type="dxa"/>
            <w:bottom w:w="0" w:type="dxa"/>
            <w:right w:w="108" w:type="dxa"/>
          </w:tblCellMar>
        </w:tblPrEx>
        <w:trPr>
          <w:trHeight w:val="624" w:hRule="atLeast"/>
        </w:trPr>
        <w:tc>
          <w:tcPr>
            <w:tcW w:w="1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30309</w:t>
            </w:r>
          </w:p>
        </w:tc>
        <w:tc>
          <w:tcPr>
            <w:tcW w:w="237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奖励金</w:t>
            </w:r>
          </w:p>
        </w:tc>
        <w:tc>
          <w:tcPr>
            <w:tcW w:w="110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0.08</w:t>
            </w:r>
          </w:p>
        </w:tc>
        <w:tc>
          <w:tcPr>
            <w:tcW w:w="12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30229</w:t>
            </w:r>
          </w:p>
        </w:tc>
        <w:tc>
          <w:tcPr>
            <w:tcW w:w="23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福利费</w:t>
            </w:r>
          </w:p>
        </w:tc>
        <w:tc>
          <w:tcPr>
            <w:tcW w:w="11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0.00</w:t>
            </w:r>
          </w:p>
        </w:tc>
        <w:tc>
          <w:tcPr>
            <w:tcW w:w="1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39909</w:t>
            </w:r>
          </w:p>
        </w:tc>
        <w:tc>
          <w:tcPr>
            <w:tcW w:w="21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经常性赠与</w:t>
            </w:r>
          </w:p>
        </w:tc>
        <w:tc>
          <w:tcPr>
            <w:tcW w:w="130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0.00</w:t>
            </w:r>
          </w:p>
        </w:tc>
      </w:tr>
      <w:tr>
        <w:tblPrEx>
          <w:tblCellMar>
            <w:top w:w="0" w:type="dxa"/>
            <w:left w:w="108" w:type="dxa"/>
            <w:bottom w:w="0" w:type="dxa"/>
            <w:right w:w="108" w:type="dxa"/>
          </w:tblCellMar>
        </w:tblPrEx>
        <w:trPr>
          <w:trHeight w:val="624" w:hRule="atLeast"/>
        </w:trPr>
        <w:tc>
          <w:tcPr>
            <w:tcW w:w="1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30310</w:t>
            </w:r>
          </w:p>
        </w:tc>
        <w:tc>
          <w:tcPr>
            <w:tcW w:w="237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个人农业生产补贴</w:t>
            </w:r>
          </w:p>
        </w:tc>
        <w:tc>
          <w:tcPr>
            <w:tcW w:w="110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0.00</w:t>
            </w:r>
          </w:p>
        </w:tc>
        <w:tc>
          <w:tcPr>
            <w:tcW w:w="12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30231</w:t>
            </w:r>
          </w:p>
        </w:tc>
        <w:tc>
          <w:tcPr>
            <w:tcW w:w="23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公务用车运行维护费</w:t>
            </w:r>
          </w:p>
        </w:tc>
        <w:tc>
          <w:tcPr>
            <w:tcW w:w="11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0.00</w:t>
            </w:r>
          </w:p>
        </w:tc>
        <w:tc>
          <w:tcPr>
            <w:tcW w:w="1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39910</w:t>
            </w:r>
          </w:p>
        </w:tc>
        <w:tc>
          <w:tcPr>
            <w:tcW w:w="21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资本性赠与</w:t>
            </w:r>
          </w:p>
        </w:tc>
        <w:tc>
          <w:tcPr>
            <w:tcW w:w="130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0.00</w:t>
            </w:r>
          </w:p>
        </w:tc>
      </w:tr>
      <w:tr>
        <w:tblPrEx>
          <w:tblCellMar>
            <w:top w:w="0" w:type="dxa"/>
            <w:left w:w="108" w:type="dxa"/>
            <w:bottom w:w="0" w:type="dxa"/>
            <w:right w:w="108" w:type="dxa"/>
          </w:tblCellMar>
        </w:tblPrEx>
        <w:trPr>
          <w:trHeight w:val="624" w:hRule="atLeast"/>
        </w:trPr>
        <w:tc>
          <w:tcPr>
            <w:tcW w:w="1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30311</w:t>
            </w:r>
          </w:p>
        </w:tc>
        <w:tc>
          <w:tcPr>
            <w:tcW w:w="237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代缴社会保险费</w:t>
            </w:r>
          </w:p>
        </w:tc>
        <w:tc>
          <w:tcPr>
            <w:tcW w:w="110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0.00</w:t>
            </w:r>
          </w:p>
        </w:tc>
        <w:tc>
          <w:tcPr>
            <w:tcW w:w="12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30239</w:t>
            </w:r>
          </w:p>
        </w:tc>
        <w:tc>
          <w:tcPr>
            <w:tcW w:w="23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其他交通费用</w:t>
            </w:r>
          </w:p>
        </w:tc>
        <w:tc>
          <w:tcPr>
            <w:tcW w:w="11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0.00</w:t>
            </w:r>
          </w:p>
        </w:tc>
        <w:tc>
          <w:tcPr>
            <w:tcW w:w="1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39999</w:t>
            </w:r>
          </w:p>
        </w:tc>
        <w:tc>
          <w:tcPr>
            <w:tcW w:w="21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其他支出</w:t>
            </w:r>
          </w:p>
        </w:tc>
        <w:tc>
          <w:tcPr>
            <w:tcW w:w="130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0.00</w:t>
            </w:r>
          </w:p>
        </w:tc>
      </w:tr>
      <w:tr>
        <w:tblPrEx>
          <w:tblCellMar>
            <w:top w:w="0" w:type="dxa"/>
            <w:left w:w="108" w:type="dxa"/>
            <w:bottom w:w="0" w:type="dxa"/>
            <w:right w:w="108" w:type="dxa"/>
          </w:tblCellMar>
        </w:tblPrEx>
        <w:trPr>
          <w:trHeight w:val="624" w:hRule="atLeast"/>
        </w:trPr>
        <w:tc>
          <w:tcPr>
            <w:tcW w:w="1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30399</w:t>
            </w:r>
          </w:p>
        </w:tc>
        <w:tc>
          <w:tcPr>
            <w:tcW w:w="237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其他对个人和家庭的补助</w:t>
            </w:r>
          </w:p>
        </w:tc>
        <w:tc>
          <w:tcPr>
            <w:tcW w:w="110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25.81</w:t>
            </w:r>
          </w:p>
        </w:tc>
        <w:tc>
          <w:tcPr>
            <w:tcW w:w="12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30240</w:t>
            </w:r>
          </w:p>
        </w:tc>
        <w:tc>
          <w:tcPr>
            <w:tcW w:w="23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税金及附加费用</w:t>
            </w:r>
          </w:p>
        </w:tc>
        <w:tc>
          <w:tcPr>
            <w:tcW w:w="11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0.00</w:t>
            </w:r>
          </w:p>
        </w:tc>
        <w:tc>
          <w:tcPr>
            <w:tcW w:w="1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p>
        </w:tc>
        <w:tc>
          <w:tcPr>
            <w:tcW w:w="21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p>
        </w:tc>
        <w:tc>
          <w:tcPr>
            <w:tcW w:w="130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0.00</w:t>
            </w:r>
          </w:p>
        </w:tc>
      </w:tr>
      <w:tr>
        <w:tblPrEx>
          <w:tblCellMar>
            <w:top w:w="0" w:type="dxa"/>
            <w:left w:w="108" w:type="dxa"/>
            <w:bottom w:w="0" w:type="dxa"/>
            <w:right w:w="108" w:type="dxa"/>
          </w:tblCellMar>
        </w:tblPrEx>
        <w:trPr>
          <w:trHeight w:val="624" w:hRule="atLeast"/>
        </w:trPr>
        <w:tc>
          <w:tcPr>
            <w:tcW w:w="1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p>
        </w:tc>
        <w:tc>
          <w:tcPr>
            <w:tcW w:w="237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p>
        </w:tc>
        <w:tc>
          <w:tcPr>
            <w:tcW w:w="110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0.00</w:t>
            </w:r>
          </w:p>
        </w:tc>
        <w:tc>
          <w:tcPr>
            <w:tcW w:w="12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30299</w:t>
            </w:r>
          </w:p>
        </w:tc>
        <w:tc>
          <w:tcPr>
            <w:tcW w:w="23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其他商品和服务支出</w:t>
            </w:r>
          </w:p>
        </w:tc>
        <w:tc>
          <w:tcPr>
            <w:tcW w:w="11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0.00</w:t>
            </w:r>
          </w:p>
        </w:tc>
        <w:tc>
          <w:tcPr>
            <w:tcW w:w="1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p>
        </w:tc>
        <w:tc>
          <w:tcPr>
            <w:tcW w:w="21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p>
        </w:tc>
        <w:tc>
          <w:tcPr>
            <w:tcW w:w="130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0.00</w:t>
            </w:r>
          </w:p>
        </w:tc>
      </w:tr>
      <w:tr>
        <w:tblPrEx>
          <w:tblCellMar>
            <w:top w:w="0" w:type="dxa"/>
            <w:left w:w="108" w:type="dxa"/>
            <w:bottom w:w="0" w:type="dxa"/>
            <w:right w:w="108" w:type="dxa"/>
          </w:tblCellMar>
        </w:tblPrEx>
        <w:trPr>
          <w:trHeight w:val="624" w:hRule="atLeast"/>
        </w:trPr>
        <w:tc>
          <w:tcPr>
            <w:tcW w:w="1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人员经费合计</w:t>
            </w:r>
          </w:p>
          <w:bookmarkEnd w:id="0"/>
          <w:bookmarkEnd w:id="1"/>
        </w:tc>
        <w:tc>
          <w:tcPr>
            <w:tcW w:w="237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p>
        </w:tc>
        <w:tc>
          <w:tcPr>
            <w:tcW w:w="110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1661.25</w:t>
            </w:r>
          </w:p>
        </w:tc>
        <w:tc>
          <w:tcPr>
            <w:tcW w:w="12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公用经费合计</w:t>
            </w:r>
          </w:p>
        </w:tc>
        <w:tc>
          <w:tcPr>
            <w:tcW w:w="23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p>
        </w:tc>
        <w:tc>
          <w:tcPr>
            <w:tcW w:w="11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0.00</w:t>
            </w:r>
          </w:p>
        </w:tc>
        <w:tc>
          <w:tcPr>
            <w:tcW w:w="1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p>
        </w:tc>
        <w:tc>
          <w:tcPr>
            <w:tcW w:w="21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p>
        </w:tc>
        <w:tc>
          <w:tcPr>
            <w:tcW w:w="130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233.04</w:t>
            </w:r>
          </w:p>
        </w:tc>
      </w:tr>
      <w:tr>
        <w:tblPrEx>
          <w:tblCellMar>
            <w:top w:w="0" w:type="dxa"/>
            <w:left w:w="108" w:type="dxa"/>
            <w:bottom w:w="0" w:type="dxa"/>
            <w:right w:w="108" w:type="dxa"/>
          </w:tblCellMar>
        </w:tblPrEx>
        <w:trPr>
          <w:trHeight w:val="319" w:hRule="atLeast"/>
        </w:trPr>
        <w:tc>
          <w:tcPr>
            <w:tcW w:w="14000" w:type="dxa"/>
            <w:gridSpan w:val="9"/>
            <w:tcBorders>
              <w:top w:val="single" w:color="auto" w:sz="4" w:space="0"/>
              <w:left w:val="nil"/>
              <w:bottom w:val="nil"/>
              <w:right w:val="nil"/>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注：本表反映部门本年度一般公共预算财政拨款基本支出明细情况。</w:t>
            </w:r>
          </w:p>
        </w:tc>
      </w:tr>
    </w:tbl>
    <w:p>
      <w:pPr>
        <w:jc w:val="left"/>
        <w:rPr>
          <w:rFonts w:ascii="仿宋" w:hAnsi="仿宋" w:eastAsia="仿宋" w:cs="仿宋"/>
          <w:sz w:val="24"/>
          <w:highlight w:val="none"/>
        </w:rPr>
      </w:pPr>
    </w:p>
    <w:p>
      <w:pPr>
        <w:rPr>
          <w:rFonts w:ascii="仿宋" w:hAnsi="仿宋" w:eastAsia="仿宋" w:cs="仿宋"/>
          <w:sz w:val="24"/>
          <w:highlight w:val="none"/>
        </w:rPr>
      </w:pPr>
      <w:r>
        <w:rPr>
          <w:rFonts w:ascii="仿宋" w:hAnsi="仿宋" w:eastAsia="仿宋" w:cs="仿宋"/>
          <w:sz w:val="24"/>
          <w:highlight w:val="none"/>
        </w:rPr>
        <w:br w:type="page"/>
      </w:r>
    </w:p>
    <w:p>
      <w:pPr>
        <w:jc w:val="left"/>
        <w:rPr>
          <w:rFonts w:hint="eastAsia" w:ascii="仿宋" w:hAnsi="仿宋" w:eastAsia="仿宋" w:cs="仿宋"/>
          <w:sz w:val="24"/>
          <w:highlight w:val="none"/>
        </w:rPr>
      </w:pPr>
      <w:r>
        <w:rPr>
          <w:rFonts w:hint="eastAsia" w:ascii="仿宋" w:hAnsi="仿宋" w:eastAsia="仿宋" w:cs="仿宋"/>
          <w:sz w:val="24"/>
          <w:highlight w:val="none"/>
        </w:rPr>
        <w:t>表</w:t>
      </w:r>
      <w:r>
        <w:rPr>
          <w:rFonts w:hint="eastAsia" w:ascii="仿宋" w:hAnsi="仿宋" w:eastAsia="仿宋" w:cs="仿宋"/>
          <w:sz w:val="24"/>
          <w:highlight w:val="none"/>
          <w:lang w:val="en-US" w:eastAsia="zh-CN"/>
        </w:rPr>
        <w:t>七</w:t>
      </w:r>
      <w:r>
        <w:rPr>
          <w:rFonts w:hint="eastAsia" w:ascii="仿宋" w:hAnsi="仿宋" w:eastAsia="仿宋" w:cs="仿宋"/>
          <w:sz w:val="24"/>
          <w:highlight w:val="none"/>
        </w:rPr>
        <w:t>：政府性基金预算财政拨款收入支出决算表</w:t>
      </w:r>
    </w:p>
    <w:p>
      <w:pPr>
        <w:jc w:val="left"/>
        <w:rPr>
          <w:rFonts w:hint="eastAsia" w:ascii="仿宋" w:hAnsi="仿宋" w:eastAsia="仿宋" w:cs="仿宋"/>
          <w:sz w:val="24"/>
          <w:highlight w:val="none"/>
        </w:rPr>
      </w:pPr>
    </w:p>
    <w:tbl>
      <w:tblPr>
        <w:tblStyle w:val="6"/>
        <w:tblW w:w="13982" w:type="dxa"/>
        <w:tblInd w:w="96" w:type="dxa"/>
        <w:tblLayout w:type="fixed"/>
        <w:tblCellMar>
          <w:top w:w="0" w:type="dxa"/>
          <w:left w:w="108" w:type="dxa"/>
          <w:bottom w:w="0" w:type="dxa"/>
          <w:right w:w="108" w:type="dxa"/>
        </w:tblCellMar>
      </w:tblPr>
      <w:tblGrid>
        <w:gridCol w:w="1297"/>
        <w:gridCol w:w="240"/>
        <w:gridCol w:w="236"/>
        <w:gridCol w:w="1625"/>
        <w:gridCol w:w="1973"/>
        <w:gridCol w:w="1653"/>
        <w:gridCol w:w="1600"/>
        <w:gridCol w:w="1680"/>
        <w:gridCol w:w="1728"/>
        <w:gridCol w:w="2"/>
        <w:gridCol w:w="1946"/>
        <w:gridCol w:w="2"/>
      </w:tblGrid>
      <w:tr>
        <w:tblPrEx>
          <w:tblCellMar>
            <w:top w:w="0" w:type="dxa"/>
            <w:left w:w="108" w:type="dxa"/>
            <w:bottom w:w="0" w:type="dxa"/>
            <w:right w:w="108" w:type="dxa"/>
          </w:tblCellMar>
        </w:tblPrEx>
        <w:trPr>
          <w:gridAfter w:val="1"/>
          <w:wAfter w:w="2" w:type="dxa"/>
          <w:trHeight w:val="536" w:hRule="atLeast"/>
        </w:trPr>
        <w:tc>
          <w:tcPr>
            <w:tcW w:w="13980" w:type="dxa"/>
            <w:gridSpan w:val="11"/>
            <w:tcBorders>
              <w:top w:val="nil"/>
              <w:left w:val="nil"/>
              <w:bottom w:val="nil"/>
              <w:right w:val="nil"/>
            </w:tcBorders>
            <w:shd w:val="clear" w:color="auto" w:fill="auto"/>
            <w:noWrap/>
            <w:vAlign w:val="bottom"/>
          </w:tcPr>
          <w:p>
            <w:pPr>
              <w:keepNext w:val="0"/>
              <w:keepLines w:val="0"/>
              <w:widowControl/>
              <w:suppressLineNumbers w:val="0"/>
              <w:spacing w:before="0" w:beforeAutospacing="0" w:after="0" w:afterAutospacing="0"/>
              <w:ind w:left="0" w:right="0"/>
              <w:jc w:val="center"/>
              <w:textAlignment w:val="bottom"/>
              <w:rPr>
                <w:rFonts w:hint="default" w:ascii="宋体" w:hAnsi="宋体" w:eastAsia="宋体" w:cs="宋体"/>
                <w:color w:val="000000"/>
                <w:sz w:val="30"/>
                <w:szCs w:val="30"/>
                <w:highlight w:val="none"/>
              </w:rPr>
            </w:pPr>
            <w:r>
              <w:rPr>
                <w:rFonts w:hint="eastAsia" w:ascii="宋体" w:hAnsi="宋体" w:eastAsia="宋体" w:cs="宋体"/>
                <w:color w:val="000000"/>
                <w:kern w:val="0"/>
                <w:sz w:val="32"/>
                <w:szCs w:val="32"/>
                <w:highlight w:val="none"/>
                <w:lang w:bidi="ar"/>
              </w:rPr>
              <w:t>政府性基金预算财政拨款收入支出决算表</w:t>
            </w:r>
          </w:p>
        </w:tc>
      </w:tr>
      <w:tr>
        <w:tblPrEx>
          <w:tblCellMar>
            <w:top w:w="0" w:type="dxa"/>
            <w:left w:w="108" w:type="dxa"/>
            <w:bottom w:w="0" w:type="dxa"/>
            <w:right w:w="108" w:type="dxa"/>
          </w:tblCellMar>
        </w:tblPrEx>
        <w:trPr>
          <w:trHeight w:val="268" w:hRule="atLeast"/>
        </w:trPr>
        <w:tc>
          <w:tcPr>
            <w:tcW w:w="1297"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240"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236"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625"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973"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653"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600"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680"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730" w:type="dxa"/>
            <w:gridSpan w:val="2"/>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948" w:type="dxa"/>
            <w:gridSpan w:val="2"/>
            <w:tcBorders>
              <w:top w:val="nil"/>
              <w:left w:val="nil"/>
              <w:bottom w:val="nil"/>
              <w:right w:val="nil"/>
            </w:tcBorders>
            <w:shd w:val="clear" w:color="auto" w:fill="auto"/>
            <w:noWrap/>
            <w:vAlign w:val="bottom"/>
          </w:tcPr>
          <w:p>
            <w:pPr>
              <w:keepNext w:val="0"/>
              <w:keepLines w:val="0"/>
              <w:widowControl/>
              <w:suppressLineNumbers w:val="0"/>
              <w:spacing w:before="0" w:beforeAutospacing="0" w:after="0" w:afterAutospacing="0"/>
              <w:ind w:left="0" w:right="0"/>
              <w:jc w:val="right"/>
              <w:textAlignment w:val="bottom"/>
              <w:rPr>
                <w:rFonts w:hint="default" w:ascii="宋体" w:hAnsi="宋体" w:eastAsia="宋体" w:cs="宋体"/>
                <w:color w:val="000000"/>
                <w:sz w:val="20"/>
                <w:szCs w:val="20"/>
                <w:highlight w:val="none"/>
              </w:rPr>
            </w:pPr>
            <w:r>
              <w:rPr>
                <w:rFonts w:hint="eastAsia" w:ascii="宋体" w:hAnsi="宋体" w:eastAsia="宋体" w:cs="宋体"/>
                <w:color w:val="000000"/>
                <w:kern w:val="0"/>
                <w:sz w:val="20"/>
                <w:szCs w:val="20"/>
                <w:highlight w:val="none"/>
                <w:lang w:bidi="ar"/>
              </w:rPr>
              <w:t>公开0</w:t>
            </w:r>
            <w:r>
              <w:rPr>
                <w:rFonts w:hint="eastAsia" w:ascii="宋体" w:hAnsi="宋体" w:eastAsia="宋体" w:cs="宋体"/>
                <w:color w:val="000000"/>
                <w:kern w:val="0"/>
                <w:sz w:val="20"/>
                <w:szCs w:val="20"/>
                <w:highlight w:val="none"/>
                <w:lang w:val="en-US" w:eastAsia="zh-CN" w:bidi="ar"/>
              </w:rPr>
              <w:t>7</w:t>
            </w:r>
            <w:r>
              <w:rPr>
                <w:rFonts w:hint="eastAsia" w:ascii="宋体" w:hAnsi="宋体" w:eastAsia="宋体" w:cs="宋体"/>
                <w:color w:val="000000"/>
                <w:kern w:val="0"/>
                <w:sz w:val="20"/>
                <w:szCs w:val="20"/>
                <w:highlight w:val="none"/>
                <w:lang w:bidi="ar"/>
              </w:rPr>
              <w:t>表</w:t>
            </w:r>
          </w:p>
        </w:tc>
      </w:tr>
      <w:tr>
        <w:tblPrEx>
          <w:tblCellMar>
            <w:top w:w="0" w:type="dxa"/>
            <w:left w:w="108" w:type="dxa"/>
            <w:bottom w:w="0" w:type="dxa"/>
            <w:right w:w="108" w:type="dxa"/>
          </w:tblCellMar>
        </w:tblPrEx>
        <w:trPr>
          <w:gridAfter w:val="1"/>
          <w:wAfter w:w="2" w:type="dxa"/>
          <w:trHeight w:val="268" w:hRule="atLeast"/>
        </w:trPr>
        <w:tc>
          <w:tcPr>
            <w:tcW w:w="8624" w:type="dxa"/>
            <w:gridSpan w:val="7"/>
            <w:tcBorders>
              <w:top w:val="nil"/>
              <w:left w:val="nil"/>
              <w:bottom w:val="single" w:color="auto" w:sz="4" w:space="0"/>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r>
              <w:rPr>
                <w:rFonts w:hint="eastAsia" w:ascii="宋体" w:hAnsi="宋体" w:eastAsia="宋体" w:cs="宋体"/>
                <w:color w:val="000000"/>
                <w:kern w:val="0"/>
                <w:sz w:val="20"/>
                <w:szCs w:val="20"/>
                <w:highlight w:val="none"/>
                <w:lang w:bidi="ar"/>
              </w:rPr>
              <w:t>部门：</w:t>
            </w:r>
            <w:r>
              <w:rPr>
                <w:rFonts w:hint="default" w:ascii="宋体" w:hAnsi="宋体" w:eastAsia="宋体" w:cs="宋体"/>
                <w:color w:val="000000"/>
                <w:sz w:val="20"/>
                <w:u w:color="auto"/>
              </w:rPr>
              <w:t>环江毛南族自治县民族中学</w:t>
            </w:r>
          </w:p>
        </w:tc>
        <w:tc>
          <w:tcPr>
            <w:tcW w:w="1680" w:type="dxa"/>
            <w:tcBorders>
              <w:top w:val="nil"/>
              <w:left w:val="nil"/>
              <w:bottom w:val="single" w:color="auto" w:sz="4" w:space="0"/>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728" w:type="dxa"/>
            <w:tcBorders>
              <w:top w:val="nil"/>
              <w:left w:val="nil"/>
              <w:bottom w:val="single" w:color="auto" w:sz="4" w:space="0"/>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948" w:type="dxa"/>
            <w:gridSpan w:val="2"/>
            <w:tcBorders>
              <w:top w:val="nil"/>
              <w:left w:val="nil"/>
              <w:bottom w:val="single" w:color="auto" w:sz="4" w:space="0"/>
              <w:right w:val="nil"/>
            </w:tcBorders>
            <w:shd w:val="clear" w:color="auto" w:fill="auto"/>
            <w:noWrap/>
            <w:vAlign w:val="bottom"/>
          </w:tcPr>
          <w:p>
            <w:pPr>
              <w:keepNext w:val="0"/>
              <w:keepLines w:val="0"/>
              <w:widowControl/>
              <w:suppressLineNumbers w:val="0"/>
              <w:spacing w:before="0" w:beforeAutospacing="0" w:after="0" w:afterAutospacing="0"/>
              <w:ind w:left="0" w:right="0"/>
              <w:jc w:val="right"/>
              <w:textAlignment w:val="bottom"/>
              <w:rPr>
                <w:rFonts w:hint="default" w:ascii="宋体" w:hAnsi="宋体" w:eastAsia="宋体" w:cs="宋体"/>
                <w:color w:val="000000"/>
                <w:sz w:val="20"/>
                <w:szCs w:val="20"/>
                <w:highlight w:val="none"/>
              </w:rPr>
            </w:pPr>
            <w:r>
              <w:rPr>
                <w:rFonts w:hint="eastAsia" w:ascii="宋体" w:hAnsi="宋体" w:eastAsia="宋体" w:cs="宋体"/>
                <w:color w:val="000000"/>
                <w:kern w:val="0"/>
                <w:sz w:val="20"/>
                <w:szCs w:val="20"/>
                <w:highlight w:val="none"/>
                <w:lang w:bidi="ar"/>
              </w:rPr>
              <w:t>金额单位：万元</w:t>
            </w:r>
          </w:p>
        </w:tc>
      </w:tr>
      <w:tr>
        <w:tblPrEx>
          <w:tblCellMar>
            <w:top w:w="0" w:type="dxa"/>
            <w:left w:w="108" w:type="dxa"/>
            <w:bottom w:w="0" w:type="dxa"/>
            <w:right w:w="108" w:type="dxa"/>
          </w:tblCellMar>
        </w:tblPrEx>
        <w:trPr>
          <w:gridAfter w:val="1"/>
          <w:wAfter w:w="2" w:type="dxa"/>
          <w:trHeight w:val="277" w:hRule="atLeast"/>
        </w:trPr>
        <w:tc>
          <w:tcPr>
            <w:tcW w:w="3398"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项目</w:t>
            </w:r>
          </w:p>
        </w:tc>
        <w:tc>
          <w:tcPr>
            <w:tcW w:w="1973"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年初结转和结余</w:t>
            </w:r>
          </w:p>
        </w:tc>
        <w:tc>
          <w:tcPr>
            <w:tcW w:w="1653"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本年收入</w:t>
            </w:r>
          </w:p>
        </w:tc>
        <w:tc>
          <w:tcPr>
            <w:tcW w:w="5008"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本年支出</w:t>
            </w:r>
          </w:p>
        </w:tc>
        <w:tc>
          <w:tcPr>
            <w:tcW w:w="1948" w:type="dxa"/>
            <w:gridSpan w:val="2"/>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年末结转和结余</w:t>
            </w:r>
          </w:p>
        </w:tc>
      </w:tr>
      <w:tr>
        <w:tblPrEx>
          <w:tblCellMar>
            <w:top w:w="0" w:type="dxa"/>
            <w:left w:w="108" w:type="dxa"/>
            <w:bottom w:w="0" w:type="dxa"/>
            <w:right w:w="108" w:type="dxa"/>
          </w:tblCellMar>
        </w:tblPrEx>
        <w:trPr>
          <w:gridAfter w:val="1"/>
          <w:wAfter w:w="2" w:type="dxa"/>
          <w:trHeight w:val="312" w:hRule="atLeast"/>
        </w:trPr>
        <w:tc>
          <w:tcPr>
            <w:tcW w:w="1537" w:type="dxa"/>
            <w:gridSpan w:val="2"/>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功能分类科目编码</w:t>
            </w:r>
          </w:p>
        </w:tc>
        <w:tc>
          <w:tcPr>
            <w:tcW w:w="1861" w:type="dxa"/>
            <w:gridSpan w:val="2"/>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科目名称</w:t>
            </w:r>
          </w:p>
        </w:tc>
        <w:tc>
          <w:tcPr>
            <w:tcW w:w="197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65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600"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小计</w:t>
            </w:r>
          </w:p>
        </w:tc>
        <w:tc>
          <w:tcPr>
            <w:tcW w:w="1680"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基本支出</w:t>
            </w:r>
          </w:p>
        </w:tc>
        <w:tc>
          <w:tcPr>
            <w:tcW w:w="1728"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项目支出</w:t>
            </w:r>
          </w:p>
        </w:tc>
        <w:tc>
          <w:tcPr>
            <w:tcW w:w="1948" w:type="dxa"/>
            <w:gridSpan w:val="2"/>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r>
      <w:tr>
        <w:tblPrEx>
          <w:tblCellMar>
            <w:top w:w="0" w:type="dxa"/>
            <w:left w:w="108" w:type="dxa"/>
            <w:bottom w:w="0" w:type="dxa"/>
            <w:right w:w="108" w:type="dxa"/>
          </w:tblCellMar>
        </w:tblPrEx>
        <w:trPr>
          <w:gridAfter w:val="1"/>
          <w:wAfter w:w="2" w:type="dxa"/>
          <w:trHeight w:val="312" w:hRule="atLeast"/>
        </w:trPr>
        <w:tc>
          <w:tcPr>
            <w:tcW w:w="1537" w:type="dxa"/>
            <w:gridSpan w:val="2"/>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861" w:type="dxa"/>
            <w:gridSpan w:val="2"/>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97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65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60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68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728"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948" w:type="dxa"/>
            <w:gridSpan w:val="2"/>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r>
      <w:tr>
        <w:tblPrEx>
          <w:tblCellMar>
            <w:top w:w="0" w:type="dxa"/>
            <w:left w:w="108" w:type="dxa"/>
            <w:bottom w:w="0" w:type="dxa"/>
            <w:right w:w="108" w:type="dxa"/>
          </w:tblCellMar>
        </w:tblPrEx>
        <w:trPr>
          <w:gridAfter w:val="1"/>
          <w:wAfter w:w="2" w:type="dxa"/>
          <w:trHeight w:val="312" w:hRule="atLeast"/>
        </w:trPr>
        <w:tc>
          <w:tcPr>
            <w:tcW w:w="1537" w:type="dxa"/>
            <w:gridSpan w:val="2"/>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861" w:type="dxa"/>
            <w:gridSpan w:val="2"/>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97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65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60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68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728"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948" w:type="dxa"/>
            <w:gridSpan w:val="2"/>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r>
      <w:tr>
        <w:tblPrEx>
          <w:tblCellMar>
            <w:top w:w="0" w:type="dxa"/>
            <w:left w:w="108" w:type="dxa"/>
            <w:bottom w:w="0" w:type="dxa"/>
            <w:right w:w="108" w:type="dxa"/>
          </w:tblCellMar>
        </w:tblPrEx>
        <w:trPr>
          <w:gridAfter w:val="1"/>
          <w:wAfter w:w="2" w:type="dxa"/>
          <w:trHeight w:val="277" w:hRule="atLeast"/>
        </w:trPr>
        <w:tc>
          <w:tcPr>
            <w:tcW w:w="3398"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栏次</w:t>
            </w:r>
          </w:p>
        </w:tc>
        <w:tc>
          <w:tcPr>
            <w:tcW w:w="19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1</w:t>
            </w:r>
          </w:p>
        </w:tc>
        <w:tc>
          <w:tcPr>
            <w:tcW w:w="16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2</w:t>
            </w:r>
          </w:p>
        </w:tc>
        <w:tc>
          <w:tcPr>
            <w:tcW w:w="160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3</w:t>
            </w:r>
          </w:p>
        </w:tc>
        <w:tc>
          <w:tcPr>
            <w:tcW w:w="16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4</w:t>
            </w:r>
          </w:p>
        </w:tc>
        <w:tc>
          <w:tcPr>
            <w:tcW w:w="1728"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5</w:t>
            </w:r>
          </w:p>
        </w:tc>
        <w:tc>
          <w:tcPr>
            <w:tcW w:w="1948"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6</w:t>
            </w:r>
          </w:p>
        </w:tc>
      </w:tr>
      <w:tr>
        <w:tblPrEx>
          <w:tblCellMar>
            <w:top w:w="0" w:type="dxa"/>
            <w:left w:w="108" w:type="dxa"/>
            <w:bottom w:w="0" w:type="dxa"/>
            <w:right w:w="108" w:type="dxa"/>
          </w:tblCellMar>
        </w:tblPrEx>
        <w:trPr>
          <w:gridAfter w:val="1"/>
          <w:wAfter w:w="2" w:type="dxa"/>
          <w:trHeight w:val="277" w:hRule="atLeast"/>
        </w:trPr>
        <w:tc>
          <w:tcPr>
            <w:tcW w:w="3398"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合计</w:t>
            </w:r>
          </w:p>
        </w:tc>
        <w:tc>
          <w:tcPr>
            <w:tcW w:w="19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b/>
                <w:bCs/>
                <w:color w:val="000000"/>
                <w:sz w:val="22"/>
                <w:szCs w:val="22"/>
                <w:highlight w:val="none"/>
              </w:rPr>
            </w:pPr>
            <w:r>
              <w:rPr>
                <w:rFonts w:hint="eastAsia" w:ascii="宋体" w:hAnsi="宋体" w:eastAsia="宋体" w:cs="宋体"/>
                <w:b/>
                <w:bCs/>
                <w:color w:val="000000"/>
                <w:sz w:val="22"/>
                <w:szCs w:val="22"/>
                <w:highlight w:val="none"/>
              </w:rPr>
              <w:t>0.00</w:t>
            </w:r>
          </w:p>
        </w:tc>
        <w:tc>
          <w:tcPr>
            <w:tcW w:w="16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b/>
                <w:bCs/>
                <w:color w:val="000000"/>
                <w:sz w:val="22"/>
                <w:szCs w:val="22"/>
                <w:highlight w:val="none"/>
              </w:rPr>
            </w:pPr>
            <w:r>
              <w:rPr>
                <w:rFonts w:hint="eastAsia" w:ascii="宋体" w:hAnsi="宋体" w:eastAsia="宋体" w:cs="宋体"/>
                <w:b/>
                <w:bCs/>
                <w:color w:val="000000"/>
                <w:sz w:val="22"/>
                <w:szCs w:val="22"/>
                <w:highlight w:val="none"/>
              </w:rPr>
              <w:t>0.00</w:t>
            </w:r>
          </w:p>
        </w:tc>
        <w:tc>
          <w:tcPr>
            <w:tcW w:w="160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b/>
                <w:bCs/>
                <w:color w:val="000000"/>
                <w:sz w:val="22"/>
                <w:szCs w:val="22"/>
                <w:highlight w:val="none"/>
              </w:rPr>
            </w:pPr>
            <w:r>
              <w:rPr>
                <w:rFonts w:hint="eastAsia" w:ascii="宋体" w:hAnsi="宋体" w:eastAsia="宋体" w:cs="宋体"/>
                <w:b/>
                <w:bCs/>
                <w:color w:val="000000"/>
                <w:sz w:val="22"/>
                <w:szCs w:val="22"/>
                <w:highlight w:val="none"/>
              </w:rPr>
              <w:t>0.00</w:t>
            </w:r>
          </w:p>
        </w:tc>
        <w:tc>
          <w:tcPr>
            <w:tcW w:w="16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b/>
                <w:bCs/>
                <w:color w:val="000000"/>
                <w:sz w:val="22"/>
                <w:szCs w:val="22"/>
                <w:highlight w:val="none"/>
              </w:rPr>
            </w:pPr>
            <w:r>
              <w:rPr>
                <w:rFonts w:hint="eastAsia" w:ascii="宋体" w:hAnsi="宋体" w:eastAsia="宋体" w:cs="宋体"/>
                <w:b/>
                <w:bCs/>
                <w:color w:val="000000"/>
                <w:sz w:val="22"/>
                <w:szCs w:val="22"/>
                <w:highlight w:val="none"/>
              </w:rPr>
              <w:t>0.00</w:t>
            </w:r>
          </w:p>
        </w:tc>
        <w:tc>
          <w:tcPr>
            <w:tcW w:w="1728"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b/>
                <w:bCs/>
                <w:color w:val="000000"/>
                <w:sz w:val="22"/>
                <w:szCs w:val="22"/>
                <w:highlight w:val="none"/>
              </w:rPr>
            </w:pPr>
            <w:r>
              <w:rPr>
                <w:rFonts w:hint="eastAsia" w:ascii="宋体" w:hAnsi="宋体" w:eastAsia="宋体" w:cs="宋体"/>
                <w:b/>
                <w:bCs/>
                <w:color w:val="000000"/>
                <w:sz w:val="22"/>
                <w:szCs w:val="22"/>
                <w:highlight w:val="none"/>
              </w:rPr>
              <w:t>0.00</w:t>
            </w:r>
          </w:p>
        </w:tc>
        <w:tc>
          <w:tcPr>
            <w:tcW w:w="1948"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b/>
                <w:bCs/>
                <w:color w:val="000000"/>
                <w:sz w:val="22"/>
                <w:szCs w:val="22"/>
                <w:highlight w:val="none"/>
              </w:rPr>
            </w:pPr>
            <w:r>
              <w:rPr>
                <w:rFonts w:hint="eastAsia" w:ascii="宋体" w:hAnsi="宋体" w:eastAsia="宋体" w:cs="宋体"/>
                <w:b/>
                <w:bCs/>
                <w:color w:val="000000"/>
                <w:sz w:val="22"/>
                <w:szCs w:val="22"/>
                <w:highlight w:val="none"/>
              </w:rPr>
              <w:t>0.00</w:t>
            </w:r>
          </w:p>
        </w:tc>
      </w:tr>
      <w:tr>
        <w:tblPrEx>
          <w:tblCellMar>
            <w:top w:w="0" w:type="dxa"/>
            <w:left w:w="108" w:type="dxa"/>
            <w:bottom w:w="0" w:type="dxa"/>
            <w:right w:w="108" w:type="dxa"/>
          </w:tblCellMar>
        </w:tblPrEx>
        <w:trPr>
          <w:gridAfter w:val="1"/>
          <w:wAfter w:w="2" w:type="dxa"/>
          <w:trHeight w:val="277" w:hRule="atLeast"/>
        </w:trPr>
        <w:tc>
          <w:tcPr>
            <w:tcW w:w="1537"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left"/>
              <w:rPr>
                <w:rFonts w:hint="default" w:ascii="宋体" w:hAnsi="宋体" w:eastAsia="宋体" w:cs="宋体"/>
                <w:color w:val="000000"/>
                <w:sz w:val="22"/>
                <w:szCs w:val="22"/>
                <w:highlight w:val="none"/>
              </w:rPr>
            </w:pPr>
          </w:p>
        </w:tc>
        <w:tc>
          <w:tcPr>
            <w:tcW w:w="1861"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left"/>
              <w:rPr>
                <w:rFonts w:hint="default" w:ascii="宋体" w:hAnsi="宋体" w:eastAsia="宋体" w:cs="宋体"/>
                <w:color w:val="000000"/>
                <w:sz w:val="22"/>
                <w:szCs w:val="22"/>
                <w:highlight w:val="none"/>
              </w:rPr>
            </w:pPr>
          </w:p>
        </w:tc>
        <w:tc>
          <w:tcPr>
            <w:tcW w:w="19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0.00</w:t>
            </w:r>
          </w:p>
        </w:tc>
        <w:tc>
          <w:tcPr>
            <w:tcW w:w="16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0.00</w:t>
            </w:r>
          </w:p>
        </w:tc>
        <w:tc>
          <w:tcPr>
            <w:tcW w:w="160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0.00</w:t>
            </w:r>
          </w:p>
        </w:tc>
        <w:tc>
          <w:tcPr>
            <w:tcW w:w="16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0.00</w:t>
            </w:r>
          </w:p>
        </w:tc>
        <w:tc>
          <w:tcPr>
            <w:tcW w:w="1728"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0.00</w:t>
            </w:r>
          </w:p>
        </w:tc>
        <w:tc>
          <w:tcPr>
            <w:tcW w:w="1948"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0.00</w:t>
            </w:r>
          </w:p>
        </w:tc>
      </w:tr>
      <w:tr>
        <w:tblPrEx>
          <w:tblCellMar>
            <w:top w:w="0" w:type="dxa"/>
            <w:left w:w="108" w:type="dxa"/>
            <w:bottom w:w="0" w:type="dxa"/>
            <w:right w:w="108" w:type="dxa"/>
          </w:tblCellMar>
        </w:tblPrEx>
        <w:trPr>
          <w:gridAfter w:val="1"/>
          <w:wAfter w:w="2" w:type="dxa"/>
          <w:trHeight w:val="277" w:hRule="atLeast"/>
        </w:trPr>
        <w:tc>
          <w:tcPr>
            <w:tcW w:w="13980" w:type="dxa"/>
            <w:gridSpan w:val="11"/>
            <w:tcBorders>
              <w:top w:val="nil"/>
              <w:left w:val="nil"/>
              <w:bottom w:val="nil"/>
              <w:right w:val="nil"/>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注：本表反映部门本年度政府性基金预算财政拨款收入、支出及结转和结余情况。</w:t>
            </w:r>
          </w:p>
          <w:p>
            <w:pPr>
              <w:keepNext w:val="0"/>
              <w:keepLines w:val="0"/>
              <w:widowControl w:val="0"/>
              <w:suppressLineNumbers w:val="0"/>
              <w:spacing w:before="0" w:beforeAutospacing="0" w:after="0" w:afterAutospacing="0"/>
              <w:ind w:left="0" w:right="0"/>
              <w:jc w:val="both"/>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kern w:val="2"/>
                <w:sz w:val="21"/>
                <w:szCs w:val="21"/>
                <w:lang w:val="en-US" w:eastAsia="zh-CN" w:bidi="ar"/>
                <w14:textFill>
                  <w14:solidFill>
                    <w14:schemeClr w14:val="tx1"/>
                  </w14:solidFill>
                </w14:textFill>
              </w:rPr>
              <w:t>本部门2022年度没有政府性基金预算财政拨款收入，也没有政府性基金预算财政拨款安排的支出，故本表无数据。</w:t>
            </w:r>
          </w:p>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p>
        </w:tc>
      </w:tr>
    </w:tbl>
    <w:p>
      <w:pPr>
        <w:rPr>
          <w:rFonts w:ascii="仿宋" w:hAnsi="仿宋" w:eastAsia="仿宋" w:cs="仿宋"/>
          <w:sz w:val="24"/>
          <w:highlight w:val="none"/>
        </w:rPr>
      </w:pPr>
      <w:r>
        <w:rPr>
          <w:rFonts w:ascii="仿宋" w:hAnsi="仿宋" w:eastAsia="仿宋" w:cs="仿宋"/>
          <w:sz w:val="24"/>
          <w:highlight w:val="none"/>
        </w:rPr>
        <w:br w:type="page"/>
      </w:r>
    </w:p>
    <w:p>
      <w:pPr>
        <w:jc w:val="left"/>
        <w:rPr>
          <w:rFonts w:ascii="仿宋" w:hAnsi="仿宋" w:eastAsia="仿宋" w:cs="仿宋"/>
          <w:sz w:val="24"/>
          <w:highlight w:val="none"/>
        </w:rPr>
      </w:pPr>
    </w:p>
    <w:p>
      <w:pPr>
        <w:jc w:val="left"/>
        <w:rPr>
          <w:rFonts w:hint="eastAsia" w:ascii="仿宋" w:hAnsi="仿宋" w:eastAsia="仿宋" w:cs="仿宋"/>
          <w:sz w:val="24"/>
          <w:highlight w:val="none"/>
        </w:rPr>
      </w:pPr>
      <w:r>
        <w:rPr>
          <w:rFonts w:hint="eastAsia" w:ascii="仿宋" w:hAnsi="仿宋" w:eastAsia="仿宋" w:cs="仿宋"/>
          <w:sz w:val="24"/>
          <w:highlight w:val="none"/>
        </w:rPr>
        <w:t>表</w:t>
      </w:r>
      <w:r>
        <w:rPr>
          <w:rFonts w:hint="eastAsia" w:ascii="仿宋" w:hAnsi="仿宋" w:eastAsia="仿宋" w:cs="仿宋"/>
          <w:sz w:val="24"/>
          <w:highlight w:val="none"/>
          <w:lang w:val="en-US" w:eastAsia="zh-CN"/>
        </w:rPr>
        <w:t>八</w:t>
      </w:r>
      <w:r>
        <w:rPr>
          <w:rFonts w:hint="eastAsia" w:ascii="仿宋" w:hAnsi="仿宋" w:eastAsia="仿宋" w:cs="仿宋"/>
          <w:sz w:val="24"/>
          <w:highlight w:val="none"/>
        </w:rPr>
        <w:t>：国有资本经营预算财政拨款支出决算表</w:t>
      </w:r>
    </w:p>
    <w:p>
      <w:pPr>
        <w:jc w:val="left"/>
        <w:rPr>
          <w:rFonts w:hint="eastAsia" w:ascii="仿宋" w:hAnsi="仿宋" w:eastAsia="仿宋" w:cs="仿宋"/>
          <w:sz w:val="24"/>
          <w:highlight w:val="none"/>
        </w:rPr>
      </w:pPr>
    </w:p>
    <w:tbl>
      <w:tblPr>
        <w:tblStyle w:val="6"/>
        <w:tblW w:w="13940" w:type="dxa"/>
        <w:tblInd w:w="96" w:type="dxa"/>
        <w:tblLayout w:type="fixed"/>
        <w:tblCellMar>
          <w:top w:w="0" w:type="dxa"/>
          <w:left w:w="108" w:type="dxa"/>
          <w:bottom w:w="0" w:type="dxa"/>
          <w:right w:w="108" w:type="dxa"/>
        </w:tblCellMar>
      </w:tblPr>
      <w:tblGrid>
        <w:gridCol w:w="1638"/>
        <w:gridCol w:w="501"/>
        <w:gridCol w:w="285"/>
        <w:gridCol w:w="363"/>
        <w:gridCol w:w="1960"/>
        <w:gridCol w:w="2993"/>
        <w:gridCol w:w="3135"/>
        <w:gridCol w:w="3065"/>
      </w:tblGrid>
      <w:tr>
        <w:tblPrEx>
          <w:tblCellMar>
            <w:top w:w="0" w:type="dxa"/>
            <w:left w:w="108" w:type="dxa"/>
            <w:bottom w:w="0" w:type="dxa"/>
            <w:right w:w="108" w:type="dxa"/>
          </w:tblCellMar>
        </w:tblPrEx>
        <w:trPr>
          <w:trHeight w:val="384" w:hRule="atLeast"/>
        </w:trPr>
        <w:tc>
          <w:tcPr>
            <w:tcW w:w="13940" w:type="dxa"/>
            <w:gridSpan w:val="8"/>
            <w:tcBorders>
              <w:top w:val="nil"/>
              <w:left w:val="nil"/>
              <w:bottom w:val="nil"/>
              <w:right w:val="nil"/>
            </w:tcBorders>
            <w:shd w:val="clear" w:color="auto" w:fill="auto"/>
            <w:noWrap/>
            <w:vAlign w:val="bottom"/>
          </w:tcPr>
          <w:p>
            <w:pPr>
              <w:keepNext w:val="0"/>
              <w:keepLines w:val="0"/>
              <w:widowControl/>
              <w:suppressLineNumbers w:val="0"/>
              <w:spacing w:before="0" w:beforeAutospacing="0" w:after="0" w:afterAutospacing="0"/>
              <w:ind w:left="0" w:right="0"/>
              <w:jc w:val="center"/>
              <w:textAlignment w:val="bottom"/>
              <w:rPr>
                <w:rFonts w:hint="default" w:ascii="宋体" w:hAnsi="宋体" w:eastAsia="宋体" w:cs="宋体"/>
                <w:color w:val="000000"/>
                <w:sz w:val="30"/>
                <w:szCs w:val="30"/>
                <w:highlight w:val="none"/>
              </w:rPr>
            </w:pPr>
            <w:r>
              <w:rPr>
                <w:rFonts w:hint="eastAsia" w:ascii="宋体" w:hAnsi="宋体" w:eastAsia="宋体" w:cs="宋体"/>
                <w:color w:val="000000"/>
                <w:kern w:val="0"/>
                <w:sz w:val="32"/>
                <w:szCs w:val="32"/>
                <w:highlight w:val="none"/>
                <w:lang w:bidi="ar"/>
              </w:rPr>
              <w:t>国有资本经营预算财政拨款支出决算表</w:t>
            </w:r>
          </w:p>
        </w:tc>
      </w:tr>
      <w:tr>
        <w:tblPrEx>
          <w:tblCellMar>
            <w:top w:w="0" w:type="dxa"/>
            <w:left w:w="108" w:type="dxa"/>
            <w:bottom w:w="0" w:type="dxa"/>
            <w:right w:w="108" w:type="dxa"/>
          </w:tblCellMar>
        </w:tblPrEx>
        <w:trPr>
          <w:trHeight w:val="264" w:hRule="atLeast"/>
        </w:trPr>
        <w:tc>
          <w:tcPr>
            <w:tcW w:w="2139" w:type="dxa"/>
            <w:gridSpan w:val="2"/>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285"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363"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960"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2993"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3135"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3065" w:type="dxa"/>
            <w:tcBorders>
              <w:top w:val="nil"/>
              <w:left w:val="nil"/>
              <w:bottom w:val="nil"/>
              <w:right w:val="nil"/>
            </w:tcBorders>
            <w:shd w:val="clear" w:color="auto" w:fill="auto"/>
            <w:noWrap/>
            <w:vAlign w:val="bottom"/>
          </w:tcPr>
          <w:p>
            <w:pPr>
              <w:keepNext w:val="0"/>
              <w:keepLines w:val="0"/>
              <w:widowControl/>
              <w:suppressLineNumbers w:val="0"/>
              <w:spacing w:before="0" w:beforeAutospacing="0" w:after="0" w:afterAutospacing="0"/>
              <w:ind w:left="0" w:right="0"/>
              <w:jc w:val="right"/>
              <w:textAlignment w:val="bottom"/>
              <w:rPr>
                <w:rFonts w:hint="default" w:ascii="宋体" w:hAnsi="宋体" w:eastAsia="宋体" w:cs="宋体"/>
                <w:color w:val="000000"/>
                <w:sz w:val="20"/>
                <w:szCs w:val="20"/>
                <w:highlight w:val="none"/>
              </w:rPr>
            </w:pPr>
            <w:r>
              <w:rPr>
                <w:rFonts w:hint="eastAsia" w:ascii="宋体" w:hAnsi="宋体" w:eastAsia="宋体" w:cs="宋体"/>
                <w:color w:val="000000"/>
                <w:kern w:val="0"/>
                <w:sz w:val="20"/>
                <w:szCs w:val="20"/>
                <w:highlight w:val="none"/>
                <w:lang w:bidi="ar"/>
              </w:rPr>
              <w:t>公开0</w:t>
            </w:r>
            <w:r>
              <w:rPr>
                <w:rFonts w:hint="eastAsia" w:ascii="宋体" w:hAnsi="宋体" w:eastAsia="宋体" w:cs="宋体"/>
                <w:color w:val="000000"/>
                <w:kern w:val="0"/>
                <w:sz w:val="20"/>
                <w:szCs w:val="20"/>
                <w:highlight w:val="none"/>
                <w:lang w:val="en-US" w:eastAsia="zh-CN" w:bidi="ar"/>
              </w:rPr>
              <w:t>8</w:t>
            </w:r>
            <w:r>
              <w:rPr>
                <w:rFonts w:hint="eastAsia" w:ascii="宋体" w:hAnsi="宋体" w:eastAsia="宋体" w:cs="宋体"/>
                <w:color w:val="000000"/>
                <w:kern w:val="0"/>
                <w:sz w:val="20"/>
                <w:szCs w:val="20"/>
                <w:highlight w:val="none"/>
                <w:lang w:bidi="ar"/>
              </w:rPr>
              <w:t>表</w:t>
            </w:r>
          </w:p>
        </w:tc>
      </w:tr>
      <w:tr>
        <w:tblPrEx>
          <w:tblCellMar>
            <w:top w:w="0" w:type="dxa"/>
            <w:left w:w="108" w:type="dxa"/>
            <w:bottom w:w="0" w:type="dxa"/>
            <w:right w:w="108" w:type="dxa"/>
          </w:tblCellMar>
        </w:tblPrEx>
        <w:trPr>
          <w:trHeight w:val="264" w:hRule="atLeast"/>
        </w:trPr>
        <w:tc>
          <w:tcPr>
            <w:tcW w:w="7740" w:type="dxa"/>
            <w:gridSpan w:val="6"/>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r>
              <w:rPr>
                <w:rFonts w:hint="eastAsia" w:ascii="宋体" w:hAnsi="宋体" w:eastAsia="宋体" w:cs="宋体"/>
                <w:color w:val="000000"/>
                <w:kern w:val="0"/>
                <w:sz w:val="20"/>
                <w:szCs w:val="20"/>
                <w:highlight w:val="none"/>
                <w:lang w:bidi="ar"/>
              </w:rPr>
              <w:t>部门：</w:t>
            </w:r>
            <w:r>
              <w:rPr>
                <w:rFonts w:hint="default" w:ascii="宋体" w:hAnsi="宋体" w:eastAsia="宋体" w:cs="宋体"/>
                <w:color w:val="000000"/>
                <w:sz w:val="20"/>
                <w:u w:color="auto"/>
              </w:rPr>
              <w:t>环江毛南族自治县民族中学</w:t>
            </w:r>
          </w:p>
        </w:tc>
        <w:tc>
          <w:tcPr>
            <w:tcW w:w="3135"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3065" w:type="dxa"/>
            <w:tcBorders>
              <w:top w:val="nil"/>
              <w:left w:val="nil"/>
              <w:bottom w:val="nil"/>
              <w:right w:val="nil"/>
            </w:tcBorders>
            <w:shd w:val="clear" w:color="auto" w:fill="auto"/>
            <w:noWrap/>
            <w:vAlign w:val="bottom"/>
          </w:tcPr>
          <w:p>
            <w:pPr>
              <w:keepNext w:val="0"/>
              <w:keepLines w:val="0"/>
              <w:widowControl/>
              <w:suppressLineNumbers w:val="0"/>
              <w:spacing w:before="0" w:beforeAutospacing="0" w:after="0" w:afterAutospacing="0"/>
              <w:ind w:left="0" w:right="0"/>
              <w:jc w:val="right"/>
              <w:textAlignment w:val="bottom"/>
              <w:rPr>
                <w:rFonts w:hint="default" w:ascii="宋体" w:hAnsi="宋体" w:eastAsia="宋体" w:cs="宋体"/>
                <w:color w:val="000000"/>
                <w:sz w:val="20"/>
                <w:szCs w:val="20"/>
                <w:highlight w:val="none"/>
              </w:rPr>
            </w:pPr>
            <w:r>
              <w:rPr>
                <w:rFonts w:hint="eastAsia" w:ascii="宋体" w:hAnsi="宋体" w:eastAsia="宋体" w:cs="宋体"/>
                <w:color w:val="000000"/>
                <w:kern w:val="0"/>
                <w:sz w:val="20"/>
                <w:szCs w:val="20"/>
                <w:highlight w:val="none"/>
                <w:lang w:bidi="ar"/>
              </w:rPr>
              <w:t>金额单位：万元</w:t>
            </w:r>
          </w:p>
        </w:tc>
      </w:tr>
      <w:tr>
        <w:tblPrEx>
          <w:tblCellMar>
            <w:top w:w="0" w:type="dxa"/>
            <w:left w:w="108" w:type="dxa"/>
            <w:bottom w:w="0" w:type="dxa"/>
            <w:right w:w="108" w:type="dxa"/>
          </w:tblCellMar>
        </w:tblPrEx>
        <w:trPr>
          <w:trHeight w:val="308" w:hRule="atLeast"/>
        </w:trPr>
        <w:tc>
          <w:tcPr>
            <w:tcW w:w="4747" w:type="dxa"/>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项目</w:t>
            </w:r>
          </w:p>
        </w:tc>
        <w:tc>
          <w:tcPr>
            <w:tcW w:w="9193" w:type="dxa"/>
            <w:gridSpan w:val="3"/>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本年支出</w:t>
            </w:r>
          </w:p>
        </w:tc>
      </w:tr>
      <w:tr>
        <w:tblPrEx>
          <w:tblCellMar>
            <w:top w:w="0" w:type="dxa"/>
            <w:left w:w="108" w:type="dxa"/>
            <w:bottom w:w="0" w:type="dxa"/>
            <w:right w:w="108" w:type="dxa"/>
          </w:tblCellMar>
        </w:tblPrEx>
        <w:trPr>
          <w:trHeight w:val="312" w:hRule="atLeast"/>
        </w:trPr>
        <w:tc>
          <w:tcPr>
            <w:tcW w:w="1638" w:type="dxa"/>
            <w:vMerge w:val="restart"/>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功能分类科目编码</w:t>
            </w:r>
          </w:p>
        </w:tc>
        <w:tc>
          <w:tcPr>
            <w:tcW w:w="3109" w:type="dxa"/>
            <w:gridSpan w:val="4"/>
            <w:vMerge w:val="restar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科目名称</w:t>
            </w:r>
          </w:p>
        </w:tc>
        <w:tc>
          <w:tcPr>
            <w:tcW w:w="2993"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合计</w:t>
            </w:r>
          </w:p>
        </w:tc>
        <w:tc>
          <w:tcPr>
            <w:tcW w:w="3135"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基本支出</w:t>
            </w:r>
          </w:p>
        </w:tc>
        <w:tc>
          <w:tcPr>
            <w:tcW w:w="3065"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项目支出</w:t>
            </w:r>
          </w:p>
        </w:tc>
      </w:tr>
      <w:tr>
        <w:tblPrEx>
          <w:tblCellMar>
            <w:top w:w="0" w:type="dxa"/>
            <w:left w:w="108" w:type="dxa"/>
            <w:bottom w:w="0" w:type="dxa"/>
            <w:right w:w="108" w:type="dxa"/>
          </w:tblCellMar>
        </w:tblPrEx>
        <w:trPr>
          <w:trHeight w:val="312" w:hRule="atLeast"/>
        </w:trPr>
        <w:tc>
          <w:tcPr>
            <w:tcW w:w="1638" w:type="dxa"/>
            <w:vMerge w:val="continue"/>
            <w:tcBorders>
              <w:top w:val="nil"/>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3109" w:type="dxa"/>
            <w:gridSpan w:val="4"/>
            <w:vMerge w:val="continue"/>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2993" w:type="dxa"/>
            <w:vMerge w:val="continue"/>
            <w:tcBorders>
              <w:top w:val="nil"/>
              <w:left w:val="nil"/>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3135" w:type="dxa"/>
            <w:vMerge w:val="continue"/>
            <w:tcBorders>
              <w:top w:val="nil"/>
              <w:left w:val="nil"/>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3065" w:type="dxa"/>
            <w:vMerge w:val="continue"/>
            <w:tcBorders>
              <w:top w:val="nil"/>
              <w:left w:val="nil"/>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r>
      <w:tr>
        <w:tblPrEx>
          <w:tblCellMar>
            <w:top w:w="0" w:type="dxa"/>
            <w:left w:w="108" w:type="dxa"/>
            <w:bottom w:w="0" w:type="dxa"/>
            <w:right w:w="108" w:type="dxa"/>
          </w:tblCellMar>
        </w:tblPrEx>
        <w:trPr>
          <w:trHeight w:val="312" w:hRule="atLeast"/>
        </w:trPr>
        <w:tc>
          <w:tcPr>
            <w:tcW w:w="1638" w:type="dxa"/>
            <w:vMerge w:val="continue"/>
            <w:tcBorders>
              <w:top w:val="nil"/>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3109" w:type="dxa"/>
            <w:gridSpan w:val="4"/>
            <w:vMerge w:val="continue"/>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2993" w:type="dxa"/>
            <w:vMerge w:val="continue"/>
            <w:tcBorders>
              <w:top w:val="nil"/>
              <w:left w:val="nil"/>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3135" w:type="dxa"/>
            <w:vMerge w:val="continue"/>
            <w:tcBorders>
              <w:top w:val="nil"/>
              <w:left w:val="nil"/>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3065" w:type="dxa"/>
            <w:vMerge w:val="continue"/>
            <w:tcBorders>
              <w:top w:val="nil"/>
              <w:left w:val="nil"/>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r>
      <w:tr>
        <w:tblPrEx>
          <w:tblCellMar>
            <w:top w:w="0" w:type="dxa"/>
            <w:left w:w="108" w:type="dxa"/>
            <w:bottom w:w="0" w:type="dxa"/>
            <w:right w:w="108" w:type="dxa"/>
          </w:tblCellMar>
        </w:tblPrEx>
        <w:trPr>
          <w:trHeight w:val="308" w:hRule="atLeast"/>
        </w:trPr>
        <w:tc>
          <w:tcPr>
            <w:tcW w:w="4747" w:type="dxa"/>
            <w:gridSpan w:val="5"/>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栏次</w:t>
            </w:r>
          </w:p>
        </w:tc>
        <w:tc>
          <w:tcPr>
            <w:tcW w:w="2993"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1</w:t>
            </w:r>
          </w:p>
        </w:tc>
        <w:tc>
          <w:tcPr>
            <w:tcW w:w="3135"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2</w:t>
            </w:r>
          </w:p>
        </w:tc>
        <w:tc>
          <w:tcPr>
            <w:tcW w:w="3065"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3</w:t>
            </w:r>
          </w:p>
        </w:tc>
      </w:tr>
      <w:tr>
        <w:tblPrEx>
          <w:tblCellMar>
            <w:top w:w="0" w:type="dxa"/>
            <w:left w:w="108" w:type="dxa"/>
            <w:bottom w:w="0" w:type="dxa"/>
            <w:right w:w="108" w:type="dxa"/>
          </w:tblCellMar>
        </w:tblPrEx>
        <w:trPr>
          <w:trHeight w:val="308" w:hRule="atLeast"/>
        </w:trPr>
        <w:tc>
          <w:tcPr>
            <w:tcW w:w="4747" w:type="dxa"/>
            <w:gridSpan w:val="5"/>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合计</w:t>
            </w:r>
          </w:p>
        </w:tc>
        <w:tc>
          <w:tcPr>
            <w:tcW w:w="2993" w:type="dxa"/>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b/>
                <w:bCs/>
                <w:color w:val="000000"/>
                <w:sz w:val="22"/>
                <w:szCs w:val="22"/>
                <w:highlight w:val="none"/>
              </w:rPr>
            </w:pPr>
            <w:r>
              <w:rPr>
                <w:rFonts w:hint="eastAsia" w:ascii="宋体" w:hAnsi="宋体" w:eastAsia="宋体" w:cs="宋体"/>
                <w:b/>
                <w:bCs/>
                <w:color w:val="000000"/>
                <w:sz w:val="22"/>
                <w:szCs w:val="22"/>
                <w:highlight w:val="none"/>
              </w:rPr>
              <w:t>0.00</w:t>
            </w:r>
          </w:p>
        </w:tc>
        <w:tc>
          <w:tcPr>
            <w:tcW w:w="3135" w:type="dxa"/>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b/>
                <w:bCs/>
                <w:color w:val="000000"/>
                <w:sz w:val="22"/>
                <w:szCs w:val="22"/>
                <w:highlight w:val="none"/>
              </w:rPr>
            </w:pPr>
            <w:r>
              <w:rPr>
                <w:rFonts w:hint="eastAsia" w:ascii="宋体" w:hAnsi="宋体" w:eastAsia="宋体" w:cs="宋体"/>
                <w:b/>
                <w:bCs/>
                <w:color w:val="000000"/>
                <w:sz w:val="22"/>
                <w:szCs w:val="22"/>
                <w:highlight w:val="none"/>
              </w:rPr>
              <w:t>0.00</w:t>
            </w:r>
          </w:p>
        </w:tc>
        <w:tc>
          <w:tcPr>
            <w:tcW w:w="3065" w:type="dxa"/>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b/>
                <w:bCs/>
                <w:color w:val="000000"/>
                <w:sz w:val="22"/>
                <w:szCs w:val="22"/>
                <w:highlight w:val="none"/>
              </w:rPr>
            </w:pPr>
            <w:r>
              <w:rPr>
                <w:rFonts w:hint="eastAsia" w:ascii="宋体" w:hAnsi="宋体" w:eastAsia="宋体" w:cs="宋体"/>
                <w:b/>
                <w:bCs/>
                <w:color w:val="000000"/>
                <w:sz w:val="22"/>
                <w:szCs w:val="22"/>
                <w:highlight w:val="none"/>
              </w:rPr>
              <w:t>0.00</w:t>
            </w:r>
          </w:p>
        </w:tc>
      </w:tr>
      <w:tr>
        <w:tblPrEx>
          <w:tblCellMar>
            <w:top w:w="0" w:type="dxa"/>
            <w:left w:w="108" w:type="dxa"/>
            <w:bottom w:w="0" w:type="dxa"/>
            <w:right w:w="108" w:type="dxa"/>
          </w:tblCellMar>
        </w:tblPrEx>
        <w:trPr>
          <w:trHeight w:val="308" w:hRule="atLeast"/>
        </w:trPr>
        <w:tc>
          <w:tcPr>
            <w:tcW w:w="1638" w:type="dxa"/>
            <w:tcBorders>
              <w:top w:val="nil"/>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left"/>
              <w:rPr>
                <w:rFonts w:hint="default" w:ascii="宋体" w:hAnsi="宋体" w:eastAsia="宋体" w:cs="宋体"/>
                <w:color w:val="000000"/>
                <w:sz w:val="22"/>
                <w:szCs w:val="22"/>
                <w:highlight w:val="none"/>
              </w:rPr>
            </w:pPr>
          </w:p>
        </w:tc>
        <w:tc>
          <w:tcPr>
            <w:tcW w:w="3109" w:type="dxa"/>
            <w:gridSpan w:val="4"/>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left"/>
              <w:rPr>
                <w:rFonts w:hint="default" w:ascii="宋体" w:hAnsi="宋体" w:eastAsia="宋体" w:cs="宋体"/>
                <w:color w:val="000000"/>
                <w:sz w:val="22"/>
                <w:szCs w:val="22"/>
                <w:highlight w:val="none"/>
              </w:rPr>
            </w:pPr>
          </w:p>
        </w:tc>
        <w:tc>
          <w:tcPr>
            <w:tcW w:w="2993" w:type="dxa"/>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0.00</w:t>
            </w:r>
          </w:p>
        </w:tc>
        <w:tc>
          <w:tcPr>
            <w:tcW w:w="3135" w:type="dxa"/>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0.00</w:t>
            </w:r>
          </w:p>
        </w:tc>
        <w:tc>
          <w:tcPr>
            <w:tcW w:w="3065" w:type="dxa"/>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0.00</w:t>
            </w:r>
          </w:p>
        </w:tc>
      </w:tr>
    </w:tbl>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注：本表反映部门本年度国有资本经营预算财政拨款支出情况。</w:t>
      </w:r>
    </w:p>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000000" w:themeColor="text1"/>
          <w:kern w:val="0"/>
          <w:sz w:val="22"/>
          <w:szCs w:val="22"/>
          <w:highlight w:val="none"/>
          <w:lang w:bidi="ar"/>
          <w14:textFill>
            <w14:solidFill>
              <w14:schemeClr w14:val="tx1"/>
            </w14:solidFill>
          </w14:textFill>
        </w:rPr>
      </w:pPr>
      <w:r>
        <w:rPr>
          <w:rFonts w:hint="eastAsia" w:ascii="宋体" w:hAnsi="宋体" w:eastAsia="宋体" w:cs="宋体"/>
          <w:color w:val="000000" w:themeColor="text1"/>
          <w:kern w:val="2"/>
          <w:sz w:val="21"/>
          <w:szCs w:val="21"/>
          <w:lang w:val="en-US" w:eastAsia="zh-CN" w:bidi="ar"/>
          <w14:textFill>
            <w14:solidFill>
              <w14:schemeClr w14:val="tx1"/>
            </w14:solidFill>
          </w14:textFill>
        </w:rPr>
        <w:t>本部门</w:t>
      </w:r>
      <w:r>
        <w:rPr>
          <w:rFonts w:hint="default" w:ascii="Times New Roman" w:hAnsi="Times New Roman" w:eastAsia="宋体" w:cs="Times New Roman"/>
          <w:color w:val="000000" w:themeColor="text1"/>
          <w:kern w:val="2"/>
          <w:sz w:val="21"/>
          <w:szCs w:val="21"/>
          <w:lang w:val="en-US" w:eastAsia="zh-CN" w:bidi="ar"/>
          <w14:textFill>
            <w14:solidFill>
              <w14:schemeClr w14:val="tx1"/>
            </w14:solidFill>
          </w14:textFill>
        </w:rPr>
        <w:t>2022</w:t>
      </w:r>
      <w:r>
        <w:rPr>
          <w:rFonts w:hint="eastAsia" w:ascii="宋体" w:hAnsi="宋体" w:eastAsia="宋体" w:cs="宋体"/>
          <w:color w:val="000000" w:themeColor="text1"/>
          <w:kern w:val="2"/>
          <w:sz w:val="21"/>
          <w:szCs w:val="21"/>
          <w:lang w:val="en-US" w:eastAsia="zh-CN" w:bidi="ar"/>
          <w14:textFill>
            <w14:solidFill>
              <w14:schemeClr w14:val="tx1"/>
            </w14:solidFill>
          </w14:textFill>
        </w:rPr>
        <w:t>年度没有国有资本经营预算财政拨款收入，也没有国有资本经营预算财政拨款安排的支出，故本表无数据。</w:t>
      </w:r>
    </w:p>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br w:type="page"/>
      </w:r>
    </w:p>
    <w:tbl>
      <w:tblPr>
        <w:tblStyle w:val="6"/>
        <w:tblW w:w="14036" w:type="dxa"/>
        <w:tblInd w:w="0" w:type="dxa"/>
        <w:tblLayout w:type="fixed"/>
        <w:tblCellMar>
          <w:top w:w="0" w:type="dxa"/>
          <w:left w:w="108" w:type="dxa"/>
          <w:bottom w:w="0" w:type="dxa"/>
          <w:right w:w="108" w:type="dxa"/>
        </w:tblCellMar>
      </w:tblPr>
      <w:tblGrid>
        <w:gridCol w:w="96"/>
        <w:gridCol w:w="1438"/>
        <w:gridCol w:w="1425"/>
        <w:gridCol w:w="1094"/>
        <w:gridCol w:w="1159"/>
        <w:gridCol w:w="1133"/>
        <w:gridCol w:w="1040"/>
        <w:gridCol w:w="1066"/>
        <w:gridCol w:w="1161"/>
        <w:gridCol w:w="1053"/>
        <w:gridCol w:w="1148"/>
        <w:gridCol w:w="1133"/>
        <w:gridCol w:w="1073"/>
        <w:gridCol w:w="17"/>
      </w:tblGrid>
      <w:tr>
        <w:tblPrEx>
          <w:tblCellMar>
            <w:top w:w="0" w:type="dxa"/>
            <w:left w:w="108" w:type="dxa"/>
            <w:bottom w:w="0" w:type="dxa"/>
            <w:right w:w="108" w:type="dxa"/>
          </w:tblCellMar>
        </w:tblPrEx>
        <w:trPr>
          <w:gridBefore w:val="1"/>
          <w:wBefore w:w="96" w:type="dxa"/>
          <w:trHeight w:val="308" w:hRule="atLeast"/>
        </w:trPr>
        <w:tc>
          <w:tcPr>
            <w:tcW w:w="13940" w:type="dxa"/>
            <w:gridSpan w:val="13"/>
            <w:tcBorders>
              <w:top w:val="nil"/>
              <w:left w:val="nil"/>
              <w:bottom w:val="nil"/>
              <w:right w:val="nil"/>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p>
        </w:tc>
      </w:tr>
      <w:tr>
        <w:tblPrEx>
          <w:tblCellMar>
            <w:top w:w="0" w:type="dxa"/>
            <w:left w:w="108" w:type="dxa"/>
            <w:bottom w:w="0" w:type="dxa"/>
            <w:right w:w="108" w:type="dxa"/>
          </w:tblCellMar>
        </w:tblPrEx>
        <w:trPr>
          <w:gridAfter w:val="1"/>
          <w:wAfter w:w="17" w:type="dxa"/>
          <w:trHeight w:val="632" w:hRule="atLeast"/>
        </w:trPr>
        <w:tc>
          <w:tcPr>
            <w:tcW w:w="14019" w:type="dxa"/>
            <w:gridSpan w:val="13"/>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jc w:val="left"/>
              <w:rPr>
                <w:rFonts w:hint="default" w:ascii="仿宋" w:hAnsi="仿宋" w:eastAsia="仿宋" w:cs="仿宋"/>
                <w:sz w:val="24"/>
                <w:highlight w:val="none"/>
              </w:rPr>
            </w:pPr>
            <w:r>
              <w:rPr>
                <w:rFonts w:hint="eastAsia" w:ascii="仿宋" w:hAnsi="仿宋" w:eastAsia="仿宋" w:cs="仿宋"/>
                <w:sz w:val="24"/>
                <w:highlight w:val="none"/>
                <w:lang w:val="en-US" w:eastAsia="zh-CN"/>
              </w:rPr>
              <w:t>表九：</w:t>
            </w:r>
            <w:r>
              <w:rPr>
                <w:rFonts w:hint="eastAsia" w:ascii="仿宋" w:hAnsi="仿宋" w:eastAsia="仿宋" w:cs="仿宋"/>
                <w:sz w:val="24"/>
                <w:highlight w:val="none"/>
              </w:rPr>
              <w:t>财政拨款“三公”经费支出决算表</w:t>
            </w:r>
          </w:p>
          <w:p>
            <w:pPr>
              <w:keepNext w:val="0"/>
              <w:keepLines w:val="0"/>
              <w:widowControl/>
              <w:suppressLineNumbers w:val="0"/>
              <w:spacing w:before="0" w:beforeAutospacing="0" w:after="0" w:afterAutospacing="0"/>
              <w:ind w:left="0" w:right="0"/>
              <w:jc w:val="center"/>
              <w:textAlignment w:val="bottom"/>
              <w:rPr>
                <w:rFonts w:hint="eastAsia" w:ascii="宋体" w:hAnsi="宋体" w:eastAsia="宋体" w:cs="宋体"/>
                <w:color w:val="000000"/>
                <w:kern w:val="0"/>
                <w:sz w:val="30"/>
                <w:szCs w:val="30"/>
                <w:highlight w:val="none"/>
                <w:lang w:bidi="ar"/>
              </w:rPr>
            </w:pPr>
          </w:p>
          <w:p>
            <w:pPr>
              <w:keepNext w:val="0"/>
              <w:keepLines w:val="0"/>
              <w:widowControl/>
              <w:suppressLineNumbers w:val="0"/>
              <w:spacing w:before="0" w:beforeAutospacing="0" w:after="0" w:afterAutospacing="0"/>
              <w:ind w:left="0" w:right="0"/>
              <w:jc w:val="center"/>
              <w:textAlignment w:val="bottom"/>
              <w:rPr>
                <w:rFonts w:hint="default" w:ascii="宋体" w:hAnsi="宋体" w:eastAsia="宋体" w:cs="宋体"/>
                <w:color w:val="000000"/>
                <w:sz w:val="30"/>
                <w:szCs w:val="30"/>
                <w:highlight w:val="none"/>
              </w:rPr>
            </w:pPr>
            <w:r>
              <w:rPr>
                <w:rFonts w:hint="eastAsia" w:ascii="宋体" w:hAnsi="宋体" w:eastAsia="宋体" w:cs="宋体"/>
                <w:color w:val="000000"/>
                <w:kern w:val="0"/>
                <w:sz w:val="32"/>
                <w:szCs w:val="32"/>
                <w:highlight w:val="none"/>
                <w:lang w:bidi="ar"/>
              </w:rPr>
              <w:t>财政拨款“三公”经费支出决算表</w:t>
            </w:r>
          </w:p>
        </w:tc>
      </w:tr>
      <w:tr>
        <w:tblPrEx>
          <w:tblCellMar>
            <w:top w:w="0" w:type="dxa"/>
            <w:left w:w="108" w:type="dxa"/>
            <w:bottom w:w="0" w:type="dxa"/>
            <w:right w:w="108" w:type="dxa"/>
          </w:tblCellMar>
        </w:tblPrEx>
        <w:trPr>
          <w:gridAfter w:val="1"/>
          <w:wAfter w:w="17" w:type="dxa"/>
          <w:trHeight w:val="316" w:hRule="atLeast"/>
        </w:trPr>
        <w:tc>
          <w:tcPr>
            <w:tcW w:w="1534" w:type="dxa"/>
            <w:gridSpan w:val="2"/>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425"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094"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159"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133"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040"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066"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161"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053"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148"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133"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073" w:type="dxa"/>
            <w:tcBorders>
              <w:top w:val="nil"/>
              <w:left w:val="nil"/>
              <w:bottom w:val="nil"/>
              <w:right w:val="nil"/>
            </w:tcBorders>
            <w:shd w:val="clear" w:color="auto" w:fill="auto"/>
            <w:noWrap/>
            <w:vAlign w:val="bottom"/>
          </w:tcPr>
          <w:p>
            <w:pPr>
              <w:keepNext w:val="0"/>
              <w:keepLines w:val="0"/>
              <w:widowControl/>
              <w:suppressLineNumbers w:val="0"/>
              <w:spacing w:before="0" w:beforeAutospacing="0" w:after="0" w:afterAutospacing="0"/>
              <w:ind w:left="0" w:right="0"/>
              <w:jc w:val="right"/>
              <w:textAlignment w:val="bottom"/>
              <w:rPr>
                <w:rFonts w:hint="default" w:ascii="宋体" w:hAnsi="宋体" w:eastAsia="宋体" w:cs="宋体"/>
                <w:color w:val="000000"/>
                <w:sz w:val="20"/>
                <w:szCs w:val="20"/>
                <w:highlight w:val="none"/>
              </w:rPr>
            </w:pPr>
            <w:r>
              <w:rPr>
                <w:rFonts w:hint="eastAsia" w:ascii="宋体" w:hAnsi="宋体" w:eastAsia="宋体" w:cs="宋体"/>
                <w:color w:val="000000"/>
                <w:kern w:val="0"/>
                <w:sz w:val="20"/>
                <w:szCs w:val="20"/>
                <w:highlight w:val="none"/>
                <w:lang w:bidi="ar"/>
              </w:rPr>
              <w:t>公开0</w:t>
            </w:r>
            <w:r>
              <w:rPr>
                <w:rFonts w:hint="eastAsia" w:ascii="宋体" w:hAnsi="宋体" w:eastAsia="宋体" w:cs="宋体"/>
                <w:color w:val="000000"/>
                <w:kern w:val="0"/>
                <w:sz w:val="20"/>
                <w:szCs w:val="20"/>
                <w:highlight w:val="none"/>
                <w:lang w:val="en-US" w:eastAsia="zh-CN" w:bidi="ar"/>
              </w:rPr>
              <w:t>9</w:t>
            </w:r>
            <w:r>
              <w:rPr>
                <w:rFonts w:hint="eastAsia" w:ascii="宋体" w:hAnsi="宋体" w:eastAsia="宋体" w:cs="宋体"/>
                <w:color w:val="000000"/>
                <w:kern w:val="0"/>
                <w:sz w:val="20"/>
                <w:szCs w:val="20"/>
                <w:highlight w:val="none"/>
                <w:lang w:bidi="ar"/>
              </w:rPr>
              <w:t>表</w:t>
            </w:r>
          </w:p>
        </w:tc>
      </w:tr>
      <w:tr>
        <w:tblPrEx>
          <w:tblCellMar>
            <w:top w:w="0" w:type="dxa"/>
            <w:left w:w="108" w:type="dxa"/>
            <w:bottom w:w="0" w:type="dxa"/>
            <w:right w:w="108" w:type="dxa"/>
          </w:tblCellMar>
        </w:tblPrEx>
        <w:trPr>
          <w:gridAfter w:val="1"/>
          <w:wAfter w:w="17" w:type="dxa"/>
          <w:trHeight w:val="316" w:hRule="atLeast"/>
        </w:trPr>
        <w:tc>
          <w:tcPr>
            <w:tcW w:w="7385" w:type="dxa"/>
            <w:gridSpan w:val="7"/>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r>
              <w:rPr>
                <w:rFonts w:hint="eastAsia" w:ascii="宋体" w:hAnsi="宋体" w:eastAsia="宋体" w:cs="宋体"/>
                <w:color w:val="000000"/>
                <w:kern w:val="0"/>
                <w:sz w:val="20"/>
                <w:szCs w:val="20"/>
                <w:highlight w:val="none"/>
                <w:lang w:bidi="ar"/>
              </w:rPr>
              <w:t>部门：</w:t>
            </w:r>
            <w:r>
              <w:rPr>
                <w:rFonts w:hint="default" w:ascii="宋体" w:hAnsi="宋体" w:eastAsia="宋体" w:cs="宋体"/>
                <w:color w:val="000000"/>
                <w:sz w:val="20"/>
                <w:u w:color="auto"/>
              </w:rPr>
              <w:t>环江毛南族自治县民族中学</w:t>
            </w:r>
          </w:p>
        </w:tc>
        <w:tc>
          <w:tcPr>
            <w:tcW w:w="1066"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161"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053"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148"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2206" w:type="dxa"/>
            <w:gridSpan w:val="2"/>
            <w:tcBorders>
              <w:top w:val="nil"/>
              <w:left w:val="nil"/>
              <w:bottom w:val="nil"/>
              <w:right w:val="nil"/>
            </w:tcBorders>
            <w:shd w:val="clear" w:color="auto" w:fill="auto"/>
            <w:noWrap/>
            <w:vAlign w:val="bottom"/>
          </w:tcPr>
          <w:p>
            <w:pPr>
              <w:keepNext w:val="0"/>
              <w:keepLines w:val="0"/>
              <w:widowControl/>
              <w:suppressLineNumbers w:val="0"/>
              <w:spacing w:before="0" w:beforeAutospacing="0" w:after="0" w:afterAutospacing="0"/>
              <w:ind w:left="0" w:right="0"/>
              <w:jc w:val="right"/>
              <w:textAlignment w:val="bottom"/>
              <w:rPr>
                <w:rFonts w:hint="default" w:ascii="宋体" w:hAnsi="宋体" w:eastAsia="宋体" w:cs="宋体"/>
                <w:color w:val="000000"/>
                <w:sz w:val="20"/>
                <w:szCs w:val="20"/>
                <w:highlight w:val="none"/>
              </w:rPr>
            </w:pPr>
            <w:r>
              <w:rPr>
                <w:rFonts w:hint="eastAsia" w:ascii="宋体" w:hAnsi="宋体" w:eastAsia="宋体" w:cs="宋体"/>
                <w:color w:val="000000"/>
                <w:kern w:val="0"/>
                <w:sz w:val="20"/>
                <w:szCs w:val="20"/>
                <w:highlight w:val="none"/>
                <w:lang w:bidi="ar"/>
              </w:rPr>
              <w:t>金额单位：万元</w:t>
            </w:r>
          </w:p>
        </w:tc>
      </w:tr>
      <w:tr>
        <w:tblPrEx>
          <w:tblCellMar>
            <w:top w:w="0" w:type="dxa"/>
            <w:left w:w="108" w:type="dxa"/>
            <w:bottom w:w="0" w:type="dxa"/>
            <w:right w:w="108" w:type="dxa"/>
          </w:tblCellMar>
        </w:tblPrEx>
        <w:trPr>
          <w:gridAfter w:val="1"/>
          <w:wAfter w:w="17" w:type="dxa"/>
          <w:trHeight w:val="326" w:hRule="atLeast"/>
        </w:trPr>
        <w:tc>
          <w:tcPr>
            <w:tcW w:w="7385"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预算数</w:t>
            </w:r>
          </w:p>
        </w:tc>
        <w:tc>
          <w:tcPr>
            <w:tcW w:w="6634" w:type="dxa"/>
            <w:gridSpan w:val="6"/>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决算数</w:t>
            </w:r>
          </w:p>
        </w:tc>
      </w:tr>
      <w:tr>
        <w:tblPrEx>
          <w:tblCellMar>
            <w:top w:w="0" w:type="dxa"/>
            <w:left w:w="108" w:type="dxa"/>
            <w:bottom w:w="0" w:type="dxa"/>
            <w:right w:w="108" w:type="dxa"/>
          </w:tblCellMar>
        </w:tblPrEx>
        <w:trPr>
          <w:gridAfter w:val="1"/>
          <w:wAfter w:w="17" w:type="dxa"/>
          <w:trHeight w:val="326" w:hRule="atLeast"/>
        </w:trPr>
        <w:tc>
          <w:tcPr>
            <w:tcW w:w="1534" w:type="dxa"/>
            <w:gridSpan w:val="2"/>
            <w:vMerge w:val="restart"/>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合计</w:t>
            </w:r>
          </w:p>
        </w:tc>
        <w:tc>
          <w:tcPr>
            <w:tcW w:w="1425"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因公出国（境）费</w:t>
            </w:r>
          </w:p>
        </w:tc>
        <w:tc>
          <w:tcPr>
            <w:tcW w:w="3386" w:type="dxa"/>
            <w:gridSpan w:val="3"/>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公务用车购置及运行费</w:t>
            </w:r>
          </w:p>
        </w:tc>
        <w:tc>
          <w:tcPr>
            <w:tcW w:w="1040"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公务接待费</w:t>
            </w:r>
          </w:p>
        </w:tc>
        <w:tc>
          <w:tcPr>
            <w:tcW w:w="1066"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合计</w:t>
            </w:r>
          </w:p>
        </w:tc>
        <w:tc>
          <w:tcPr>
            <w:tcW w:w="1161"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因公出国（境）费</w:t>
            </w:r>
          </w:p>
        </w:tc>
        <w:tc>
          <w:tcPr>
            <w:tcW w:w="3334" w:type="dxa"/>
            <w:gridSpan w:val="3"/>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公务用车购置及运行费</w:t>
            </w:r>
          </w:p>
        </w:tc>
        <w:tc>
          <w:tcPr>
            <w:tcW w:w="1073"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公务接待费</w:t>
            </w:r>
          </w:p>
        </w:tc>
      </w:tr>
      <w:tr>
        <w:tblPrEx>
          <w:tblCellMar>
            <w:top w:w="0" w:type="dxa"/>
            <w:left w:w="108" w:type="dxa"/>
            <w:bottom w:w="0" w:type="dxa"/>
            <w:right w:w="108" w:type="dxa"/>
          </w:tblCellMar>
        </w:tblPrEx>
        <w:trPr>
          <w:gridAfter w:val="1"/>
          <w:wAfter w:w="17" w:type="dxa"/>
          <w:trHeight w:val="642" w:hRule="atLeast"/>
        </w:trPr>
        <w:tc>
          <w:tcPr>
            <w:tcW w:w="1534" w:type="dxa"/>
            <w:gridSpan w:val="2"/>
            <w:vMerge w:val="continue"/>
            <w:tcBorders>
              <w:top w:val="nil"/>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425" w:type="dxa"/>
            <w:vMerge w:val="continue"/>
            <w:tcBorders>
              <w:top w:val="nil"/>
              <w:left w:val="nil"/>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094"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小计</w:t>
            </w:r>
          </w:p>
        </w:tc>
        <w:tc>
          <w:tcPr>
            <w:tcW w:w="1159"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公务用车购置费</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公务用车运行费</w:t>
            </w:r>
          </w:p>
        </w:tc>
        <w:tc>
          <w:tcPr>
            <w:tcW w:w="1040" w:type="dxa"/>
            <w:vMerge w:val="continue"/>
            <w:tcBorders>
              <w:top w:val="nil"/>
              <w:left w:val="nil"/>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066" w:type="dxa"/>
            <w:vMerge w:val="continue"/>
            <w:tcBorders>
              <w:top w:val="nil"/>
              <w:left w:val="nil"/>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161" w:type="dxa"/>
            <w:vMerge w:val="continue"/>
            <w:tcBorders>
              <w:top w:val="nil"/>
              <w:left w:val="nil"/>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053"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小计</w:t>
            </w:r>
          </w:p>
        </w:tc>
        <w:tc>
          <w:tcPr>
            <w:tcW w:w="1148"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公务用车购置费</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公务用车运行费</w:t>
            </w:r>
          </w:p>
        </w:tc>
        <w:tc>
          <w:tcPr>
            <w:tcW w:w="1073" w:type="dxa"/>
            <w:vMerge w:val="continue"/>
            <w:tcBorders>
              <w:top w:val="nil"/>
              <w:left w:val="nil"/>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r>
      <w:tr>
        <w:tblPrEx>
          <w:tblCellMar>
            <w:top w:w="0" w:type="dxa"/>
            <w:left w:w="108" w:type="dxa"/>
            <w:bottom w:w="0" w:type="dxa"/>
            <w:right w:w="108" w:type="dxa"/>
          </w:tblCellMar>
        </w:tblPrEx>
        <w:trPr>
          <w:gridAfter w:val="1"/>
          <w:wAfter w:w="17" w:type="dxa"/>
          <w:trHeight w:val="959" w:hRule="atLeast"/>
        </w:trPr>
        <w:tc>
          <w:tcPr>
            <w:tcW w:w="1534" w:type="dxa"/>
            <w:gridSpan w:val="2"/>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1</w:t>
            </w:r>
          </w:p>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p>
        </w:tc>
        <w:tc>
          <w:tcPr>
            <w:tcW w:w="1425"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2</w:t>
            </w:r>
          </w:p>
        </w:tc>
        <w:tc>
          <w:tcPr>
            <w:tcW w:w="1094"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3</w:t>
            </w:r>
          </w:p>
        </w:tc>
        <w:tc>
          <w:tcPr>
            <w:tcW w:w="1159"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4</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5</w:t>
            </w:r>
          </w:p>
        </w:tc>
        <w:tc>
          <w:tcPr>
            <w:tcW w:w="1040"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6</w:t>
            </w:r>
          </w:p>
        </w:tc>
        <w:tc>
          <w:tcPr>
            <w:tcW w:w="1066"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7</w:t>
            </w:r>
          </w:p>
        </w:tc>
        <w:tc>
          <w:tcPr>
            <w:tcW w:w="1161"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8</w:t>
            </w:r>
          </w:p>
        </w:tc>
        <w:tc>
          <w:tcPr>
            <w:tcW w:w="1053"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9</w:t>
            </w:r>
          </w:p>
        </w:tc>
        <w:tc>
          <w:tcPr>
            <w:tcW w:w="1148"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10</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11</w:t>
            </w:r>
          </w:p>
        </w:tc>
        <w:tc>
          <w:tcPr>
            <w:tcW w:w="1073"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12</w:t>
            </w:r>
          </w:p>
        </w:tc>
      </w:tr>
      <w:tr>
        <w:tblPrEx>
          <w:tblCellMar>
            <w:top w:w="0" w:type="dxa"/>
            <w:left w:w="108" w:type="dxa"/>
            <w:bottom w:w="0" w:type="dxa"/>
            <w:right w:w="108" w:type="dxa"/>
          </w:tblCellMar>
        </w:tblPrEx>
        <w:trPr>
          <w:gridAfter w:val="1"/>
          <w:wAfter w:w="17" w:type="dxa"/>
          <w:trHeight w:val="642" w:hRule="atLeast"/>
        </w:trPr>
        <w:tc>
          <w:tcPr>
            <w:tcW w:w="1534" w:type="dxa"/>
            <w:gridSpan w:val="2"/>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0.00</w:t>
            </w:r>
          </w:p>
        </w:tc>
        <w:tc>
          <w:tcPr>
            <w:tcW w:w="1425" w:type="dxa"/>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0.00</w:t>
            </w:r>
          </w:p>
        </w:tc>
        <w:tc>
          <w:tcPr>
            <w:tcW w:w="1094" w:type="dxa"/>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0.00</w:t>
            </w:r>
          </w:p>
        </w:tc>
        <w:tc>
          <w:tcPr>
            <w:tcW w:w="1159" w:type="dxa"/>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0.00</w:t>
            </w:r>
          </w:p>
        </w:tc>
        <w:tc>
          <w:tcPr>
            <w:tcW w:w="1133" w:type="dxa"/>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0.00</w:t>
            </w:r>
          </w:p>
        </w:tc>
        <w:tc>
          <w:tcPr>
            <w:tcW w:w="1040"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0.00</w:t>
            </w:r>
          </w:p>
        </w:tc>
        <w:tc>
          <w:tcPr>
            <w:tcW w:w="1066"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0.00</w:t>
            </w:r>
          </w:p>
        </w:tc>
        <w:tc>
          <w:tcPr>
            <w:tcW w:w="1161" w:type="dxa"/>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0.00</w:t>
            </w:r>
          </w:p>
        </w:tc>
        <w:tc>
          <w:tcPr>
            <w:tcW w:w="1053" w:type="dxa"/>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0.00</w:t>
            </w:r>
          </w:p>
        </w:tc>
        <w:tc>
          <w:tcPr>
            <w:tcW w:w="1148" w:type="dxa"/>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0.00</w:t>
            </w:r>
          </w:p>
        </w:tc>
        <w:tc>
          <w:tcPr>
            <w:tcW w:w="1133" w:type="dxa"/>
            <w:tcBorders>
              <w:top w:val="nil"/>
              <w:left w:val="nil"/>
              <w:bottom w:val="single" w:color="000000" w:sz="4" w:space="0"/>
              <w:right w:val="single" w:color="000000" w:sz="4" w:space="0"/>
            </w:tcBorders>
            <w:shd w:val="clear" w:color="auto" w:fill="auto"/>
            <w:noWrap/>
          </w:tcPr>
          <w:p>
            <w:pPr>
              <w:keepNext w:val="0"/>
              <w:keepLines w:val="0"/>
              <w:suppressLineNumbers w:val="0"/>
              <w:spacing w:before="0" w:beforeAutospacing="0" w:after="0" w:afterAutospacing="0"/>
              <w:ind w:left="0" w:right="0"/>
              <w:jc w:val="right"/>
              <w:rPr>
                <w:rFonts w:hint="default"/>
                <w:highlight w:val="none"/>
              </w:rPr>
            </w:pPr>
            <w:r>
              <w:rPr>
                <w:rFonts w:hint="default"/>
                <w:highlight w:val="none"/>
              </w:rPr>
              <w:t>0.00</w:t>
            </w:r>
          </w:p>
        </w:tc>
        <w:tc>
          <w:tcPr>
            <w:tcW w:w="1073" w:type="dxa"/>
            <w:tcBorders>
              <w:top w:val="nil"/>
              <w:left w:val="nil"/>
              <w:bottom w:val="single" w:color="000000" w:sz="4" w:space="0"/>
              <w:right w:val="single" w:color="000000" w:sz="4" w:space="0"/>
            </w:tcBorders>
            <w:shd w:val="clear" w:color="auto" w:fill="auto"/>
            <w:noWrap/>
          </w:tcPr>
          <w:p>
            <w:pPr>
              <w:keepNext w:val="0"/>
              <w:keepLines w:val="0"/>
              <w:suppressLineNumbers w:val="0"/>
              <w:spacing w:before="0" w:beforeAutospacing="0" w:after="0" w:afterAutospacing="0"/>
              <w:ind w:left="0" w:right="0"/>
              <w:jc w:val="right"/>
              <w:rPr>
                <w:rFonts w:hint="default"/>
                <w:highlight w:val="none"/>
              </w:rPr>
            </w:pPr>
            <w:r>
              <w:rPr>
                <w:rFonts w:hint="eastAsia"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gridAfter w:val="1"/>
          <w:wAfter w:w="17" w:type="dxa"/>
          <w:trHeight w:val="642" w:hRule="atLeast"/>
        </w:trPr>
        <w:tc>
          <w:tcPr>
            <w:tcW w:w="14019" w:type="dxa"/>
            <w:gridSpan w:val="13"/>
            <w:tcBorders>
              <w:top w:val="nil"/>
              <w:left w:val="nil"/>
              <w:bottom w:val="nil"/>
              <w:right w:val="nil"/>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注：本表反映部门本年度“三公”经费支出预决算情况。其中，预算数为“三公”经费全年预算数，反映按规定程序调整后的预算数；决算数是包括当年一般公共预算财政拨款和以前年度结转资金安排的实际支出。</w:t>
            </w:r>
          </w:p>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themeColor="text1"/>
                <w:kern w:val="2"/>
                <w:sz w:val="21"/>
                <w:szCs w:val="21"/>
                <w:lang w:val="en-US" w:eastAsia="zh-CN" w:bidi="ar"/>
                <w14:textFill>
                  <w14:solidFill>
                    <w14:schemeClr w14:val="tx1"/>
                  </w14:solidFill>
                </w14:textFill>
              </w:rPr>
              <w:t>本部门</w:t>
            </w:r>
            <w:r>
              <w:rPr>
                <w:rFonts w:hint="default" w:ascii="Times New Roman" w:hAnsi="Times New Roman" w:eastAsia="宋体" w:cs="Times New Roman"/>
                <w:color w:val="000000" w:themeColor="text1"/>
                <w:kern w:val="2"/>
                <w:sz w:val="21"/>
                <w:szCs w:val="21"/>
                <w:lang w:val="en-US" w:eastAsia="zh-CN" w:bidi="ar"/>
                <w14:textFill>
                  <w14:solidFill>
                    <w14:schemeClr w14:val="tx1"/>
                  </w14:solidFill>
                </w14:textFill>
              </w:rPr>
              <w:t>2022</w:t>
            </w:r>
            <w:r>
              <w:rPr>
                <w:rFonts w:hint="eastAsia" w:ascii="宋体" w:hAnsi="宋体" w:eastAsia="宋体" w:cs="宋体"/>
                <w:color w:val="000000" w:themeColor="text1"/>
                <w:kern w:val="2"/>
                <w:sz w:val="21"/>
                <w:szCs w:val="21"/>
                <w:lang w:val="en-US" w:eastAsia="zh-CN" w:bidi="ar"/>
                <w14:textFill>
                  <w14:solidFill>
                    <w14:schemeClr w14:val="tx1"/>
                  </w14:solidFill>
                </w14:textFill>
              </w:rPr>
              <w:t>年度没有财政拨款“三公”经费收入，也没有财政拨款“三公”经费安排的支出，故本表无数据。</w:t>
            </w:r>
            <w:r>
              <w:rPr>
                <w:rFonts w:hint="eastAsia" w:ascii="宋体" w:hAnsi="宋体" w:eastAsia="宋体" w:cs="宋体"/>
                <w:color w:val="FF0000"/>
                <w:kern w:val="2"/>
                <w:sz w:val="21"/>
                <w:szCs w:val="21"/>
                <w:lang w:val="en-US" w:eastAsia="zh-CN" w:bidi="ar"/>
              </w:rPr>
              <w:t xml:space="preserve"> </w:t>
            </w:r>
          </w:p>
        </w:tc>
      </w:tr>
    </w:tbl>
    <w:p>
      <w:pPr>
        <w:ind w:firstLine="420" w:firstLineChars="0"/>
        <w:jc w:val="left"/>
        <w:rPr>
          <w:rFonts w:ascii="仿宋" w:hAnsi="仿宋" w:eastAsia="仿宋" w:cs="仿宋"/>
          <w:sz w:val="24"/>
          <w:highlight w:val="none"/>
        </w:rPr>
        <w:sectPr>
          <w:pgSz w:w="16838" w:h="11906" w:orient="landscape"/>
          <w:pgMar w:top="1800" w:right="1440" w:bottom="1800" w:left="1440" w:header="851" w:footer="992" w:gutter="0"/>
          <w:cols w:space="425" w:num="1"/>
          <w:docGrid w:type="lines" w:linePitch="312" w:charSpace="0"/>
        </w:sectPr>
      </w:pPr>
    </w:p>
    <w:p>
      <w:pPr>
        <w:jc w:val="left"/>
        <w:rPr>
          <w:rFonts w:ascii="仿宋" w:hAnsi="仿宋" w:eastAsia="仿宋" w:cs="仿宋"/>
          <w:sz w:val="24"/>
          <w:highlight w:val="none"/>
        </w:rPr>
      </w:pPr>
    </w:p>
    <w:p>
      <w:pPr>
        <w:jc w:val="center"/>
        <w:rPr>
          <w:rFonts w:ascii="仿宋" w:hAnsi="仿宋" w:eastAsia="仿宋" w:cs="仿宋"/>
          <w:sz w:val="32"/>
          <w:szCs w:val="32"/>
          <w:highlight w:val="none"/>
        </w:rPr>
      </w:pPr>
      <w:r>
        <w:rPr>
          <w:rFonts w:hint="eastAsia" w:ascii="黑体" w:hAnsi="黑体" w:eastAsia="黑体" w:cs="黑体"/>
          <w:sz w:val="32"/>
          <w:szCs w:val="32"/>
          <w:highlight w:val="none"/>
        </w:rPr>
        <w:t>第三部分：</w:t>
      </w:r>
      <w:r>
        <w:rPr>
          <w:rFonts w:ascii="黑体" w:hAnsi="黑体" w:eastAsia="黑体" w:cs="黑体"/>
          <w:sz w:val="32"/>
          <w:u w:color="auto"/>
        </w:rPr>
        <w:t>环江毛南族自治县民族中学</w:t>
      </w:r>
      <w:r>
        <w:rPr>
          <w:rFonts w:hint="eastAsia" w:ascii="黑体" w:hAnsi="黑体" w:eastAsia="黑体" w:cs="黑体"/>
          <w:sz w:val="32"/>
          <w:szCs w:val="32"/>
          <w:highlight w:val="none"/>
        </w:rPr>
        <w:t>2022年度部门决算情况说明</w:t>
      </w:r>
    </w:p>
    <w:p>
      <w:pPr>
        <w:jc w:val="left"/>
        <w:rPr>
          <w:rFonts w:ascii="黑体" w:hAnsi="黑体" w:eastAsia="黑体" w:cs="黑体"/>
          <w:sz w:val="32"/>
          <w:szCs w:val="32"/>
          <w:highlight w:val="none"/>
        </w:rPr>
      </w:pPr>
      <w:r>
        <w:rPr>
          <w:rFonts w:hint="eastAsia" w:ascii="黑体" w:hAnsi="黑体" w:eastAsia="黑体" w:cs="黑体"/>
          <w:sz w:val="32"/>
          <w:szCs w:val="32"/>
          <w:highlight w:val="none"/>
        </w:rPr>
        <w:t>一、2022年度收入支出决算总体情况</w:t>
      </w:r>
    </w:p>
    <w:p>
      <w:pPr>
        <w:ind w:firstLine="640" w:firstLineChars="200"/>
        <w:jc w:val="left"/>
        <w:rPr>
          <w:rFonts w:ascii="仿宋" w:hAnsi="仿宋" w:eastAsia="仿宋" w:cs="仿宋"/>
          <w:sz w:val="32"/>
          <w:szCs w:val="32"/>
          <w:highlight w:val="none"/>
        </w:rPr>
      </w:pPr>
      <w:r>
        <w:rPr>
          <w:rFonts w:hint="eastAsia" w:ascii="仿宋" w:hAnsi="仿宋" w:eastAsia="仿宋" w:cs="仿宋"/>
          <w:sz w:val="32"/>
          <w:szCs w:val="32"/>
          <w:highlight w:val="none"/>
        </w:rPr>
        <w:t>（一）本部门2022年度总收入</w:t>
      </w:r>
      <w:r>
        <w:rPr>
          <w:rFonts w:ascii="仿宋" w:hAnsi="仿宋" w:eastAsia="仿宋" w:cs="仿宋"/>
          <w:sz w:val="32"/>
          <w:u w:color="auto"/>
        </w:rPr>
        <w:t>2195.79</w:t>
      </w:r>
      <w:r>
        <w:rPr>
          <w:rFonts w:hint="eastAsia" w:ascii="仿宋" w:hAnsi="仿宋" w:eastAsia="仿宋" w:cs="仿宋"/>
          <w:sz w:val="32"/>
          <w:szCs w:val="32"/>
          <w:highlight w:val="none"/>
        </w:rPr>
        <w:t>万元，较2021年度决算数</w:t>
      </w:r>
      <w:r>
        <w:rPr>
          <w:rFonts w:ascii="仿宋" w:hAnsi="仿宋" w:eastAsia="仿宋" w:cs="仿宋"/>
          <w:sz w:val="32"/>
          <w:u w:color="auto"/>
        </w:rPr>
        <w:t>增加284.95</w:t>
      </w:r>
      <w:r>
        <w:rPr>
          <w:rFonts w:hint="eastAsia" w:ascii="仿宋" w:hAnsi="仿宋" w:eastAsia="仿宋" w:cs="仿宋"/>
          <w:sz w:val="32"/>
          <w:szCs w:val="32"/>
          <w:highlight w:val="none"/>
        </w:rPr>
        <w:t>万元，</w:t>
      </w:r>
      <w:r>
        <w:rPr>
          <w:rFonts w:ascii="仿宋" w:hAnsi="仿宋" w:eastAsia="仿宋" w:cs="仿宋"/>
          <w:sz w:val="32"/>
          <w:u w:color="auto"/>
        </w:rPr>
        <w:t>增长14.91%</w:t>
      </w:r>
      <w:r>
        <w:rPr>
          <w:rFonts w:hint="eastAsia" w:ascii="仿宋" w:hAnsi="仿宋" w:eastAsia="仿宋" w:cs="仿宋"/>
          <w:sz w:val="32"/>
          <w:szCs w:val="32"/>
          <w:highlight w:val="none"/>
        </w:rPr>
        <w:t>，其中本年收入</w:t>
      </w:r>
      <w:r>
        <w:rPr>
          <w:rFonts w:ascii="仿宋" w:hAnsi="仿宋" w:eastAsia="仿宋" w:cs="仿宋"/>
          <w:sz w:val="32"/>
          <w:u w:color="auto"/>
        </w:rPr>
        <w:t>2195.79</w:t>
      </w:r>
      <w:r>
        <w:rPr>
          <w:rFonts w:hint="eastAsia" w:ascii="仿宋" w:hAnsi="仿宋" w:eastAsia="仿宋" w:cs="仿宋"/>
          <w:sz w:val="32"/>
          <w:szCs w:val="32"/>
          <w:highlight w:val="none"/>
        </w:rPr>
        <w:t>万元。收入具体情况如下。</w:t>
      </w:r>
    </w:p>
    <w:p>
      <w:pPr>
        <w:keepNext w:val="0"/>
        <w:keepLines w:val="0"/>
        <w:widowControl w:val="0"/>
        <w:suppressLineNumbers w:val="0"/>
        <w:spacing w:before="0" w:beforeAutospacing="0" w:after="0" w:afterAutospacing="0"/>
        <w:ind w:left="0" w:right="0" w:firstLine="640" w:firstLineChars="200"/>
        <w:jc w:val="left"/>
        <w:rPr>
          <w:rFonts w:hint="eastAsia" w:ascii="仿宋" w:hAnsi="仿宋" w:eastAsia="仿宋" w:cs="仿宋"/>
          <w:color w:val="000000" w:themeColor="text1"/>
          <w:kern w:val="2"/>
          <w:sz w:val="32"/>
          <w:szCs w:val="32"/>
          <w:highlight w:val="none"/>
          <w:lang w:val="en-US" w:eastAsia="zh-CN" w:bidi="ar"/>
          <w14:textFill>
            <w14:solidFill>
              <w14:schemeClr w14:val="tx1"/>
            </w14:solidFill>
          </w14:textFill>
        </w:rPr>
      </w:pPr>
      <w:r>
        <w:rPr>
          <w:rFonts w:hint="eastAsia" w:ascii="仿宋" w:hAnsi="仿宋" w:eastAsia="仿宋" w:cs="仿宋"/>
          <w:kern w:val="2"/>
          <w:sz w:val="32"/>
          <w:szCs w:val="32"/>
          <w:highlight w:val="none"/>
          <w:lang w:val="en-US" w:eastAsia="zh-CN" w:bidi="ar"/>
        </w:rPr>
        <w:t>1.一般公共预算财政拨款收入</w:t>
      </w:r>
      <w:r>
        <w:rPr>
          <w:rFonts w:ascii="仿宋" w:hAnsi="仿宋" w:eastAsia="仿宋" w:cs="仿宋"/>
          <w:sz w:val="32"/>
          <w:u w:color="auto"/>
        </w:rPr>
        <w:t>2195.79</w:t>
      </w:r>
      <w:r>
        <w:rPr>
          <w:rFonts w:hint="eastAsia" w:ascii="仿宋" w:hAnsi="仿宋" w:eastAsia="仿宋" w:cs="仿宋"/>
          <w:kern w:val="2"/>
          <w:sz w:val="32"/>
          <w:szCs w:val="32"/>
          <w:highlight w:val="none"/>
          <w:lang w:val="en-US" w:eastAsia="zh-CN" w:bidi="ar"/>
        </w:rPr>
        <w:t>万元，为</w:t>
      </w:r>
      <w:r>
        <w:rPr>
          <w:rFonts w:hint="eastAsia" w:ascii="仿宋" w:hAnsi="仿宋" w:eastAsia="仿宋" w:cs="仿宋"/>
          <w:sz w:val="32"/>
          <w:szCs w:val="32"/>
          <w:highlight w:val="none"/>
        </w:rPr>
        <w:t>环江毛南族自治县</w:t>
      </w:r>
      <w:r>
        <w:rPr>
          <w:rFonts w:hint="eastAsia" w:ascii="仿宋" w:hAnsi="仿宋" w:eastAsia="仿宋" w:cs="仿宋"/>
          <w:kern w:val="2"/>
          <w:sz w:val="32"/>
          <w:szCs w:val="32"/>
          <w:highlight w:val="none"/>
          <w:lang w:val="en-US" w:eastAsia="zh-CN" w:bidi="ar"/>
        </w:rPr>
        <w:t>本级财政当年拨付的资金。较2021年度决算数</w:t>
      </w:r>
      <w:r>
        <w:rPr>
          <w:rFonts w:ascii="仿宋" w:hAnsi="仿宋" w:eastAsia="仿宋" w:cs="仿宋"/>
          <w:sz w:val="32"/>
          <w:u w:color="auto"/>
        </w:rPr>
        <w:t>增加384.25</w:t>
      </w:r>
      <w:r>
        <w:rPr>
          <w:rFonts w:hint="eastAsia" w:ascii="仿宋" w:hAnsi="仿宋" w:eastAsia="仿宋" w:cs="仿宋"/>
          <w:kern w:val="2"/>
          <w:sz w:val="32"/>
          <w:szCs w:val="32"/>
          <w:highlight w:val="none"/>
          <w:lang w:val="en-US" w:eastAsia="zh-CN" w:bidi="ar"/>
        </w:rPr>
        <w:t>万元，</w:t>
      </w:r>
      <w:r>
        <w:rPr>
          <w:rFonts w:ascii="仿宋" w:hAnsi="仿宋" w:eastAsia="仿宋" w:cs="仿宋"/>
          <w:sz w:val="32"/>
          <w:u w:color="auto"/>
        </w:rPr>
        <w:t>增长21.21%</w:t>
      </w:r>
      <w:r>
        <w:rPr>
          <w:rFonts w:hint="eastAsia" w:ascii="仿宋" w:hAnsi="仿宋" w:eastAsia="仿宋" w:cs="仿宋"/>
          <w:kern w:val="2"/>
          <w:sz w:val="32"/>
          <w:szCs w:val="32"/>
          <w:highlight w:val="none"/>
          <w:lang w:val="en-US" w:eastAsia="zh-CN" w:bidi="ar"/>
        </w:rPr>
        <w:t>，</w:t>
      </w:r>
      <w:r>
        <w:rPr>
          <w:rFonts w:hint="eastAsia" w:ascii="仿宋" w:hAnsi="仿宋" w:eastAsia="仿宋" w:cs="仿宋"/>
          <w:color w:val="000000" w:themeColor="text1"/>
          <w:kern w:val="2"/>
          <w:sz w:val="32"/>
          <w:szCs w:val="32"/>
          <w:highlight w:val="none"/>
          <w:lang w:val="en-US" w:eastAsia="zh-CN" w:bidi="ar"/>
          <w14:textFill>
            <w14:solidFill>
              <w14:schemeClr w14:val="tx1"/>
            </w14:solidFill>
          </w14:textFill>
        </w:rPr>
        <w:t>主要原因：学校增加班级，扩招学生数，教师调入人员增加。</w:t>
      </w:r>
    </w:p>
    <w:p>
      <w:pPr>
        <w:keepNext w:val="0"/>
        <w:keepLines w:val="0"/>
        <w:widowControl w:val="0"/>
        <w:suppressLineNumbers w:val="0"/>
        <w:spacing w:before="0" w:beforeAutospacing="0" w:after="0" w:afterAutospacing="0"/>
        <w:ind w:left="0" w:right="0" w:firstLine="640" w:firstLineChars="200"/>
        <w:jc w:val="left"/>
        <w:rPr>
          <w:rFonts w:hint="eastAsia" w:ascii="仿宋" w:hAnsi="仿宋" w:eastAsia="仿宋" w:cs="仿宋"/>
          <w:color w:val="000000" w:themeColor="text1"/>
          <w:kern w:val="2"/>
          <w:sz w:val="32"/>
          <w:szCs w:val="32"/>
          <w:highlight w:val="none"/>
          <w:lang w:val="en-US" w:eastAsia="zh-CN" w:bidi="ar"/>
          <w14:textFill>
            <w14:solidFill>
              <w14:schemeClr w14:val="tx1"/>
            </w14:solidFill>
          </w14:textFill>
        </w:rPr>
      </w:pPr>
      <w:r>
        <w:rPr>
          <w:rFonts w:hint="eastAsia" w:ascii="仿宋" w:hAnsi="仿宋" w:eastAsia="仿宋" w:cs="仿宋"/>
          <w:kern w:val="2"/>
          <w:sz w:val="32"/>
          <w:szCs w:val="32"/>
          <w:highlight w:val="none"/>
          <w:lang w:val="en-US" w:eastAsia="zh-CN" w:bidi="ar"/>
        </w:rPr>
        <w:t>2.政府性基金预算财政拨款收入</w:t>
      </w:r>
      <w:r>
        <w:rPr>
          <w:rFonts w:ascii="仿宋" w:hAnsi="仿宋" w:eastAsia="仿宋" w:cs="仿宋"/>
          <w:sz w:val="32"/>
          <w:u w:color="auto"/>
        </w:rPr>
        <w:t>0.00</w:t>
      </w:r>
      <w:r>
        <w:rPr>
          <w:rFonts w:hint="eastAsia" w:ascii="仿宋" w:hAnsi="仿宋" w:eastAsia="仿宋" w:cs="仿宋"/>
          <w:kern w:val="2"/>
          <w:sz w:val="32"/>
          <w:szCs w:val="32"/>
          <w:highlight w:val="none"/>
          <w:lang w:val="en-US" w:eastAsia="zh-CN" w:bidi="ar"/>
        </w:rPr>
        <w:t>万元，为</w:t>
      </w:r>
      <w:r>
        <w:rPr>
          <w:rFonts w:hint="eastAsia" w:ascii="仿宋" w:hAnsi="仿宋" w:eastAsia="仿宋" w:cs="仿宋"/>
          <w:sz w:val="32"/>
          <w:szCs w:val="32"/>
          <w:highlight w:val="none"/>
        </w:rPr>
        <w:t>环江毛南族自治县</w:t>
      </w:r>
      <w:r>
        <w:rPr>
          <w:rFonts w:hint="eastAsia" w:ascii="仿宋" w:hAnsi="仿宋" w:eastAsia="仿宋" w:cs="仿宋"/>
          <w:kern w:val="2"/>
          <w:sz w:val="32"/>
          <w:szCs w:val="32"/>
          <w:highlight w:val="none"/>
          <w:lang w:val="en-US" w:eastAsia="zh-CN" w:bidi="ar"/>
        </w:rPr>
        <w:t>本级财政当年拨付的资金。较2021年度决算数</w:t>
      </w:r>
      <w:r>
        <w:rPr>
          <w:rFonts w:ascii="仿宋" w:hAnsi="仿宋" w:eastAsia="仿宋" w:cs="仿宋"/>
          <w:sz w:val="32"/>
          <w:u w:color="auto"/>
        </w:rPr>
        <w:t>增加0.00</w:t>
      </w:r>
      <w:r>
        <w:rPr>
          <w:rFonts w:hint="eastAsia" w:ascii="仿宋" w:hAnsi="仿宋" w:eastAsia="仿宋" w:cs="仿宋"/>
          <w:kern w:val="2"/>
          <w:sz w:val="32"/>
          <w:szCs w:val="32"/>
          <w:highlight w:val="none"/>
          <w:lang w:val="en-US" w:eastAsia="zh-CN" w:bidi="ar"/>
        </w:rPr>
        <w:t>万元，</w:t>
      </w:r>
      <w:r>
        <w:rPr>
          <w:rFonts w:ascii="仿宋" w:hAnsi="仿宋" w:eastAsia="仿宋" w:cs="仿宋"/>
          <w:sz w:val="32"/>
          <w:u w:color="auto"/>
        </w:rPr>
        <w:t>增长0%</w:t>
      </w:r>
      <w:r>
        <w:rPr>
          <w:rFonts w:hint="eastAsia" w:ascii="仿宋" w:hAnsi="仿宋" w:eastAsia="仿宋" w:cs="仿宋"/>
          <w:kern w:val="2"/>
          <w:sz w:val="32"/>
          <w:szCs w:val="32"/>
          <w:highlight w:val="none"/>
          <w:lang w:val="en-US" w:eastAsia="zh-CN" w:bidi="ar"/>
        </w:rPr>
        <w:t>，</w:t>
      </w:r>
      <w:r>
        <w:rPr>
          <w:rFonts w:hint="eastAsia" w:ascii="仿宋" w:hAnsi="仿宋" w:eastAsia="仿宋" w:cs="仿宋"/>
          <w:color w:val="000000" w:themeColor="text1"/>
          <w:kern w:val="2"/>
          <w:sz w:val="32"/>
          <w:szCs w:val="32"/>
          <w:highlight w:val="none"/>
          <w:lang w:val="en-US" w:eastAsia="zh-CN" w:bidi="ar"/>
          <w14:textFill>
            <w14:solidFill>
              <w14:schemeClr w14:val="tx1"/>
            </w14:solidFill>
          </w14:textFill>
        </w:rPr>
        <w:t>主要原因：学校</w:t>
      </w:r>
      <w:r>
        <w:rPr>
          <w:rFonts w:hint="eastAsia" w:ascii="仿宋" w:hAnsi="仿宋" w:eastAsia="仿宋" w:cs="仿宋"/>
          <w:color w:val="000000" w:themeColor="text1"/>
          <w:kern w:val="2"/>
          <w:sz w:val="32"/>
          <w:szCs w:val="32"/>
          <w:lang w:val="en-US" w:eastAsia="zh-CN" w:bidi="ar"/>
          <w14:textFill>
            <w14:solidFill>
              <w14:schemeClr w14:val="tx1"/>
            </w14:solidFill>
          </w14:textFill>
        </w:rPr>
        <w:t>没有政府性基金预算财政拨款收入，也没有政府性基金预算财政拨款安排的支出</w:t>
      </w:r>
      <w:r>
        <w:rPr>
          <w:rFonts w:hint="eastAsia" w:ascii="仿宋" w:hAnsi="仿宋" w:eastAsia="仿宋" w:cs="仿宋"/>
          <w:color w:val="000000" w:themeColor="text1"/>
          <w:kern w:val="2"/>
          <w:sz w:val="32"/>
          <w:szCs w:val="32"/>
          <w:highlight w:val="none"/>
          <w:lang w:val="en-US" w:eastAsia="zh-CN" w:bidi="ar"/>
          <w14:textFill>
            <w14:solidFill>
              <w14:schemeClr w14:val="tx1"/>
            </w14:solidFill>
          </w14:textFill>
        </w:rPr>
        <w:t>。</w:t>
      </w:r>
    </w:p>
    <w:p>
      <w:pPr>
        <w:keepNext w:val="0"/>
        <w:keepLines w:val="0"/>
        <w:widowControl w:val="0"/>
        <w:suppressLineNumbers w:val="0"/>
        <w:spacing w:before="0" w:beforeAutospacing="0" w:after="0" w:afterAutospacing="0"/>
        <w:ind w:left="0" w:right="0" w:firstLine="640" w:firstLineChars="200"/>
        <w:jc w:val="left"/>
        <w:rPr>
          <w:rFonts w:hint="eastAsia" w:ascii="仿宋" w:hAnsi="仿宋" w:eastAsia="仿宋" w:cs="仿宋"/>
          <w:color w:val="000000" w:themeColor="text1"/>
          <w:kern w:val="2"/>
          <w:sz w:val="32"/>
          <w:szCs w:val="32"/>
          <w:lang w:val="en-US" w:eastAsia="zh-CN" w:bidi="ar"/>
          <w14:textFill>
            <w14:solidFill>
              <w14:schemeClr w14:val="tx1"/>
            </w14:solidFill>
          </w14:textFill>
        </w:rPr>
      </w:pPr>
      <w:r>
        <w:rPr>
          <w:rFonts w:hint="eastAsia" w:ascii="仿宋" w:hAnsi="仿宋" w:eastAsia="仿宋" w:cs="仿宋"/>
          <w:kern w:val="2"/>
          <w:sz w:val="32"/>
          <w:szCs w:val="32"/>
          <w:highlight w:val="none"/>
          <w:lang w:val="en-US" w:eastAsia="zh-CN" w:bidi="ar"/>
        </w:rPr>
        <w:t>3.国有资本经营预算财政拨款收入</w:t>
      </w:r>
      <w:r>
        <w:rPr>
          <w:rFonts w:ascii="仿宋" w:hAnsi="仿宋" w:eastAsia="仿宋" w:cs="仿宋"/>
          <w:sz w:val="32"/>
          <w:u w:color="auto"/>
        </w:rPr>
        <w:t>0.00</w:t>
      </w:r>
      <w:r>
        <w:rPr>
          <w:rFonts w:hint="eastAsia" w:ascii="仿宋" w:hAnsi="仿宋" w:eastAsia="仿宋" w:cs="仿宋"/>
          <w:kern w:val="2"/>
          <w:sz w:val="32"/>
          <w:szCs w:val="32"/>
          <w:highlight w:val="none"/>
          <w:lang w:val="en-US" w:eastAsia="zh-CN" w:bidi="ar"/>
        </w:rPr>
        <w:t>万元。为</w:t>
      </w:r>
      <w:r>
        <w:rPr>
          <w:rFonts w:hint="eastAsia" w:ascii="仿宋" w:hAnsi="仿宋" w:eastAsia="仿宋" w:cs="仿宋"/>
          <w:sz w:val="32"/>
          <w:szCs w:val="32"/>
          <w:highlight w:val="none"/>
        </w:rPr>
        <w:t>环江毛南族自治县</w:t>
      </w:r>
      <w:r>
        <w:rPr>
          <w:rFonts w:hint="eastAsia" w:ascii="仿宋" w:hAnsi="仿宋" w:eastAsia="仿宋" w:cs="仿宋"/>
          <w:kern w:val="2"/>
          <w:sz w:val="32"/>
          <w:szCs w:val="32"/>
          <w:highlight w:val="none"/>
          <w:lang w:val="en-US" w:eastAsia="zh-CN" w:bidi="ar"/>
        </w:rPr>
        <w:t>本级财政当年拨付的资金。较2021年度决算数</w:t>
      </w:r>
      <w:r>
        <w:rPr>
          <w:rFonts w:ascii="仿宋" w:hAnsi="仿宋" w:eastAsia="仿宋" w:cs="仿宋"/>
          <w:sz w:val="32"/>
          <w:u w:color="auto"/>
        </w:rPr>
        <w:t>增加0.00</w:t>
      </w:r>
      <w:r>
        <w:rPr>
          <w:rFonts w:hint="eastAsia" w:ascii="仿宋" w:hAnsi="仿宋" w:eastAsia="仿宋" w:cs="仿宋"/>
          <w:kern w:val="2"/>
          <w:sz w:val="32"/>
          <w:szCs w:val="32"/>
          <w:highlight w:val="none"/>
          <w:lang w:val="en-US" w:eastAsia="zh-CN" w:bidi="ar"/>
        </w:rPr>
        <w:t>万元,</w:t>
      </w:r>
      <w:r>
        <w:rPr>
          <w:rFonts w:ascii="仿宋" w:hAnsi="仿宋" w:eastAsia="仿宋" w:cs="仿宋"/>
          <w:sz w:val="32"/>
          <w:u w:color="auto"/>
        </w:rPr>
        <w:t>增长0%</w:t>
      </w:r>
      <w:r>
        <w:rPr>
          <w:rFonts w:hint="eastAsia" w:ascii="仿宋" w:hAnsi="仿宋" w:eastAsia="仿宋" w:cs="仿宋"/>
          <w:kern w:val="2"/>
          <w:sz w:val="32"/>
          <w:szCs w:val="32"/>
          <w:highlight w:val="none"/>
          <w:lang w:val="en-US" w:eastAsia="zh-CN" w:bidi="ar"/>
        </w:rPr>
        <w:t>，</w:t>
      </w:r>
      <w:r>
        <w:rPr>
          <w:rFonts w:hint="eastAsia" w:ascii="仿宋" w:hAnsi="仿宋" w:eastAsia="仿宋" w:cs="仿宋"/>
          <w:color w:val="000000" w:themeColor="text1"/>
          <w:kern w:val="2"/>
          <w:sz w:val="32"/>
          <w:szCs w:val="32"/>
          <w:highlight w:val="none"/>
          <w:lang w:val="en-US" w:eastAsia="zh-CN" w:bidi="ar"/>
          <w14:textFill>
            <w14:solidFill>
              <w14:schemeClr w14:val="tx1"/>
            </w14:solidFill>
          </w14:textFill>
        </w:rPr>
        <w:t>主要原因是：本部门</w:t>
      </w:r>
      <w:r>
        <w:rPr>
          <w:rFonts w:hint="eastAsia" w:ascii="仿宋" w:hAnsi="仿宋" w:eastAsia="仿宋" w:cs="仿宋"/>
          <w:color w:val="000000" w:themeColor="text1"/>
          <w:kern w:val="2"/>
          <w:sz w:val="32"/>
          <w:szCs w:val="32"/>
          <w:lang w:val="en-US" w:eastAsia="zh-CN" w:bidi="ar"/>
          <w14:textFill>
            <w14:solidFill>
              <w14:schemeClr w14:val="tx1"/>
            </w14:solidFill>
          </w14:textFill>
        </w:rPr>
        <w:t>没有国有资本经营预算财政拨款收入，也没有国有资本经营预算财政拨款安排的支出。</w:t>
      </w:r>
    </w:p>
    <w:p>
      <w:pPr>
        <w:keepNext w:val="0"/>
        <w:keepLines w:val="0"/>
        <w:widowControl w:val="0"/>
        <w:suppressLineNumbers w:val="0"/>
        <w:spacing w:before="0" w:beforeAutospacing="0" w:after="0" w:afterAutospacing="0"/>
        <w:ind w:left="0" w:right="0" w:firstLine="640" w:firstLineChars="200"/>
        <w:jc w:val="left"/>
        <w:rPr>
          <w:rFonts w:hint="eastAsia" w:ascii="仿宋" w:hAnsi="仿宋" w:eastAsia="仿宋" w:cs="仿宋"/>
          <w:sz w:val="32"/>
          <w:szCs w:val="32"/>
          <w:highlight w:val="none"/>
          <w:lang w:val="en-US"/>
        </w:rPr>
      </w:pPr>
      <w:r>
        <w:rPr>
          <w:rFonts w:hint="eastAsia" w:ascii="仿宋" w:hAnsi="仿宋" w:eastAsia="仿宋" w:cs="仿宋"/>
          <w:kern w:val="2"/>
          <w:sz w:val="32"/>
          <w:szCs w:val="32"/>
          <w:highlight w:val="none"/>
          <w:lang w:val="en-US" w:eastAsia="zh-CN" w:bidi="ar"/>
        </w:rPr>
        <w:t>4.上级补助收入</w:t>
      </w:r>
      <w:r>
        <w:rPr>
          <w:rFonts w:ascii="仿宋" w:hAnsi="仿宋" w:eastAsia="仿宋" w:cs="仿宋"/>
          <w:sz w:val="32"/>
          <w:u w:color="auto"/>
        </w:rPr>
        <w:t>0.00</w:t>
      </w:r>
      <w:r>
        <w:rPr>
          <w:rFonts w:hint="eastAsia" w:ascii="仿宋" w:hAnsi="仿宋" w:eastAsia="仿宋" w:cs="仿宋"/>
          <w:kern w:val="2"/>
          <w:sz w:val="32"/>
          <w:szCs w:val="32"/>
          <w:highlight w:val="none"/>
          <w:lang w:val="en-US" w:eastAsia="zh-CN" w:bidi="ar"/>
        </w:rPr>
        <w:t>万元，为上级部门当年拨付的资金。较2021年度决算数</w:t>
      </w:r>
      <w:r>
        <w:rPr>
          <w:rFonts w:ascii="仿宋" w:hAnsi="仿宋" w:eastAsia="仿宋" w:cs="仿宋"/>
          <w:sz w:val="32"/>
          <w:u w:color="auto"/>
        </w:rPr>
        <w:t>增加0.00</w:t>
      </w:r>
      <w:r>
        <w:rPr>
          <w:rFonts w:hint="eastAsia" w:ascii="仿宋" w:hAnsi="仿宋" w:eastAsia="仿宋" w:cs="仿宋"/>
          <w:kern w:val="2"/>
          <w:sz w:val="32"/>
          <w:szCs w:val="32"/>
          <w:highlight w:val="none"/>
          <w:lang w:val="en-US" w:eastAsia="zh-CN" w:bidi="ar"/>
        </w:rPr>
        <w:t>万元,</w:t>
      </w:r>
      <w:r>
        <w:rPr>
          <w:rFonts w:ascii="仿宋" w:hAnsi="仿宋" w:eastAsia="仿宋" w:cs="仿宋"/>
          <w:sz w:val="32"/>
          <w:u w:color="auto"/>
        </w:rPr>
        <w:t>增长0%</w:t>
      </w:r>
      <w:r>
        <w:rPr>
          <w:rFonts w:hint="eastAsia" w:ascii="仿宋" w:hAnsi="仿宋" w:eastAsia="仿宋" w:cs="仿宋"/>
          <w:kern w:val="2"/>
          <w:sz w:val="32"/>
          <w:szCs w:val="32"/>
          <w:highlight w:val="none"/>
          <w:lang w:val="en-US" w:eastAsia="zh-CN" w:bidi="ar"/>
        </w:rPr>
        <w:t>，</w:t>
      </w:r>
      <w:r>
        <w:rPr>
          <w:rFonts w:hint="eastAsia" w:ascii="仿宋" w:hAnsi="仿宋" w:eastAsia="仿宋" w:cs="仿宋"/>
          <w:color w:val="000000" w:themeColor="text1"/>
          <w:kern w:val="2"/>
          <w:sz w:val="32"/>
          <w:szCs w:val="32"/>
          <w:highlight w:val="none"/>
          <w:lang w:val="en-US" w:eastAsia="zh-CN" w:bidi="ar"/>
          <w14:textFill>
            <w14:solidFill>
              <w14:schemeClr w14:val="tx1"/>
            </w14:solidFill>
          </w14:textFill>
        </w:rPr>
        <w:t>主要原因是：本单位没有上级补助收入。</w:t>
      </w:r>
    </w:p>
    <w:p>
      <w:pPr>
        <w:keepNext w:val="0"/>
        <w:keepLines w:val="0"/>
        <w:widowControl w:val="0"/>
        <w:suppressLineNumbers w:val="0"/>
        <w:spacing w:before="0" w:beforeAutospacing="0" w:after="0" w:afterAutospacing="0"/>
        <w:ind w:left="0" w:right="0" w:firstLine="640" w:firstLineChars="200"/>
        <w:jc w:val="left"/>
        <w:rPr>
          <w:rFonts w:hint="eastAsia" w:ascii="仿宋" w:hAnsi="仿宋" w:eastAsia="仿宋" w:cs="仿宋"/>
          <w:color w:val="FF0000"/>
          <w:sz w:val="32"/>
          <w:szCs w:val="32"/>
          <w:highlight w:val="none"/>
          <w:lang w:val="en-US"/>
        </w:rPr>
      </w:pPr>
      <w:r>
        <w:rPr>
          <w:rFonts w:hint="eastAsia" w:ascii="仿宋" w:hAnsi="仿宋" w:eastAsia="仿宋" w:cs="仿宋"/>
          <w:kern w:val="2"/>
          <w:sz w:val="32"/>
          <w:szCs w:val="32"/>
          <w:highlight w:val="none"/>
          <w:lang w:val="en-US" w:eastAsia="zh-CN" w:bidi="ar"/>
        </w:rPr>
        <w:t>5.事业收入</w:t>
      </w:r>
      <w:r>
        <w:rPr>
          <w:rFonts w:ascii="仿宋" w:hAnsi="仿宋" w:eastAsia="仿宋" w:cs="仿宋"/>
          <w:sz w:val="32"/>
          <w:u w:color="auto"/>
        </w:rPr>
        <w:t>0.00</w:t>
      </w:r>
      <w:r>
        <w:rPr>
          <w:rFonts w:hint="eastAsia" w:ascii="仿宋" w:hAnsi="仿宋" w:eastAsia="仿宋" w:cs="仿宋"/>
          <w:kern w:val="2"/>
          <w:sz w:val="32"/>
          <w:szCs w:val="32"/>
          <w:highlight w:val="none"/>
          <w:lang w:val="en-US" w:eastAsia="zh-CN" w:bidi="ar"/>
        </w:rPr>
        <w:t>万元，为事业单位开展业务活动取得的收入。较2021年度决算数</w:t>
      </w:r>
      <w:r>
        <w:rPr>
          <w:rFonts w:ascii="仿宋" w:hAnsi="仿宋" w:eastAsia="仿宋" w:cs="仿宋"/>
          <w:sz w:val="32"/>
          <w:u w:color="auto"/>
        </w:rPr>
        <w:t>增加0.00</w:t>
      </w:r>
      <w:r>
        <w:rPr>
          <w:rFonts w:hint="eastAsia" w:ascii="仿宋" w:hAnsi="仿宋" w:eastAsia="仿宋" w:cs="仿宋"/>
          <w:kern w:val="2"/>
          <w:sz w:val="32"/>
          <w:szCs w:val="32"/>
          <w:highlight w:val="none"/>
          <w:lang w:val="en-US" w:eastAsia="zh-CN" w:bidi="ar"/>
        </w:rPr>
        <w:t>万元,</w:t>
      </w:r>
      <w:r>
        <w:rPr>
          <w:rFonts w:ascii="仿宋" w:hAnsi="仿宋" w:eastAsia="仿宋" w:cs="仿宋"/>
          <w:sz w:val="32"/>
          <w:u w:color="auto"/>
        </w:rPr>
        <w:t>增长0%</w:t>
      </w:r>
      <w:r>
        <w:rPr>
          <w:rFonts w:hint="eastAsia" w:ascii="仿宋" w:hAnsi="仿宋" w:eastAsia="仿宋" w:cs="仿宋"/>
          <w:kern w:val="2"/>
          <w:sz w:val="32"/>
          <w:szCs w:val="32"/>
          <w:highlight w:val="none"/>
          <w:lang w:val="en-US" w:eastAsia="zh-CN" w:bidi="ar"/>
        </w:rPr>
        <w:t>，</w:t>
      </w:r>
      <w:r>
        <w:rPr>
          <w:rFonts w:hint="eastAsia" w:ascii="仿宋" w:hAnsi="仿宋" w:eastAsia="仿宋" w:cs="仿宋"/>
          <w:color w:val="000000" w:themeColor="text1"/>
          <w:kern w:val="2"/>
          <w:sz w:val="32"/>
          <w:szCs w:val="32"/>
          <w:highlight w:val="none"/>
          <w:lang w:val="en-US" w:eastAsia="zh-CN" w:bidi="ar"/>
          <w14:textFill>
            <w14:solidFill>
              <w14:schemeClr w14:val="tx1"/>
            </w14:solidFill>
          </w14:textFill>
        </w:rPr>
        <w:t>主要原因是：本单位没有事业收入。</w:t>
      </w:r>
    </w:p>
    <w:p>
      <w:pPr>
        <w:keepNext w:val="0"/>
        <w:keepLines w:val="0"/>
        <w:widowControl w:val="0"/>
        <w:suppressLineNumbers w:val="0"/>
        <w:spacing w:before="0" w:beforeAutospacing="0" w:after="0" w:afterAutospacing="0"/>
        <w:ind w:left="0" w:right="0" w:firstLine="640" w:firstLineChars="200"/>
        <w:jc w:val="left"/>
        <w:rPr>
          <w:rFonts w:hint="eastAsia" w:ascii="仿宋" w:hAnsi="仿宋" w:eastAsia="仿宋" w:cs="仿宋"/>
          <w:color w:val="FF0000"/>
          <w:sz w:val="32"/>
          <w:szCs w:val="32"/>
          <w:highlight w:val="none"/>
          <w:lang w:val="en-US"/>
        </w:rPr>
      </w:pPr>
      <w:r>
        <w:rPr>
          <w:rFonts w:hint="eastAsia" w:ascii="仿宋" w:hAnsi="仿宋" w:eastAsia="仿宋" w:cs="仿宋"/>
          <w:kern w:val="2"/>
          <w:sz w:val="32"/>
          <w:szCs w:val="32"/>
          <w:highlight w:val="none"/>
          <w:lang w:val="en-US" w:eastAsia="zh-CN" w:bidi="ar"/>
        </w:rPr>
        <w:t>6.经营收入0.00万,为事业单位在业务活动之外开展非独立核算经营活动取得的收入。较2021年度决算数</w:t>
      </w:r>
      <w:r>
        <w:rPr>
          <w:rFonts w:ascii="仿宋" w:hAnsi="仿宋" w:eastAsia="仿宋" w:cs="仿宋"/>
          <w:sz w:val="32"/>
          <w:u w:color="auto"/>
        </w:rPr>
        <w:t>增加0.00</w:t>
      </w:r>
      <w:r>
        <w:rPr>
          <w:rFonts w:hint="eastAsia" w:ascii="仿宋" w:hAnsi="仿宋" w:eastAsia="仿宋" w:cs="仿宋"/>
          <w:kern w:val="2"/>
          <w:sz w:val="32"/>
          <w:szCs w:val="32"/>
          <w:highlight w:val="none"/>
          <w:lang w:val="en-US" w:eastAsia="zh-CN" w:bidi="ar"/>
        </w:rPr>
        <w:t>万元，</w:t>
      </w:r>
      <w:r>
        <w:rPr>
          <w:rFonts w:ascii="仿宋" w:hAnsi="仿宋" w:eastAsia="仿宋" w:cs="仿宋"/>
          <w:sz w:val="32"/>
          <w:u w:color="auto"/>
        </w:rPr>
        <w:t>增长0%</w:t>
      </w:r>
      <w:r>
        <w:rPr>
          <w:rFonts w:hint="eastAsia" w:ascii="仿宋" w:hAnsi="仿宋" w:eastAsia="仿宋" w:cs="仿宋"/>
          <w:kern w:val="2"/>
          <w:sz w:val="32"/>
          <w:szCs w:val="32"/>
          <w:highlight w:val="none"/>
          <w:lang w:val="en-US" w:eastAsia="zh-CN" w:bidi="ar"/>
        </w:rPr>
        <w:t>，</w:t>
      </w:r>
      <w:r>
        <w:rPr>
          <w:rFonts w:hint="eastAsia" w:ascii="仿宋" w:hAnsi="仿宋" w:eastAsia="仿宋" w:cs="仿宋"/>
          <w:color w:val="000000" w:themeColor="text1"/>
          <w:kern w:val="2"/>
          <w:sz w:val="32"/>
          <w:szCs w:val="32"/>
          <w:highlight w:val="none"/>
          <w:lang w:val="en-US" w:eastAsia="zh-CN" w:bidi="ar"/>
          <w14:textFill>
            <w14:solidFill>
              <w14:schemeClr w14:val="tx1"/>
            </w14:solidFill>
          </w14:textFill>
        </w:rPr>
        <w:t>主要原因是：本单位没有经营性收入。</w:t>
      </w:r>
    </w:p>
    <w:p>
      <w:pPr>
        <w:keepNext w:val="0"/>
        <w:keepLines w:val="0"/>
        <w:widowControl w:val="0"/>
        <w:suppressLineNumbers w:val="0"/>
        <w:spacing w:before="0" w:beforeAutospacing="0" w:after="0" w:afterAutospacing="0"/>
        <w:ind w:left="0" w:right="0" w:firstLine="640" w:firstLineChars="200"/>
        <w:jc w:val="left"/>
        <w:rPr>
          <w:rFonts w:hint="eastAsia" w:ascii="仿宋" w:hAnsi="仿宋" w:eastAsia="仿宋" w:cs="仿宋"/>
          <w:color w:val="000000" w:themeColor="text1"/>
          <w:sz w:val="32"/>
          <w:szCs w:val="32"/>
          <w:highlight w:val="none"/>
          <w:lang w:val="en-US"/>
          <w14:textFill>
            <w14:solidFill>
              <w14:schemeClr w14:val="tx1"/>
            </w14:solidFill>
          </w14:textFill>
        </w:rPr>
      </w:pPr>
      <w:r>
        <w:rPr>
          <w:rFonts w:hint="eastAsia" w:ascii="仿宋" w:hAnsi="仿宋" w:eastAsia="仿宋" w:cs="仿宋"/>
          <w:kern w:val="2"/>
          <w:sz w:val="32"/>
          <w:szCs w:val="32"/>
          <w:highlight w:val="none"/>
          <w:lang w:val="en-US" w:eastAsia="zh-CN" w:bidi="ar"/>
        </w:rPr>
        <w:t>7.附属单位上缴收入</w:t>
      </w:r>
      <w:r>
        <w:rPr>
          <w:rFonts w:ascii="仿宋" w:hAnsi="仿宋" w:eastAsia="仿宋" w:cs="仿宋"/>
          <w:sz w:val="32"/>
          <w:u w:color="auto"/>
        </w:rPr>
        <w:t>0.00</w:t>
      </w:r>
      <w:r>
        <w:rPr>
          <w:rFonts w:hint="eastAsia" w:ascii="仿宋" w:hAnsi="仿宋" w:eastAsia="仿宋" w:cs="仿宋"/>
          <w:kern w:val="2"/>
          <w:sz w:val="32"/>
          <w:szCs w:val="32"/>
          <w:highlight w:val="none"/>
          <w:lang w:val="en-US" w:eastAsia="zh-CN" w:bidi="ar"/>
        </w:rPr>
        <w:t>万元。较2021年度决算数</w:t>
      </w:r>
      <w:r>
        <w:rPr>
          <w:rFonts w:ascii="仿宋" w:hAnsi="仿宋" w:eastAsia="仿宋" w:cs="仿宋"/>
          <w:sz w:val="32"/>
          <w:u w:color="auto"/>
        </w:rPr>
        <w:t>增加0.00</w:t>
      </w:r>
      <w:r>
        <w:rPr>
          <w:rFonts w:hint="eastAsia" w:ascii="仿宋" w:hAnsi="仿宋" w:eastAsia="仿宋" w:cs="仿宋"/>
          <w:kern w:val="2"/>
          <w:sz w:val="32"/>
          <w:szCs w:val="32"/>
          <w:highlight w:val="none"/>
          <w:lang w:val="en-US" w:eastAsia="zh-CN" w:bidi="ar"/>
        </w:rPr>
        <w:t>万元，</w:t>
      </w:r>
      <w:r>
        <w:rPr>
          <w:rFonts w:ascii="仿宋" w:hAnsi="仿宋" w:eastAsia="仿宋" w:cs="仿宋"/>
          <w:sz w:val="32"/>
          <w:u w:color="auto"/>
        </w:rPr>
        <w:t>增长0%</w:t>
      </w:r>
      <w:r>
        <w:rPr>
          <w:rFonts w:hint="eastAsia" w:ascii="仿宋" w:hAnsi="仿宋" w:eastAsia="仿宋" w:cs="仿宋"/>
          <w:kern w:val="2"/>
          <w:sz w:val="32"/>
          <w:szCs w:val="32"/>
          <w:highlight w:val="none"/>
          <w:lang w:val="en-US" w:eastAsia="zh-CN" w:bidi="ar"/>
        </w:rPr>
        <w:t>，</w:t>
      </w:r>
      <w:r>
        <w:rPr>
          <w:rFonts w:hint="eastAsia" w:ascii="仿宋" w:hAnsi="仿宋" w:eastAsia="仿宋" w:cs="仿宋"/>
          <w:color w:val="000000" w:themeColor="text1"/>
          <w:kern w:val="2"/>
          <w:sz w:val="32"/>
          <w:szCs w:val="32"/>
          <w:highlight w:val="none"/>
          <w:lang w:val="en-US" w:eastAsia="zh-CN" w:bidi="ar"/>
          <w14:textFill>
            <w14:solidFill>
              <w14:schemeClr w14:val="tx1"/>
            </w14:solidFill>
          </w14:textFill>
        </w:rPr>
        <w:t>主要原因是：本单位无附属单位上缴收入。</w:t>
      </w:r>
    </w:p>
    <w:p>
      <w:pPr>
        <w:keepNext w:val="0"/>
        <w:keepLines w:val="0"/>
        <w:widowControl w:val="0"/>
        <w:suppressLineNumbers w:val="0"/>
        <w:spacing w:before="0" w:beforeAutospacing="0" w:after="0" w:afterAutospacing="0"/>
        <w:ind w:left="0" w:right="0" w:firstLine="640" w:firstLineChars="200"/>
        <w:jc w:val="left"/>
        <w:rPr>
          <w:rFonts w:hint="eastAsia" w:ascii="仿宋" w:hAnsi="仿宋" w:eastAsia="仿宋" w:cs="仿宋"/>
          <w:color w:val="000000" w:themeColor="text1"/>
          <w:sz w:val="32"/>
          <w:szCs w:val="32"/>
          <w:highlight w:val="none"/>
          <w:lang w:val="en-US"/>
          <w14:textFill>
            <w14:solidFill>
              <w14:schemeClr w14:val="tx1"/>
            </w14:solidFill>
          </w14:textFill>
        </w:rPr>
      </w:pPr>
      <w:r>
        <w:rPr>
          <w:rFonts w:hint="eastAsia" w:ascii="仿宋" w:hAnsi="仿宋" w:eastAsia="仿宋" w:cs="仿宋"/>
          <w:kern w:val="2"/>
          <w:sz w:val="32"/>
          <w:szCs w:val="32"/>
          <w:highlight w:val="none"/>
          <w:lang w:val="en-US" w:eastAsia="zh-CN" w:bidi="ar"/>
        </w:rPr>
        <w:t>8.其他收入</w:t>
      </w:r>
      <w:r>
        <w:rPr>
          <w:rFonts w:ascii="仿宋" w:hAnsi="仿宋" w:eastAsia="仿宋" w:cs="仿宋"/>
          <w:sz w:val="32"/>
          <w:u w:color="auto"/>
        </w:rPr>
        <w:t>0.00</w:t>
      </w:r>
      <w:r>
        <w:rPr>
          <w:rFonts w:hint="eastAsia" w:ascii="仿宋" w:hAnsi="仿宋" w:eastAsia="仿宋" w:cs="仿宋"/>
          <w:kern w:val="2"/>
          <w:sz w:val="32"/>
          <w:szCs w:val="32"/>
          <w:highlight w:val="none"/>
          <w:lang w:val="en-US" w:eastAsia="zh-CN" w:bidi="ar"/>
        </w:rPr>
        <w:t>万元,为预算单位在“财政拨款收入”“事业收入”“经营收入”之外取得的收入。较2021年度决算数</w:t>
      </w:r>
      <w:r>
        <w:rPr>
          <w:rFonts w:ascii="仿宋" w:hAnsi="仿宋" w:eastAsia="仿宋" w:cs="仿宋"/>
          <w:sz w:val="32"/>
          <w:u w:color="auto"/>
        </w:rPr>
        <w:t>增加0.00</w:t>
      </w:r>
      <w:r>
        <w:rPr>
          <w:rFonts w:hint="eastAsia" w:ascii="仿宋" w:hAnsi="仿宋" w:eastAsia="仿宋" w:cs="仿宋"/>
          <w:kern w:val="2"/>
          <w:sz w:val="32"/>
          <w:szCs w:val="32"/>
          <w:highlight w:val="none"/>
          <w:lang w:val="en-US" w:eastAsia="zh-CN" w:bidi="ar"/>
        </w:rPr>
        <w:t>万元，</w:t>
      </w:r>
      <w:r>
        <w:rPr>
          <w:rFonts w:ascii="仿宋" w:hAnsi="仿宋" w:eastAsia="仿宋" w:cs="仿宋"/>
          <w:sz w:val="32"/>
          <w:u w:color="auto"/>
        </w:rPr>
        <w:t>增长0%</w:t>
      </w:r>
      <w:r>
        <w:rPr>
          <w:rFonts w:hint="eastAsia" w:ascii="仿宋" w:hAnsi="仿宋" w:eastAsia="仿宋" w:cs="仿宋"/>
          <w:kern w:val="2"/>
          <w:sz w:val="32"/>
          <w:szCs w:val="32"/>
          <w:highlight w:val="none"/>
          <w:lang w:val="en-US" w:eastAsia="zh-CN" w:bidi="ar"/>
        </w:rPr>
        <w:t>，</w:t>
      </w:r>
      <w:r>
        <w:rPr>
          <w:rFonts w:hint="eastAsia" w:ascii="仿宋" w:hAnsi="仿宋" w:eastAsia="仿宋" w:cs="仿宋"/>
          <w:color w:val="000000" w:themeColor="text1"/>
          <w:kern w:val="2"/>
          <w:sz w:val="32"/>
          <w:szCs w:val="32"/>
          <w:highlight w:val="none"/>
          <w:lang w:val="en-US" w:eastAsia="zh-CN" w:bidi="ar"/>
          <w14:textFill>
            <w14:solidFill>
              <w14:schemeClr w14:val="tx1"/>
            </w14:solidFill>
          </w14:textFill>
        </w:rPr>
        <w:t>主要原因是：本单位没有其他收入。</w:t>
      </w:r>
    </w:p>
    <w:p>
      <w:pPr>
        <w:keepNext w:val="0"/>
        <w:keepLines w:val="0"/>
        <w:widowControl w:val="0"/>
        <w:suppressLineNumbers w:val="0"/>
        <w:spacing w:before="0" w:beforeAutospacing="0" w:after="0" w:afterAutospacing="0"/>
        <w:ind w:left="0" w:right="0" w:firstLine="640" w:firstLineChars="200"/>
        <w:jc w:val="left"/>
        <w:rPr>
          <w:rFonts w:hint="eastAsia" w:ascii="仿宋" w:hAnsi="仿宋" w:eastAsia="仿宋" w:cs="仿宋"/>
          <w:color w:val="000000" w:themeColor="text1"/>
          <w:sz w:val="32"/>
          <w:szCs w:val="32"/>
          <w:highlight w:val="none"/>
          <w:lang w:val="en-US"/>
          <w14:textFill>
            <w14:solidFill>
              <w14:schemeClr w14:val="tx1"/>
            </w14:solidFill>
          </w14:textFill>
        </w:rPr>
      </w:pPr>
      <w:r>
        <w:rPr>
          <w:rFonts w:hint="eastAsia" w:ascii="仿宋" w:hAnsi="仿宋" w:eastAsia="仿宋" w:cs="仿宋"/>
          <w:kern w:val="2"/>
          <w:sz w:val="32"/>
          <w:szCs w:val="32"/>
          <w:highlight w:val="none"/>
          <w:lang w:val="en-US" w:eastAsia="zh-CN" w:bidi="ar"/>
        </w:rPr>
        <w:t>9.使用非财政拨款结余</w:t>
      </w:r>
      <w:r>
        <w:rPr>
          <w:rFonts w:ascii="仿宋" w:hAnsi="仿宋" w:eastAsia="仿宋" w:cs="仿宋"/>
          <w:sz w:val="32"/>
          <w:u w:color="auto"/>
        </w:rPr>
        <w:t>0.00</w:t>
      </w:r>
      <w:r>
        <w:rPr>
          <w:rFonts w:hint="eastAsia" w:ascii="仿宋" w:hAnsi="仿宋" w:eastAsia="仿宋" w:cs="仿宋"/>
          <w:kern w:val="2"/>
          <w:sz w:val="32"/>
          <w:szCs w:val="32"/>
          <w:highlight w:val="none"/>
          <w:lang w:val="en-US" w:eastAsia="zh-CN" w:bidi="ar"/>
        </w:rPr>
        <w:t>万元,主要是所属事业单位在当年的“财政拨款收入”“事业收入”“经营收入”及“其他收入”不能保证其支出的情况下，使用以前年度积累的非财政拨款结余弥补本年度收支缺口的资金。较2021年度决算数</w:t>
      </w:r>
      <w:r>
        <w:rPr>
          <w:rFonts w:ascii="仿宋" w:hAnsi="仿宋" w:eastAsia="仿宋" w:cs="仿宋"/>
          <w:sz w:val="32"/>
          <w:u w:color="auto"/>
        </w:rPr>
        <w:t>增加0.00</w:t>
      </w:r>
      <w:r>
        <w:rPr>
          <w:rFonts w:hint="eastAsia" w:ascii="仿宋" w:hAnsi="仿宋" w:eastAsia="仿宋" w:cs="仿宋"/>
          <w:kern w:val="2"/>
          <w:sz w:val="32"/>
          <w:szCs w:val="32"/>
          <w:highlight w:val="none"/>
          <w:lang w:val="en-US" w:eastAsia="zh-CN" w:bidi="ar"/>
        </w:rPr>
        <w:t>万元，</w:t>
      </w:r>
      <w:r>
        <w:rPr>
          <w:rFonts w:ascii="仿宋" w:hAnsi="仿宋" w:eastAsia="仿宋" w:cs="仿宋"/>
          <w:sz w:val="32"/>
          <w:u w:color="auto"/>
        </w:rPr>
        <w:t>增长0%</w:t>
      </w:r>
      <w:r>
        <w:rPr>
          <w:rFonts w:hint="eastAsia" w:ascii="仿宋" w:hAnsi="仿宋" w:eastAsia="仿宋" w:cs="仿宋"/>
          <w:kern w:val="2"/>
          <w:sz w:val="32"/>
          <w:szCs w:val="32"/>
          <w:highlight w:val="none"/>
          <w:lang w:val="en-US" w:eastAsia="zh-CN" w:bidi="ar"/>
        </w:rPr>
        <w:t>，</w:t>
      </w:r>
      <w:r>
        <w:rPr>
          <w:rFonts w:hint="eastAsia" w:ascii="仿宋" w:hAnsi="仿宋" w:eastAsia="仿宋" w:cs="仿宋"/>
          <w:color w:val="000000" w:themeColor="text1"/>
          <w:kern w:val="2"/>
          <w:sz w:val="32"/>
          <w:szCs w:val="32"/>
          <w:highlight w:val="none"/>
          <w:lang w:val="en-US" w:eastAsia="zh-CN" w:bidi="ar"/>
          <w14:textFill>
            <w14:solidFill>
              <w14:schemeClr w14:val="tx1"/>
            </w14:solidFill>
          </w14:textFill>
        </w:rPr>
        <w:t>主要原因是：本单位没有非财政拨款结余。</w:t>
      </w:r>
    </w:p>
    <w:p>
      <w:pPr>
        <w:keepNext w:val="0"/>
        <w:keepLines w:val="0"/>
        <w:widowControl w:val="0"/>
        <w:suppressLineNumbers w:val="0"/>
        <w:spacing w:before="0" w:beforeAutospacing="0" w:after="0" w:afterAutospacing="0"/>
        <w:ind w:left="0" w:right="0" w:firstLine="640" w:firstLineChars="200"/>
        <w:jc w:val="left"/>
        <w:rPr>
          <w:rFonts w:hint="eastAsia" w:ascii="仿宋" w:hAnsi="仿宋" w:eastAsia="仿宋" w:cs="仿宋"/>
          <w:color w:val="000000" w:themeColor="text1"/>
          <w:sz w:val="32"/>
          <w:szCs w:val="32"/>
          <w:highlight w:val="none"/>
          <w:lang w:val="en-US"/>
          <w14:textFill>
            <w14:solidFill>
              <w14:schemeClr w14:val="tx1"/>
            </w14:solidFill>
          </w14:textFill>
        </w:rPr>
      </w:pPr>
      <w:r>
        <w:rPr>
          <w:rFonts w:hint="eastAsia" w:ascii="仿宋" w:hAnsi="仿宋" w:eastAsia="仿宋" w:cs="仿宋"/>
          <w:kern w:val="2"/>
          <w:sz w:val="32"/>
          <w:szCs w:val="32"/>
          <w:highlight w:val="none"/>
          <w:lang w:val="en-US" w:eastAsia="zh-CN" w:bidi="ar"/>
        </w:rPr>
        <w:t>10.上年结转和结余</w:t>
      </w:r>
      <w:r>
        <w:rPr>
          <w:rFonts w:ascii="仿宋" w:hAnsi="仿宋" w:eastAsia="仿宋" w:cs="仿宋"/>
          <w:sz w:val="32"/>
          <w:u w:color="auto"/>
        </w:rPr>
        <w:t>0.00</w:t>
      </w:r>
      <w:r>
        <w:rPr>
          <w:rFonts w:hint="eastAsia" w:ascii="仿宋" w:hAnsi="仿宋" w:eastAsia="仿宋" w:cs="仿宋"/>
          <w:kern w:val="2"/>
          <w:sz w:val="32"/>
          <w:szCs w:val="32"/>
          <w:highlight w:val="none"/>
          <w:lang w:val="en-US" w:eastAsia="zh-CN" w:bidi="ar"/>
        </w:rPr>
        <w:t>万元，为以前年度支出预算因客观条件变化未执行完毕、结转到本年度按有关规定继续使用的资金。较2021年度决算数</w:t>
      </w:r>
      <w:r>
        <w:rPr>
          <w:rFonts w:ascii="仿宋" w:hAnsi="仿宋" w:eastAsia="仿宋" w:cs="仿宋"/>
          <w:sz w:val="32"/>
          <w:u w:color="auto"/>
        </w:rPr>
        <w:t>减少99.30</w:t>
      </w:r>
      <w:r>
        <w:rPr>
          <w:rFonts w:hint="eastAsia" w:ascii="仿宋" w:hAnsi="仿宋" w:eastAsia="仿宋" w:cs="仿宋"/>
          <w:kern w:val="2"/>
          <w:sz w:val="32"/>
          <w:szCs w:val="32"/>
          <w:highlight w:val="none"/>
          <w:lang w:val="en-US" w:eastAsia="zh-CN" w:bidi="ar"/>
        </w:rPr>
        <w:t>万元，</w:t>
      </w:r>
      <w:r>
        <w:rPr>
          <w:rFonts w:ascii="仿宋" w:hAnsi="仿宋" w:eastAsia="仿宋" w:cs="仿宋"/>
          <w:sz w:val="32"/>
          <w:u w:color="auto"/>
        </w:rPr>
        <w:t>下降100.00%</w:t>
      </w:r>
      <w:r>
        <w:rPr>
          <w:rFonts w:hint="eastAsia" w:ascii="仿宋" w:hAnsi="仿宋" w:eastAsia="仿宋" w:cs="仿宋"/>
          <w:kern w:val="2"/>
          <w:sz w:val="32"/>
          <w:szCs w:val="32"/>
          <w:highlight w:val="none"/>
          <w:lang w:val="en-US" w:eastAsia="zh-CN" w:bidi="ar"/>
        </w:rPr>
        <w:t>，</w:t>
      </w:r>
      <w:r>
        <w:rPr>
          <w:rFonts w:hint="eastAsia" w:ascii="仿宋" w:hAnsi="仿宋" w:eastAsia="仿宋" w:cs="仿宋"/>
          <w:color w:val="000000" w:themeColor="text1"/>
          <w:kern w:val="2"/>
          <w:sz w:val="32"/>
          <w:szCs w:val="32"/>
          <w:highlight w:val="none"/>
          <w:lang w:val="en-US" w:eastAsia="zh-CN" w:bidi="ar"/>
          <w14:textFill>
            <w14:solidFill>
              <w14:schemeClr w14:val="tx1"/>
            </w14:solidFill>
          </w14:textFill>
        </w:rPr>
        <w:t>主要原因：部分项目已在本年执行完毕，不需要结转至下年继续执行。</w:t>
      </w:r>
    </w:p>
    <w:p>
      <w:pPr>
        <w:jc w:val="center"/>
        <w:rPr>
          <w:rFonts w:ascii="仿宋" w:hAnsi="仿宋" w:eastAsia="仿宋" w:cs="仿宋"/>
          <w:sz w:val="32"/>
          <w:szCs w:val="32"/>
          <w:highlight w:val="none"/>
        </w:rPr>
      </w:pPr>
      <w:r>
        <w:rPr>
          <w:rFonts w:hint="eastAsia" w:ascii="仿宋" w:hAnsi="仿宋" w:eastAsia="仿宋" w:cs="仿宋"/>
          <w:sz w:val="32"/>
          <w:szCs w:val="32"/>
          <w:highlight w:val="none"/>
        </w:rPr>
        <w:drawing>
          <wp:inline distT="0" distB="0" distL="114300" distR="114300">
            <wp:extent cx="5080000" cy="3010535"/>
            <wp:effectExtent l="4445" t="4445" r="20955" b="13970"/>
            <wp:docPr id="2" name="图表 2" title="{{img_js_srzc}}"/>
            <wp:cNvGraphicFramePr/>
            <a:graphic xmlns:a="http://schemas.openxmlformats.org/drawingml/2006/main">
              <a:graphicData uri="http://schemas.openxmlformats.org/drawingml/2006/chart">
                <c:chart xmlns:c="http://schemas.openxmlformats.org/drawingml/2006/chart" xmlns:r="http://schemas.openxmlformats.org/officeDocument/2006/relationships" r:id="rId6"/>
              </a:graphicData>
            </a:graphic>
          </wp:inline>
        </w:drawing>
      </w:r>
    </w:p>
    <w:p>
      <w:pPr>
        <w:ind w:firstLine="640" w:firstLineChars="200"/>
        <w:jc w:val="left"/>
        <w:rPr>
          <w:rFonts w:ascii="仿宋" w:hAnsi="仿宋" w:eastAsia="仿宋" w:cs="仿宋"/>
          <w:sz w:val="32"/>
          <w:szCs w:val="32"/>
          <w:highlight w:val="none"/>
        </w:rPr>
      </w:pPr>
      <w:r>
        <w:rPr>
          <w:rFonts w:hint="eastAsia" w:ascii="仿宋" w:hAnsi="仿宋" w:eastAsia="仿宋" w:cs="仿宋"/>
          <w:sz w:val="32"/>
          <w:szCs w:val="32"/>
          <w:highlight w:val="none"/>
        </w:rPr>
        <w:t>（二）本部门2022年度总支出</w:t>
      </w:r>
      <w:r>
        <w:rPr>
          <w:rFonts w:ascii="仿宋" w:hAnsi="仿宋" w:eastAsia="仿宋" w:cs="仿宋"/>
          <w:sz w:val="32"/>
          <w:u w:color="auto"/>
        </w:rPr>
        <w:t>2195.79</w:t>
      </w:r>
      <w:r>
        <w:rPr>
          <w:rFonts w:hint="eastAsia" w:ascii="仿宋" w:hAnsi="仿宋" w:eastAsia="仿宋" w:cs="仿宋"/>
          <w:sz w:val="32"/>
          <w:szCs w:val="32"/>
          <w:highlight w:val="none"/>
        </w:rPr>
        <w:t>万元，其中本年支出</w:t>
      </w:r>
      <w:r>
        <w:rPr>
          <w:rFonts w:ascii="仿宋" w:hAnsi="仿宋" w:eastAsia="仿宋" w:cs="仿宋"/>
          <w:sz w:val="32"/>
          <w:u w:color="auto"/>
        </w:rPr>
        <w:t>2195.79</w:t>
      </w:r>
      <w:r>
        <w:rPr>
          <w:rFonts w:hint="eastAsia" w:ascii="仿宋" w:hAnsi="仿宋" w:eastAsia="仿宋" w:cs="仿宋"/>
          <w:sz w:val="32"/>
          <w:szCs w:val="32"/>
          <w:highlight w:val="none"/>
        </w:rPr>
        <w:t>万元，较2021年度决算数</w:t>
      </w:r>
      <w:r>
        <w:rPr>
          <w:rFonts w:ascii="仿宋" w:hAnsi="仿宋" w:eastAsia="仿宋" w:cs="仿宋"/>
          <w:sz w:val="32"/>
          <w:u w:color="auto"/>
        </w:rPr>
        <w:t>增加284.95</w:t>
      </w:r>
      <w:r>
        <w:rPr>
          <w:rFonts w:hint="eastAsia" w:ascii="仿宋" w:hAnsi="仿宋" w:eastAsia="仿宋" w:cs="仿宋"/>
          <w:sz w:val="32"/>
          <w:szCs w:val="32"/>
          <w:highlight w:val="none"/>
        </w:rPr>
        <w:t>万元，</w:t>
      </w:r>
      <w:r>
        <w:rPr>
          <w:rFonts w:ascii="仿宋" w:hAnsi="仿宋" w:eastAsia="仿宋" w:cs="仿宋"/>
          <w:sz w:val="32"/>
          <w:u w:color="auto"/>
        </w:rPr>
        <w:t>增长14.91%</w:t>
      </w:r>
      <w:r>
        <w:rPr>
          <w:rFonts w:hint="eastAsia" w:ascii="仿宋" w:hAnsi="仿宋" w:eastAsia="仿宋" w:cs="仿宋"/>
          <w:sz w:val="32"/>
          <w:szCs w:val="32"/>
          <w:highlight w:val="none"/>
        </w:rPr>
        <w:t>。支出具体情况如下：</w:t>
      </w:r>
    </w:p>
    <w:p>
      <w:pPr>
        <w:keepNext w:val="0"/>
        <w:keepLines w:val="0"/>
        <w:widowControl w:val="0"/>
        <w:suppressLineNumbers w:val="0"/>
        <w:spacing w:before="0" w:beforeAutospacing="0" w:after="0" w:afterAutospacing="0"/>
        <w:ind w:left="0" w:right="0" w:firstLine="640" w:firstLineChars="200"/>
        <w:jc w:val="left"/>
        <w:rPr>
          <w:rFonts w:hint="eastAsia" w:ascii="仿宋" w:hAnsi="仿宋" w:eastAsia="仿宋" w:cs="仿宋"/>
          <w:color w:val="000000" w:themeColor="text1"/>
          <w:kern w:val="2"/>
          <w:sz w:val="32"/>
          <w:szCs w:val="32"/>
          <w:highlight w:val="none"/>
          <w:lang w:val="en-US" w:eastAsia="zh-CN" w:bidi="ar"/>
          <w14:textFill>
            <w14:solidFill>
              <w14:schemeClr w14:val="tx1"/>
            </w14:solidFill>
          </w14:textFill>
        </w:rPr>
      </w:pPr>
      <w:r>
        <w:rPr>
          <w:rFonts w:hint="eastAsia" w:ascii="仿宋" w:hAnsi="仿宋" w:eastAsia="仿宋" w:cs="仿宋"/>
          <w:sz w:val="32"/>
          <w:szCs w:val="32"/>
          <w:highlight w:val="none"/>
        </w:rPr>
        <w:t>1</w:t>
      </w:r>
      <w:r>
        <w:rPr>
          <w:rFonts w:ascii="仿宋" w:hAnsi="仿宋" w:eastAsia="仿宋" w:cs="仿宋"/>
          <w:sz w:val="32"/>
          <w:u w:color="auto"/>
        </w:rPr>
        <w:t>.</w:t>
      </w:r>
      <w:r>
        <w:rPr>
          <w:rFonts w:hint="eastAsia" w:ascii="仿宋" w:hAnsi="仿宋" w:eastAsia="仿宋" w:cs="仿宋"/>
          <w:sz w:val="32"/>
          <w:szCs w:val="32"/>
          <w:highlight w:val="none"/>
          <w:lang w:bidi="ar"/>
        </w:rPr>
        <w:t>一般公共服务支出</w:t>
      </w:r>
      <w:r>
        <w:rPr>
          <w:rFonts w:hint="eastAsia" w:ascii="仿宋" w:hAnsi="仿宋" w:eastAsia="仿宋" w:cs="仿宋"/>
          <w:sz w:val="32"/>
          <w:szCs w:val="32"/>
          <w:highlight w:val="none"/>
        </w:rPr>
        <w:t>（</w:t>
      </w:r>
      <w:r>
        <w:rPr>
          <w:rFonts w:hint="eastAsia" w:ascii="仿宋" w:hAnsi="仿宋" w:eastAsia="仿宋" w:cs="仿宋"/>
          <w:sz w:val="32"/>
          <w:szCs w:val="32"/>
          <w:highlight w:val="none"/>
          <w:lang w:bidi="ar"/>
        </w:rPr>
        <w:t>201</w:t>
      </w:r>
      <w:r>
        <w:rPr>
          <w:rFonts w:ascii="Calibri" w:hAnsi="Calibri" w:eastAsia="宋体" w:cs="Times New Roman"/>
          <w:highlight w:val="none"/>
          <w:lang w:bidi="ar"/>
        </w:rPr>
        <w:t xml:space="preserve"> </w:t>
      </w:r>
      <w:r>
        <w:rPr>
          <w:rFonts w:hint="eastAsia" w:ascii="仿宋" w:hAnsi="仿宋" w:eastAsia="仿宋" w:cs="仿宋"/>
          <w:sz w:val="32"/>
          <w:szCs w:val="32"/>
          <w:highlight w:val="none"/>
        </w:rPr>
        <w:t>类）</w:t>
      </w:r>
      <w:r>
        <w:rPr>
          <w:rFonts w:hint="eastAsia" w:ascii="仿宋" w:hAnsi="仿宋" w:eastAsia="仿宋" w:cs="仿宋"/>
          <w:sz w:val="32"/>
          <w:szCs w:val="32"/>
          <w:highlight w:val="none"/>
          <w:lang w:bidi="ar"/>
        </w:rPr>
        <w:t>18.19</w:t>
      </w:r>
      <w:r>
        <w:rPr>
          <w:rFonts w:hint="eastAsia" w:ascii="仿宋" w:hAnsi="仿宋" w:eastAsia="仿宋" w:cs="仿宋"/>
          <w:sz w:val="32"/>
          <w:szCs w:val="32"/>
          <w:highlight w:val="none"/>
        </w:rPr>
        <w:t>万元：</w:t>
      </w:r>
      <w:r>
        <w:rPr>
          <w:rFonts w:hint="eastAsia" w:ascii="仿宋" w:hAnsi="仿宋" w:eastAsia="仿宋" w:cs="仿宋"/>
          <w:color w:val="000000" w:themeColor="text1"/>
          <w:sz w:val="32"/>
          <w:szCs w:val="32"/>
          <w:highlight w:val="none"/>
          <w14:textFill>
            <w14:solidFill>
              <w14:schemeClr w14:val="tx1"/>
            </w14:solidFill>
          </w14:textFill>
        </w:rPr>
        <w:t>主要用于</w:t>
      </w:r>
      <w:r>
        <w:rPr>
          <w:rFonts w:hint="eastAsia" w:ascii="仿宋" w:hAnsi="仿宋" w:eastAsia="仿宋" w:cs="仿宋"/>
          <w:color w:val="000000" w:themeColor="text1"/>
          <w:sz w:val="32"/>
          <w:szCs w:val="32"/>
          <w:highlight w:val="none"/>
          <w:lang w:eastAsia="zh-CN"/>
          <w14:textFill>
            <w14:solidFill>
              <w14:schemeClr w14:val="tx1"/>
            </w14:solidFill>
          </w14:textFill>
        </w:rPr>
        <w:t>：</w:t>
      </w:r>
      <w:r>
        <w:rPr>
          <w:rFonts w:hint="eastAsia" w:ascii="仿宋" w:hAnsi="仿宋" w:eastAsia="仿宋" w:cs="仿宋"/>
          <w:color w:val="000000" w:themeColor="text1"/>
          <w:sz w:val="32"/>
          <w:szCs w:val="32"/>
          <w:highlight w:val="none"/>
          <w:lang w:val="en-US" w:eastAsia="zh-CN"/>
          <w14:textFill>
            <w14:solidFill>
              <w14:schemeClr w14:val="tx1"/>
            </w14:solidFill>
          </w14:textFill>
        </w:rPr>
        <w:t>学校教职工工会活动经费</w:t>
      </w:r>
      <w:r>
        <w:rPr>
          <w:rFonts w:hint="eastAsia" w:ascii="仿宋" w:hAnsi="仿宋" w:eastAsia="仿宋" w:cs="仿宋"/>
          <w:sz w:val="32"/>
          <w:szCs w:val="32"/>
          <w:highlight w:val="none"/>
        </w:rPr>
        <w:t>。较2021年度决算数</w:t>
      </w:r>
      <w:r>
        <w:rPr>
          <w:rFonts w:hint="eastAsia" w:ascii="仿宋" w:hAnsi="仿宋" w:eastAsia="仿宋" w:cs="仿宋"/>
          <w:sz w:val="32"/>
          <w:szCs w:val="32"/>
          <w:highlight w:val="none"/>
          <w:lang w:bidi="ar"/>
        </w:rPr>
        <w:t>增加18.19</w:t>
      </w:r>
      <w:r>
        <w:rPr>
          <w:rFonts w:hint="eastAsia" w:ascii="仿宋" w:hAnsi="仿宋" w:eastAsia="仿宋" w:cs="仿宋"/>
          <w:sz w:val="32"/>
          <w:szCs w:val="32"/>
          <w:highlight w:val="none"/>
        </w:rPr>
        <w:t>万元，</w:t>
      </w:r>
      <w:r>
        <w:rPr>
          <w:rFonts w:hint="eastAsia" w:ascii="仿宋" w:hAnsi="仿宋" w:eastAsia="仿宋" w:cs="仿宋"/>
          <w:sz w:val="32"/>
          <w:szCs w:val="32"/>
          <w:highlight w:val="none"/>
          <w:lang w:bidi="ar"/>
        </w:rPr>
        <w:t>增长100%</w:t>
      </w:r>
      <w:r>
        <w:rPr>
          <w:rFonts w:hint="eastAsia" w:ascii="仿宋" w:hAnsi="仿宋" w:eastAsia="仿宋" w:cs="仿宋"/>
          <w:sz w:val="32"/>
          <w:szCs w:val="32"/>
          <w:highlight w:val="none"/>
        </w:rPr>
        <w:t>，</w:t>
      </w:r>
      <w:r>
        <w:rPr>
          <w:rFonts w:hint="eastAsia" w:ascii="仿宋" w:hAnsi="仿宋" w:eastAsia="仿宋" w:cs="仿宋"/>
          <w:color w:val="000000" w:themeColor="text1"/>
          <w:kern w:val="2"/>
          <w:sz w:val="32"/>
          <w:szCs w:val="32"/>
          <w:highlight w:val="none"/>
          <w:lang w:val="en-US" w:eastAsia="zh-CN" w:bidi="ar"/>
          <w14:textFill>
            <w14:solidFill>
              <w14:schemeClr w14:val="tx1"/>
            </w14:solidFill>
          </w14:textFill>
        </w:rPr>
        <w:t>主要原因是：2021年度的学校工会活动经费不在预算一体化中体现。</w:t>
      </w:r>
    </w:p>
    <w:p>
      <w:pPr>
        <w:keepNext w:val="0"/>
        <w:keepLines w:val="0"/>
        <w:widowControl w:val="0"/>
        <w:suppressLineNumbers w:val="0"/>
        <w:spacing w:before="0" w:beforeAutospacing="0" w:after="0" w:afterAutospacing="0"/>
        <w:ind w:left="0" w:right="0" w:firstLine="640" w:firstLineChars="200"/>
        <w:jc w:val="left"/>
        <w:rPr>
          <w:rFonts w:hint="eastAsia" w:ascii="仿宋" w:hAnsi="仿宋" w:eastAsia="仿宋" w:cs="仿宋"/>
          <w:sz w:val="32"/>
          <w:szCs w:val="32"/>
          <w:highlight w:val="none"/>
          <w:lang w:val="en-US"/>
        </w:rPr>
      </w:pPr>
      <w:r>
        <w:rPr>
          <w:rFonts w:hint="eastAsia" w:ascii="仿宋" w:hAnsi="仿宋" w:eastAsia="仿宋" w:cs="仿宋"/>
          <w:sz w:val="32"/>
          <w:szCs w:val="32"/>
          <w:highlight w:val="none"/>
        </w:rPr>
        <w:t>2</w:t>
      </w:r>
      <w:r>
        <w:rPr>
          <w:rFonts w:ascii="仿宋" w:hAnsi="仿宋" w:eastAsia="仿宋" w:cs="仿宋"/>
          <w:sz w:val="32"/>
          <w:u w:color="auto"/>
        </w:rPr>
        <w:t>.</w:t>
      </w:r>
      <w:r>
        <w:rPr>
          <w:rFonts w:hint="eastAsia" w:ascii="仿宋" w:hAnsi="仿宋" w:eastAsia="仿宋" w:cs="仿宋"/>
          <w:sz w:val="32"/>
          <w:szCs w:val="32"/>
          <w:highlight w:val="none"/>
          <w:lang w:bidi="ar"/>
        </w:rPr>
        <w:t>教育支出</w:t>
      </w:r>
      <w:r>
        <w:rPr>
          <w:rFonts w:hint="eastAsia" w:ascii="仿宋" w:hAnsi="仿宋" w:eastAsia="仿宋" w:cs="仿宋"/>
          <w:sz w:val="32"/>
          <w:szCs w:val="32"/>
          <w:highlight w:val="none"/>
        </w:rPr>
        <w:t>（</w:t>
      </w:r>
      <w:r>
        <w:rPr>
          <w:rFonts w:hint="eastAsia" w:ascii="仿宋" w:hAnsi="仿宋" w:eastAsia="仿宋" w:cs="仿宋"/>
          <w:sz w:val="32"/>
          <w:szCs w:val="32"/>
          <w:highlight w:val="none"/>
          <w:lang w:bidi="ar"/>
        </w:rPr>
        <w:t>205</w:t>
      </w:r>
      <w:r>
        <w:rPr>
          <w:rFonts w:ascii="Calibri" w:hAnsi="Calibri" w:eastAsia="宋体" w:cs="Times New Roman"/>
          <w:highlight w:val="none"/>
          <w:lang w:bidi="ar"/>
        </w:rPr>
        <w:t xml:space="preserve"> </w:t>
      </w:r>
      <w:r>
        <w:rPr>
          <w:rFonts w:hint="eastAsia" w:ascii="仿宋" w:hAnsi="仿宋" w:eastAsia="仿宋" w:cs="仿宋"/>
          <w:sz w:val="32"/>
          <w:szCs w:val="32"/>
          <w:highlight w:val="none"/>
        </w:rPr>
        <w:t>类）</w:t>
      </w:r>
      <w:r>
        <w:rPr>
          <w:rFonts w:hint="eastAsia" w:ascii="仿宋" w:hAnsi="仿宋" w:eastAsia="仿宋" w:cs="仿宋"/>
          <w:sz w:val="32"/>
          <w:szCs w:val="32"/>
          <w:highlight w:val="none"/>
          <w:lang w:bidi="ar"/>
        </w:rPr>
        <w:t>1747.36</w:t>
      </w:r>
      <w:r>
        <w:rPr>
          <w:rFonts w:hint="eastAsia" w:ascii="仿宋" w:hAnsi="仿宋" w:eastAsia="仿宋" w:cs="仿宋"/>
          <w:sz w:val="32"/>
          <w:szCs w:val="32"/>
          <w:highlight w:val="none"/>
        </w:rPr>
        <w:t>万元：</w:t>
      </w:r>
      <w:r>
        <w:rPr>
          <w:rFonts w:hint="eastAsia" w:ascii="仿宋" w:hAnsi="仿宋" w:eastAsia="仿宋" w:cs="仿宋"/>
          <w:color w:val="000000" w:themeColor="text1"/>
          <w:sz w:val="32"/>
          <w:szCs w:val="32"/>
          <w:highlight w:val="none"/>
          <w14:textFill>
            <w14:solidFill>
              <w14:schemeClr w14:val="tx1"/>
            </w14:solidFill>
          </w14:textFill>
        </w:rPr>
        <w:t>主要用于</w:t>
      </w:r>
      <w:r>
        <w:rPr>
          <w:rFonts w:hint="eastAsia" w:ascii="仿宋" w:hAnsi="仿宋" w:eastAsia="仿宋" w:cs="仿宋"/>
          <w:color w:val="000000" w:themeColor="text1"/>
          <w:sz w:val="32"/>
          <w:szCs w:val="32"/>
          <w:highlight w:val="none"/>
          <w:lang w:eastAsia="zh-CN"/>
          <w14:textFill>
            <w14:solidFill>
              <w14:schemeClr w14:val="tx1"/>
            </w14:solidFill>
          </w14:textFill>
        </w:rPr>
        <w:t>：初中教育</w:t>
      </w:r>
      <w:r>
        <w:rPr>
          <w:rFonts w:hint="eastAsia" w:ascii="仿宋" w:hAnsi="仿宋" w:eastAsia="仿宋" w:cs="仿宋"/>
          <w:color w:val="000000" w:themeColor="text1"/>
          <w:sz w:val="32"/>
          <w:szCs w:val="32"/>
          <w:highlight w:val="none"/>
          <w:lang w:val="en-US" w:eastAsia="zh-CN"/>
          <w14:textFill>
            <w14:solidFill>
              <w14:schemeClr w14:val="tx1"/>
            </w14:solidFill>
          </w14:textFill>
        </w:rPr>
        <w:t>1732.18万元；其他普通教育支出15.18万元。</w:t>
      </w:r>
      <w:r>
        <w:rPr>
          <w:rFonts w:hint="eastAsia" w:ascii="仿宋" w:hAnsi="仿宋" w:eastAsia="仿宋" w:cs="仿宋"/>
          <w:sz w:val="32"/>
          <w:szCs w:val="32"/>
          <w:highlight w:val="none"/>
        </w:rPr>
        <w:t>较2021年度决算数</w:t>
      </w:r>
      <w:r>
        <w:rPr>
          <w:rFonts w:hint="eastAsia" w:ascii="仿宋" w:hAnsi="仿宋" w:eastAsia="仿宋" w:cs="仿宋"/>
          <w:sz w:val="32"/>
          <w:szCs w:val="32"/>
          <w:highlight w:val="none"/>
          <w:lang w:bidi="ar"/>
        </w:rPr>
        <w:t>增加216.98</w:t>
      </w:r>
      <w:r>
        <w:rPr>
          <w:rFonts w:hint="eastAsia" w:ascii="仿宋" w:hAnsi="仿宋" w:eastAsia="仿宋" w:cs="仿宋"/>
          <w:sz w:val="32"/>
          <w:szCs w:val="32"/>
          <w:highlight w:val="none"/>
        </w:rPr>
        <w:t>万元，</w:t>
      </w:r>
      <w:r>
        <w:rPr>
          <w:rFonts w:hint="eastAsia" w:ascii="仿宋" w:hAnsi="仿宋" w:eastAsia="仿宋" w:cs="仿宋"/>
          <w:sz w:val="32"/>
          <w:szCs w:val="32"/>
          <w:highlight w:val="none"/>
          <w:lang w:bidi="ar"/>
        </w:rPr>
        <w:t>增长14.18%</w:t>
      </w:r>
      <w:r>
        <w:rPr>
          <w:rFonts w:hint="eastAsia" w:ascii="仿宋" w:hAnsi="仿宋" w:eastAsia="仿宋" w:cs="仿宋"/>
          <w:sz w:val="32"/>
          <w:szCs w:val="32"/>
          <w:highlight w:val="none"/>
        </w:rPr>
        <w:t>，</w:t>
      </w:r>
      <w:r>
        <w:rPr>
          <w:rFonts w:hint="eastAsia" w:ascii="仿宋" w:hAnsi="仿宋" w:eastAsia="仿宋" w:cs="仿宋"/>
          <w:color w:val="000000" w:themeColor="text1"/>
          <w:kern w:val="2"/>
          <w:sz w:val="32"/>
          <w:szCs w:val="32"/>
          <w:highlight w:val="none"/>
          <w:lang w:val="en-US" w:eastAsia="zh-CN" w:bidi="ar"/>
          <w14:textFill>
            <w14:solidFill>
              <w14:schemeClr w14:val="tx1"/>
            </w14:solidFill>
          </w14:textFill>
        </w:rPr>
        <w:t>主要原因是：学生数增多，学生班级增加，教师调入增加，所以支出数增加。</w:t>
      </w:r>
    </w:p>
    <w:p>
      <w:pPr>
        <w:keepNext w:val="0"/>
        <w:keepLines w:val="0"/>
        <w:widowControl w:val="0"/>
        <w:suppressLineNumbers w:val="0"/>
        <w:spacing w:before="0" w:beforeAutospacing="0" w:after="0" w:afterAutospacing="0"/>
        <w:ind w:left="0" w:right="0" w:firstLine="640" w:firstLineChars="200"/>
        <w:jc w:val="left"/>
        <w:rPr>
          <w:rFonts w:hint="eastAsia" w:ascii="仿宋" w:hAnsi="仿宋" w:eastAsia="仿宋" w:cs="仿宋"/>
          <w:color w:val="000000" w:themeColor="text1"/>
          <w:kern w:val="2"/>
          <w:sz w:val="32"/>
          <w:szCs w:val="32"/>
          <w:highlight w:val="none"/>
          <w:lang w:val="en-US" w:eastAsia="zh-CN" w:bidi="ar"/>
          <w14:textFill>
            <w14:solidFill>
              <w14:schemeClr w14:val="tx1"/>
            </w14:solidFill>
          </w14:textFill>
        </w:rPr>
      </w:pPr>
      <w:r>
        <w:rPr>
          <w:rFonts w:hint="eastAsia" w:ascii="仿宋" w:hAnsi="仿宋" w:eastAsia="仿宋" w:cs="仿宋"/>
          <w:sz w:val="32"/>
          <w:szCs w:val="32"/>
          <w:highlight w:val="none"/>
        </w:rPr>
        <w:t>3</w:t>
      </w:r>
      <w:r>
        <w:rPr>
          <w:rFonts w:ascii="仿宋" w:hAnsi="仿宋" w:eastAsia="仿宋" w:cs="仿宋"/>
          <w:sz w:val="32"/>
          <w:u w:color="auto"/>
        </w:rPr>
        <w:t>.</w:t>
      </w:r>
      <w:r>
        <w:rPr>
          <w:rFonts w:hint="eastAsia" w:ascii="仿宋" w:hAnsi="仿宋" w:eastAsia="仿宋" w:cs="仿宋"/>
          <w:sz w:val="32"/>
          <w:szCs w:val="32"/>
          <w:highlight w:val="none"/>
          <w:lang w:bidi="ar"/>
        </w:rPr>
        <w:t>社会保障和就业支出</w:t>
      </w:r>
      <w:r>
        <w:rPr>
          <w:rFonts w:hint="eastAsia" w:ascii="仿宋" w:hAnsi="仿宋" w:eastAsia="仿宋" w:cs="仿宋"/>
          <w:sz w:val="32"/>
          <w:szCs w:val="32"/>
          <w:highlight w:val="none"/>
        </w:rPr>
        <w:t>（</w:t>
      </w:r>
      <w:r>
        <w:rPr>
          <w:rFonts w:hint="eastAsia" w:ascii="仿宋" w:hAnsi="仿宋" w:eastAsia="仿宋" w:cs="仿宋"/>
          <w:sz w:val="32"/>
          <w:szCs w:val="32"/>
          <w:highlight w:val="none"/>
          <w:lang w:bidi="ar"/>
        </w:rPr>
        <w:t>208</w:t>
      </w:r>
      <w:r>
        <w:rPr>
          <w:rFonts w:ascii="Calibri" w:hAnsi="Calibri" w:eastAsia="宋体" w:cs="Times New Roman"/>
          <w:highlight w:val="none"/>
          <w:lang w:bidi="ar"/>
        </w:rPr>
        <w:t xml:space="preserve"> </w:t>
      </w:r>
      <w:r>
        <w:rPr>
          <w:rFonts w:hint="eastAsia" w:ascii="仿宋" w:hAnsi="仿宋" w:eastAsia="仿宋" w:cs="仿宋"/>
          <w:sz w:val="32"/>
          <w:szCs w:val="32"/>
          <w:highlight w:val="none"/>
        </w:rPr>
        <w:t>类）</w:t>
      </w:r>
      <w:r>
        <w:rPr>
          <w:rFonts w:hint="eastAsia" w:ascii="仿宋" w:hAnsi="仿宋" w:eastAsia="仿宋" w:cs="仿宋"/>
          <w:sz w:val="32"/>
          <w:szCs w:val="32"/>
          <w:highlight w:val="none"/>
          <w:lang w:bidi="ar"/>
        </w:rPr>
        <w:t>140.66</w:t>
      </w:r>
      <w:r>
        <w:rPr>
          <w:rFonts w:hint="eastAsia" w:ascii="仿宋" w:hAnsi="仿宋" w:eastAsia="仿宋" w:cs="仿宋"/>
          <w:sz w:val="32"/>
          <w:szCs w:val="32"/>
          <w:highlight w:val="none"/>
        </w:rPr>
        <w:t>万元：</w:t>
      </w:r>
      <w:r>
        <w:rPr>
          <w:rFonts w:hint="eastAsia" w:ascii="仿宋" w:hAnsi="仿宋" w:eastAsia="仿宋" w:cs="仿宋"/>
          <w:color w:val="000000" w:themeColor="text1"/>
          <w:sz w:val="32"/>
          <w:szCs w:val="32"/>
          <w:highlight w:val="none"/>
          <w14:textFill>
            <w14:solidFill>
              <w14:schemeClr w14:val="tx1"/>
            </w14:solidFill>
          </w14:textFill>
        </w:rPr>
        <w:t>主要用于</w:t>
      </w:r>
      <w:r>
        <w:rPr>
          <w:rFonts w:hint="eastAsia" w:ascii="仿宋" w:hAnsi="仿宋" w:eastAsia="仿宋" w:cs="仿宋"/>
          <w:color w:val="000000" w:themeColor="text1"/>
          <w:sz w:val="32"/>
          <w:szCs w:val="32"/>
          <w:highlight w:val="none"/>
          <w:lang w:eastAsia="zh-CN"/>
          <w14:textFill>
            <w14:solidFill>
              <w14:schemeClr w14:val="tx1"/>
            </w14:solidFill>
          </w14:textFill>
        </w:rPr>
        <w:t>：</w:t>
      </w:r>
      <w:r>
        <w:rPr>
          <w:rFonts w:hint="eastAsia" w:ascii="仿宋" w:hAnsi="仿宋" w:eastAsia="仿宋" w:cs="仿宋"/>
          <w:color w:val="000000" w:themeColor="text1"/>
          <w:sz w:val="32"/>
          <w:szCs w:val="32"/>
          <w:highlight w:val="none"/>
          <w:lang w:val="en-US" w:eastAsia="zh-CN"/>
          <w14:textFill>
            <w14:solidFill>
              <w14:schemeClr w14:val="tx1"/>
            </w14:solidFill>
          </w14:textFill>
        </w:rPr>
        <w:t>缴纳教职工的养老保险金的单位部分</w:t>
      </w:r>
      <w:r>
        <w:rPr>
          <w:rFonts w:hint="eastAsia" w:ascii="仿宋" w:hAnsi="仿宋" w:eastAsia="仿宋" w:cs="仿宋"/>
          <w:sz w:val="32"/>
          <w:szCs w:val="32"/>
          <w:highlight w:val="none"/>
        </w:rPr>
        <w:t>。较2021年度决算数</w:t>
      </w:r>
      <w:r>
        <w:rPr>
          <w:rFonts w:hint="eastAsia" w:ascii="仿宋" w:hAnsi="仿宋" w:eastAsia="仿宋" w:cs="仿宋"/>
          <w:sz w:val="32"/>
          <w:szCs w:val="32"/>
          <w:highlight w:val="none"/>
          <w:lang w:bidi="ar"/>
        </w:rPr>
        <w:t>增加15.63</w:t>
      </w:r>
      <w:r>
        <w:rPr>
          <w:rFonts w:hint="eastAsia" w:ascii="仿宋" w:hAnsi="仿宋" w:eastAsia="仿宋" w:cs="仿宋"/>
          <w:sz w:val="32"/>
          <w:szCs w:val="32"/>
          <w:highlight w:val="none"/>
        </w:rPr>
        <w:t>万元，</w:t>
      </w:r>
      <w:r>
        <w:rPr>
          <w:rFonts w:hint="eastAsia" w:ascii="仿宋" w:hAnsi="仿宋" w:eastAsia="仿宋" w:cs="仿宋"/>
          <w:sz w:val="32"/>
          <w:szCs w:val="32"/>
          <w:highlight w:val="none"/>
          <w:lang w:bidi="ar"/>
        </w:rPr>
        <w:t>增长12.50%</w:t>
      </w:r>
      <w:r>
        <w:rPr>
          <w:rFonts w:hint="eastAsia" w:ascii="仿宋" w:hAnsi="仿宋" w:eastAsia="仿宋" w:cs="仿宋"/>
          <w:sz w:val="32"/>
          <w:szCs w:val="32"/>
          <w:highlight w:val="none"/>
        </w:rPr>
        <w:t>，</w:t>
      </w:r>
      <w:r>
        <w:rPr>
          <w:rFonts w:hint="eastAsia" w:ascii="仿宋" w:hAnsi="仿宋" w:eastAsia="仿宋" w:cs="仿宋"/>
          <w:color w:val="000000" w:themeColor="text1"/>
          <w:kern w:val="2"/>
          <w:sz w:val="32"/>
          <w:szCs w:val="32"/>
          <w:highlight w:val="none"/>
          <w:lang w:val="en-US" w:eastAsia="zh-CN" w:bidi="ar"/>
          <w14:textFill>
            <w14:solidFill>
              <w14:schemeClr w14:val="tx1"/>
            </w14:solidFill>
          </w14:textFill>
        </w:rPr>
        <w:t>主要原因是：教师调入，人数增加，所以支出增加。</w:t>
      </w:r>
    </w:p>
    <w:p>
      <w:pPr>
        <w:keepNext w:val="0"/>
        <w:keepLines w:val="0"/>
        <w:widowControl w:val="0"/>
        <w:suppressLineNumbers w:val="0"/>
        <w:spacing w:before="0" w:beforeAutospacing="0" w:after="0" w:afterAutospacing="0"/>
        <w:ind w:left="0" w:right="0" w:firstLine="640" w:firstLineChars="200"/>
        <w:jc w:val="left"/>
        <w:rPr>
          <w:rFonts w:hint="eastAsia" w:ascii="仿宋" w:hAnsi="仿宋" w:eastAsia="仿宋" w:cs="仿宋"/>
          <w:color w:val="000000" w:themeColor="text1"/>
          <w:kern w:val="2"/>
          <w:sz w:val="32"/>
          <w:szCs w:val="32"/>
          <w:highlight w:val="none"/>
          <w:lang w:val="en-US" w:eastAsia="zh-CN" w:bidi="ar"/>
          <w14:textFill>
            <w14:solidFill>
              <w14:schemeClr w14:val="tx1"/>
            </w14:solidFill>
          </w14:textFill>
        </w:rPr>
      </w:pPr>
      <w:r>
        <w:rPr>
          <w:rFonts w:hint="eastAsia" w:ascii="仿宋" w:hAnsi="仿宋" w:eastAsia="仿宋" w:cs="仿宋"/>
          <w:sz w:val="32"/>
          <w:szCs w:val="32"/>
          <w:highlight w:val="none"/>
        </w:rPr>
        <w:t>4</w:t>
      </w:r>
      <w:r>
        <w:rPr>
          <w:rFonts w:ascii="仿宋" w:hAnsi="仿宋" w:eastAsia="仿宋" w:cs="仿宋"/>
          <w:sz w:val="32"/>
          <w:u w:color="auto"/>
        </w:rPr>
        <w:t>.</w:t>
      </w:r>
      <w:r>
        <w:rPr>
          <w:rFonts w:hint="eastAsia" w:ascii="仿宋" w:hAnsi="仿宋" w:eastAsia="仿宋" w:cs="仿宋"/>
          <w:sz w:val="32"/>
          <w:szCs w:val="32"/>
          <w:highlight w:val="none"/>
          <w:lang w:bidi="ar"/>
        </w:rPr>
        <w:t>住房保障支出</w:t>
      </w:r>
      <w:r>
        <w:rPr>
          <w:rFonts w:hint="eastAsia" w:ascii="仿宋" w:hAnsi="仿宋" w:eastAsia="仿宋" w:cs="仿宋"/>
          <w:sz w:val="32"/>
          <w:szCs w:val="32"/>
          <w:highlight w:val="none"/>
        </w:rPr>
        <w:t>（</w:t>
      </w:r>
      <w:r>
        <w:rPr>
          <w:rFonts w:hint="eastAsia" w:ascii="仿宋" w:hAnsi="仿宋" w:eastAsia="仿宋" w:cs="仿宋"/>
          <w:sz w:val="32"/>
          <w:szCs w:val="32"/>
          <w:highlight w:val="none"/>
          <w:lang w:bidi="ar"/>
        </w:rPr>
        <w:t>221</w:t>
      </w:r>
      <w:r>
        <w:rPr>
          <w:rFonts w:ascii="Calibri" w:hAnsi="Calibri" w:eastAsia="宋体" w:cs="Times New Roman"/>
          <w:highlight w:val="none"/>
          <w:lang w:bidi="ar"/>
        </w:rPr>
        <w:t xml:space="preserve"> </w:t>
      </w:r>
      <w:r>
        <w:rPr>
          <w:rFonts w:hint="eastAsia" w:ascii="仿宋" w:hAnsi="仿宋" w:eastAsia="仿宋" w:cs="仿宋"/>
          <w:sz w:val="32"/>
          <w:szCs w:val="32"/>
          <w:highlight w:val="none"/>
        </w:rPr>
        <w:t>类）</w:t>
      </w:r>
      <w:r>
        <w:rPr>
          <w:rFonts w:hint="eastAsia" w:ascii="仿宋" w:hAnsi="仿宋" w:eastAsia="仿宋" w:cs="仿宋"/>
          <w:sz w:val="32"/>
          <w:szCs w:val="32"/>
          <w:highlight w:val="none"/>
          <w:lang w:bidi="ar"/>
        </w:rPr>
        <w:t>106.46</w:t>
      </w:r>
      <w:r>
        <w:rPr>
          <w:rFonts w:hint="eastAsia" w:ascii="仿宋" w:hAnsi="仿宋" w:eastAsia="仿宋" w:cs="仿宋"/>
          <w:sz w:val="32"/>
          <w:szCs w:val="32"/>
          <w:highlight w:val="none"/>
        </w:rPr>
        <w:t>万元：</w:t>
      </w:r>
      <w:r>
        <w:rPr>
          <w:rFonts w:hint="eastAsia" w:ascii="仿宋" w:hAnsi="仿宋" w:eastAsia="仿宋" w:cs="仿宋"/>
          <w:color w:val="000000" w:themeColor="text1"/>
          <w:sz w:val="32"/>
          <w:szCs w:val="32"/>
          <w:highlight w:val="none"/>
          <w14:textFill>
            <w14:solidFill>
              <w14:schemeClr w14:val="tx1"/>
            </w14:solidFill>
          </w14:textFill>
        </w:rPr>
        <w:t>主要用于</w:t>
      </w:r>
      <w:r>
        <w:rPr>
          <w:rFonts w:hint="eastAsia" w:ascii="仿宋" w:hAnsi="仿宋" w:eastAsia="仿宋" w:cs="仿宋"/>
          <w:color w:val="000000" w:themeColor="text1"/>
          <w:sz w:val="32"/>
          <w:szCs w:val="32"/>
          <w:highlight w:val="none"/>
          <w:lang w:eastAsia="zh-CN"/>
          <w14:textFill>
            <w14:solidFill>
              <w14:schemeClr w14:val="tx1"/>
            </w14:solidFill>
          </w14:textFill>
        </w:rPr>
        <w:t>：</w:t>
      </w:r>
      <w:r>
        <w:rPr>
          <w:rFonts w:hint="eastAsia" w:ascii="仿宋" w:hAnsi="仿宋" w:eastAsia="仿宋" w:cs="仿宋"/>
          <w:color w:val="000000" w:themeColor="text1"/>
          <w:sz w:val="32"/>
          <w:szCs w:val="32"/>
          <w:highlight w:val="none"/>
          <w:lang w:val="en-US" w:eastAsia="zh-CN"/>
          <w14:textFill>
            <w14:solidFill>
              <w14:schemeClr w14:val="tx1"/>
            </w14:solidFill>
          </w14:textFill>
        </w:rPr>
        <w:t>缴纳学校教职工的住房公积金单位部分</w:t>
      </w:r>
      <w:r>
        <w:rPr>
          <w:rFonts w:hint="eastAsia" w:ascii="仿宋" w:hAnsi="仿宋" w:eastAsia="仿宋" w:cs="仿宋"/>
          <w:color w:val="000000" w:themeColor="text1"/>
          <w:sz w:val="32"/>
          <w:szCs w:val="32"/>
          <w:highlight w:val="none"/>
          <w14:textFill>
            <w14:solidFill>
              <w14:schemeClr w14:val="tx1"/>
            </w14:solidFill>
          </w14:textFill>
        </w:rPr>
        <w:t>。</w:t>
      </w:r>
      <w:r>
        <w:rPr>
          <w:rFonts w:hint="eastAsia" w:ascii="仿宋" w:hAnsi="仿宋" w:eastAsia="仿宋" w:cs="仿宋"/>
          <w:sz w:val="32"/>
          <w:szCs w:val="32"/>
          <w:highlight w:val="none"/>
        </w:rPr>
        <w:t>较2021年度决算数</w:t>
      </w:r>
      <w:r>
        <w:rPr>
          <w:rFonts w:hint="eastAsia" w:ascii="仿宋" w:hAnsi="仿宋" w:eastAsia="仿宋" w:cs="仿宋"/>
          <w:sz w:val="32"/>
          <w:szCs w:val="32"/>
          <w:highlight w:val="none"/>
          <w:lang w:bidi="ar"/>
        </w:rPr>
        <w:t>增加40.58</w:t>
      </w:r>
      <w:r>
        <w:rPr>
          <w:rFonts w:hint="eastAsia" w:ascii="仿宋" w:hAnsi="仿宋" w:eastAsia="仿宋" w:cs="仿宋"/>
          <w:sz w:val="32"/>
          <w:szCs w:val="32"/>
          <w:highlight w:val="none"/>
        </w:rPr>
        <w:t>万元，</w:t>
      </w:r>
      <w:r>
        <w:rPr>
          <w:rFonts w:hint="eastAsia" w:ascii="仿宋" w:hAnsi="仿宋" w:eastAsia="仿宋" w:cs="仿宋"/>
          <w:sz w:val="32"/>
          <w:szCs w:val="32"/>
          <w:highlight w:val="none"/>
          <w:lang w:bidi="ar"/>
        </w:rPr>
        <w:t>增长61.60%</w:t>
      </w:r>
      <w:r>
        <w:rPr>
          <w:rFonts w:hint="eastAsia" w:ascii="仿宋" w:hAnsi="仿宋" w:eastAsia="仿宋" w:cs="仿宋"/>
          <w:sz w:val="32"/>
          <w:szCs w:val="32"/>
          <w:highlight w:val="none"/>
        </w:rPr>
        <w:t>，</w:t>
      </w:r>
      <w:r>
        <w:rPr>
          <w:rFonts w:hint="eastAsia" w:ascii="仿宋" w:hAnsi="仿宋" w:eastAsia="仿宋" w:cs="仿宋"/>
          <w:color w:val="000000" w:themeColor="text1"/>
          <w:kern w:val="2"/>
          <w:sz w:val="32"/>
          <w:szCs w:val="32"/>
          <w:highlight w:val="none"/>
          <w:lang w:val="en-US" w:eastAsia="zh-CN" w:bidi="ar"/>
          <w14:textFill>
            <w14:solidFill>
              <w14:schemeClr w14:val="tx1"/>
            </w14:solidFill>
          </w14:textFill>
        </w:rPr>
        <w:t>主要原因是：教师调入，人数增加，所以支出增加。</w:t>
      </w:r>
    </w:p>
    <w:p>
      <w:pPr>
        <w:keepNext w:val="0"/>
        <w:keepLines w:val="0"/>
        <w:widowControl w:val="0"/>
        <w:suppressLineNumbers w:val="0"/>
        <w:spacing w:before="0" w:beforeAutospacing="0" w:after="0" w:afterAutospacing="0"/>
        <w:ind w:left="0" w:right="0" w:firstLine="640" w:firstLineChars="200"/>
        <w:jc w:val="left"/>
        <w:rPr>
          <w:rFonts w:hint="eastAsia" w:ascii="仿宋" w:hAnsi="仿宋" w:eastAsia="仿宋" w:cs="仿宋"/>
          <w:sz w:val="32"/>
          <w:szCs w:val="32"/>
          <w:highlight w:val="none"/>
          <w:lang w:val="en-US"/>
        </w:rPr>
      </w:pPr>
      <w:r>
        <w:rPr>
          <w:rFonts w:hint="eastAsia" w:ascii="仿宋" w:hAnsi="仿宋" w:eastAsia="仿宋" w:cs="仿宋"/>
          <w:sz w:val="32"/>
          <w:szCs w:val="32"/>
          <w:highlight w:val="none"/>
        </w:rPr>
        <w:t>5</w:t>
      </w:r>
      <w:r>
        <w:rPr>
          <w:rFonts w:ascii="仿宋" w:hAnsi="仿宋" w:eastAsia="仿宋" w:cs="仿宋"/>
          <w:sz w:val="32"/>
          <w:u w:color="auto"/>
        </w:rPr>
        <w:t>.</w:t>
      </w:r>
      <w:r>
        <w:rPr>
          <w:rFonts w:hint="eastAsia" w:ascii="仿宋" w:hAnsi="仿宋" w:eastAsia="仿宋" w:cs="仿宋"/>
          <w:sz w:val="32"/>
          <w:szCs w:val="32"/>
          <w:highlight w:val="none"/>
          <w:lang w:bidi="ar"/>
        </w:rPr>
        <w:t>其他支出</w:t>
      </w:r>
      <w:r>
        <w:rPr>
          <w:rFonts w:hint="eastAsia" w:ascii="仿宋" w:hAnsi="仿宋" w:eastAsia="仿宋" w:cs="仿宋"/>
          <w:sz w:val="32"/>
          <w:szCs w:val="32"/>
          <w:highlight w:val="none"/>
        </w:rPr>
        <w:t>（</w:t>
      </w:r>
      <w:r>
        <w:rPr>
          <w:rFonts w:hint="eastAsia" w:ascii="仿宋" w:hAnsi="仿宋" w:eastAsia="仿宋" w:cs="仿宋"/>
          <w:sz w:val="32"/>
          <w:szCs w:val="32"/>
          <w:highlight w:val="none"/>
          <w:lang w:bidi="ar"/>
        </w:rPr>
        <w:t>229</w:t>
      </w:r>
      <w:r>
        <w:rPr>
          <w:rFonts w:ascii="Calibri" w:hAnsi="Calibri" w:eastAsia="宋体" w:cs="Times New Roman"/>
          <w:highlight w:val="none"/>
          <w:lang w:bidi="ar"/>
        </w:rPr>
        <w:t xml:space="preserve"> </w:t>
      </w:r>
      <w:r>
        <w:rPr>
          <w:rFonts w:hint="eastAsia" w:ascii="仿宋" w:hAnsi="仿宋" w:eastAsia="仿宋" w:cs="仿宋"/>
          <w:sz w:val="32"/>
          <w:szCs w:val="32"/>
          <w:highlight w:val="none"/>
        </w:rPr>
        <w:t>类）</w:t>
      </w:r>
      <w:r>
        <w:rPr>
          <w:rFonts w:hint="eastAsia" w:ascii="仿宋" w:hAnsi="仿宋" w:eastAsia="仿宋" w:cs="仿宋"/>
          <w:sz w:val="32"/>
          <w:szCs w:val="32"/>
          <w:highlight w:val="none"/>
          <w:lang w:bidi="ar"/>
        </w:rPr>
        <w:t>183.12</w:t>
      </w:r>
      <w:r>
        <w:rPr>
          <w:rFonts w:hint="eastAsia" w:ascii="仿宋" w:hAnsi="仿宋" w:eastAsia="仿宋" w:cs="仿宋"/>
          <w:sz w:val="32"/>
          <w:szCs w:val="32"/>
          <w:highlight w:val="none"/>
        </w:rPr>
        <w:t>万元：</w:t>
      </w:r>
      <w:r>
        <w:rPr>
          <w:rFonts w:hint="eastAsia" w:ascii="仿宋" w:hAnsi="仿宋" w:eastAsia="仿宋" w:cs="仿宋"/>
          <w:color w:val="000000" w:themeColor="text1"/>
          <w:sz w:val="32"/>
          <w:szCs w:val="32"/>
          <w:highlight w:val="none"/>
          <w14:textFill>
            <w14:solidFill>
              <w14:schemeClr w14:val="tx1"/>
            </w14:solidFill>
          </w14:textFill>
        </w:rPr>
        <w:t>主要用于</w:t>
      </w:r>
      <w:r>
        <w:rPr>
          <w:rFonts w:hint="eastAsia" w:ascii="仿宋" w:hAnsi="仿宋" w:eastAsia="仿宋" w:cs="仿宋"/>
          <w:color w:val="000000" w:themeColor="text1"/>
          <w:sz w:val="32"/>
          <w:szCs w:val="32"/>
          <w:highlight w:val="none"/>
          <w:lang w:eastAsia="zh-CN"/>
          <w14:textFill>
            <w14:solidFill>
              <w14:schemeClr w14:val="tx1"/>
            </w14:solidFill>
          </w14:textFill>
        </w:rPr>
        <w:t>：</w:t>
      </w:r>
      <w:r>
        <w:rPr>
          <w:rFonts w:hint="eastAsia" w:ascii="仿宋" w:hAnsi="仿宋" w:eastAsia="仿宋" w:cs="仿宋"/>
          <w:color w:val="000000" w:themeColor="text1"/>
          <w:sz w:val="32"/>
          <w:szCs w:val="32"/>
          <w:highlight w:val="none"/>
          <w:lang w:val="en-US" w:eastAsia="zh-CN"/>
          <w14:textFill>
            <w14:solidFill>
              <w14:schemeClr w14:val="tx1"/>
            </w14:solidFill>
          </w14:textFill>
        </w:rPr>
        <w:t>发放教职工的绩效考评奖励金</w:t>
      </w:r>
      <w:r>
        <w:rPr>
          <w:rFonts w:hint="eastAsia" w:ascii="仿宋" w:hAnsi="仿宋" w:eastAsia="仿宋" w:cs="仿宋"/>
          <w:sz w:val="32"/>
          <w:szCs w:val="32"/>
          <w:highlight w:val="none"/>
        </w:rPr>
        <w:t>。较2021年度决算数</w:t>
      </w:r>
      <w:r>
        <w:rPr>
          <w:rFonts w:hint="eastAsia" w:ascii="仿宋" w:hAnsi="仿宋" w:eastAsia="仿宋" w:cs="仿宋"/>
          <w:sz w:val="32"/>
          <w:szCs w:val="32"/>
          <w:highlight w:val="none"/>
          <w:lang w:bidi="ar"/>
        </w:rPr>
        <w:t>减少6.42</w:t>
      </w:r>
      <w:r>
        <w:rPr>
          <w:rFonts w:hint="eastAsia" w:ascii="仿宋" w:hAnsi="仿宋" w:eastAsia="仿宋" w:cs="仿宋"/>
          <w:sz w:val="32"/>
          <w:szCs w:val="32"/>
          <w:highlight w:val="none"/>
        </w:rPr>
        <w:t>万元，</w:t>
      </w:r>
      <w:r>
        <w:rPr>
          <w:rFonts w:hint="eastAsia" w:ascii="仿宋" w:hAnsi="仿宋" w:eastAsia="仿宋" w:cs="仿宋"/>
          <w:sz w:val="32"/>
          <w:szCs w:val="32"/>
          <w:highlight w:val="none"/>
          <w:lang w:bidi="ar"/>
        </w:rPr>
        <w:t>下降3.39%</w:t>
      </w:r>
      <w:r>
        <w:rPr>
          <w:rFonts w:hint="eastAsia" w:ascii="仿宋" w:hAnsi="仿宋" w:eastAsia="仿宋" w:cs="仿宋"/>
          <w:sz w:val="32"/>
          <w:szCs w:val="32"/>
          <w:highlight w:val="none"/>
        </w:rPr>
        <w:t>，</w:t>
      </w:r>
      <w:r>
        <w:rPr>
          <w:rFonts w:hint="eastAsia" w:ascii="仿宋" w:hAnsi="仿宋" w:eastAsia="仿宋" w:cs="仿宋"/>
          <w:color w:val="000000" w:themeColor="text1"/>
          <w:kern w:val="2"/>
          <w:sz w:val="32"/>
          <w:szCs w:val="32"/>
          <w:highlight w:val="none"/>
          <w:lang w:val="en-US" w:eastAsia="zh-CN" w:bidi="ar"/>
          <w14:textFill>
            <w14:solidFill>
              <w14:schemeClr w14:val="tx1"/>
            </w14:solidFill>
          </w14:textFill>
        </w:rPr>
        <w:t>主要原因是：部分绩效考评奖励金在2021年度预发和有部分到2023年度才清算发放。</w:t>
      </w:r>
    </w:p>
    <w:p>
      <w:pPr>
        <w:keepNext w:val="0"/>
        <w:keepLines w:val="0"/>
        <w:widowControl w:val="0"/>
        <w:suppressLineNumbers w:val="0"/>
        <w:spacing w:before="0" w:beforeAutospacing="0" w:after="0" w:afterAutospacing="0"/>
        <w:ind w:left="0" w:right="0" w:firstLine="620" w:firstLineChars="200"/>
        <w:jc w:val="left"/>
        <w:rPr>
          <w:rFonts w:hint="eastAsia" w:ascii="仿宋" w:hAnsi="仿宋" w:eastAsia="仿宋_GB2312" w:cs="仿宋"/>
          <w:sz w:val="32"/>
          <w:szCs w:val="32"/>
          <w:highlight w:val="none"/>
          <w:lang w:eastAsia="zh-CN" w:bidi="ar"/>
        </w:rPr>
      </w:pPr>
      <w:r>
        <w:rPr>
          <w:rFonts w:hint="default" w:ascii="仿宋_GB2312" w:hAnsi="微软雅黑" w:eastAsia="仿宋_GB2312" w:cs="仿宋_GB2312"/>
          <w:i w:val="0"/>
          <w:iCs w:val="0"/>
          <w:caps w:val="0"/>
          <w:color w:val="000000"/>
          <w:spacing w:val="0"/>
          <w:sz w:val="31"/>
          <w:szCs w:val="31"/>
          <w:highlight w:val="none"/>
          <w:shd w:val="clear" w:color="auto" w:fill="FFFFFF"/>
        </w:rPr>
        <w:t>结余分配</w:t>
      </w:r>
      <w:r>
        <w:rPr>
          <w:rFonts w:hint="eastAsia" w:ascii="仿宋_GB2312" w:hAnsi="微软雅黑" w:eastAsia="仿宋_GB2312" w:cs="仿宋_GB2312"/>
          <w:color w:val="000000"/>
          <w:sz w:val="31"/>
          <w:szCs w:val="31"/>
          <w:highlight w:val="none"/>
          <w:shd w:val="clear" w:color="auto" w:fill="FFFFFF"/>
        </w:rPr>
        <w:t>0.00</w:t>
      </w:r>
      <w:r>
        <w:rPr>
          <w:rFonts w:hint="default" w:ascii="仿宋_GB2312" w:hAnsi="微软雅黑" w:eastAsia="仿宋_GB2312" w:cs="仿宋_GB2312"/>
          <w:i w:val="0"/>
          <w:iCs w:val="0"/>
          <w:caps w:val="0"/>
          <w:color w:val="000000"/>
          <w:spacing w:val="0"/>
          <w:sz w:val="31"/>
          <w:szCs w:val="31"/>
          <w:highlight w:val="none"/>
          <w:shd w:val="clear" w:color="auto" w:fill="FFFFFF"/>
        </w:rPr>
        <w:t>万元，为事业单位按规定提取的专用结余、缴纳所得税和转入非财政拨款结余等。较202</w:t>
      </w:r>
      <w:r>
        <w:rPr>
          <w:rFonts w:hint="eastAsia" w:ascii="仿宋_GB2312" w:hAnsi="微软雅黑" w:eastAsia="仿宋_GB2312" w:cs="仿宋_GB2312"/>
          <w:i w:val="0"/>
          <w:iCs w:val="0"/>
          <w:caps w:val="0"/>
          <w:color w:val="000000"/>
          <w:spacing w:val="0"/>
          <w:sz w:val="31"/>
          <w:szCs w:val="31"/>
          <w:highlight w:val="none"/>
          <w:shd w:val="clear" w:color="auto" w:fill="FFFFFF"/>
          <w:lang w:val="en-US" w:eastAsia="zh-CN"/>
        </w:rPr>
        <w:t>1</w:t>
      </w:r>
      <w:r>
        <w:rPr>
          <w:rFonts w:hint="default" w:ascii="仿宋_GB2312" w:hAnsi="微软雅黑" w:eastAsia="仿宋_GB2312" w:cs="仿宋_GB2312"/>
          <w:i w:val="0"/>
          <w:iCs w:val="0"/>
          <w:caps w:val="0"/>
          <w:color w:val="000000"/>
          <w:spacing w:val="0"/>
          <w:sz w:val="31"/>
          <w:szCs w:val="31"/>
          <w:highlight w:val="none"/>
          <w:shd w:val="clear" w:color="auto" w:fill="FFFFFF"/>
        </w:rPr>
        <w:t>年决算</w:t>
      </w:r>
      <w:r>
        <w:rPr>
          <w:rFonts w:hint="eastAsia" w:ascii="仿宋_GB2312" w:hAnsi="微软雅黑" w:eastAsia="仿宋_GB2312" w:cs="仿宋_GB2312"/>
          <w:color w:val="000000"/>
          <w:sz w:val="31"/>
          <w:szCs w:val="31"/>
          <w:highlight w:val="none"/>
          <w:shd w:val="clear" w:color="auto" w:fill="FFFFFF"/>
        </w:rPr>
        <w:t>0.00</w:t>
      </w:r>
      <w:r>
        <w:rPr>
          <w:rFonts w:hint="default" w:ascii="仿宋_GB2312" w:hAnsi="微软雅黑" w:eastAsia="仿宋_GB2312" w:cs="仿宋_GB2312"/>
          <w:i w:val="0"/>
          <w:iCs w:val="0"/>
          <w:caps w:val="0"/>
          <w:color w:val="000000"/>
          <w:spacing w:val="0"/>
          <w:sz w:val="31"/>
          <w:szCs w:val="31"/>
          <w:highlight w:val="none"/>
          <w:shd w:val="clear" w:color="auto" w:fill="FFFFFF"/>
        </w:rPr>
        <w:t>万元</w:t>
      </w:r>
      <w:r>
        <w:rPr>
          <w:rFonts w:hint="eastAsia" w:ascii="仿宋_GB2312" w:hAnsi="微软雅黑" w:eastAsia="仿宋_GB2312" w:cs="仿宋_GB2312"/>
          <w:i w:val="0"/>
          <w:iCs w:val="0"/>
          <w:caps w:val="0"/>
          <w:color w:val="000000"/>
          <w:spacing w:val="0"/>
          <w:sz w:val="31"/>
          <w:szCs w:val="31"/>
          <w:highlight w:val="none"/>
          <w:shd w:val="clear" w:color="auto" w:fill="FFFFFF"/>
          <w:lang w:val="en-US" w:eastAsia="zh-CN"/>
        </w:rPr>
        <w:t>,</w:t>
      </w:r>
      <w:r>
        <w:rPr>
          <w:rFonts w:hint="eastAsia" w:ascii="仿宋_GB2312" w:hAnsi="微软雅黑" w:eastAsia="仿宋_GB2312" w:cs="仿宋_GB2312"/>
          <w:color w:val="000000"/>
          <w:sz w:val="31"/>
          <w:szCs w:val="31"/>
          <w:highlight w:val="none"/>
          <w:shd w:val="clear" w:color="auto" w:fill="FFFFFF"/>
        </w:rPr>
        <w:t>增加0.00</w:t>
      </w:r>
      <w:r>
        <w:rPr>
          <w:rFonts w:hint="default" w:ascii="仿宋_GB2312" w:hAnsi="微软雅黑" w:eastAsia="仿宋_GB2312" w:cs="仿宋_GB2312"/>
          <w:i w:val="0"/>
          <w:iCs w:val="0"/>
          <w:caps w:val="0"/>
          <w:color w:val="000000"/>
          <w:spacing w:val="0"/>
          <w:sz w:val="31"/>
          <w:szCs w:val="31"/>
          <w:highlight w:val="none"/>
          <w:shd w:val="clear" w:color="auto" w:fill="FFFFFF"/>
        </w:rPr>
        <w:t>万元，</w:t>
      </w:r>
      <w:r>
        <w:rPr>
          <w:rFonts w:hint="eastAsia" w:ascii="仿宋_GB2312" w:hAnsi="微软雅黑" w:eastAsia="仿宋_GB2312" w:cs="仿宋_GB2312"/>
          <w:color w:val="000000"/>
          <w:sz w:val="31"/>
          <w:szCs w:val="31"/>
          <w:highlight w:val="none"/>
          <w:shd w:val="clear" w:color="auto" w:fill="FFFFFF"/>
        </w:rPr>
        <w:t>增长0%</w:t>
      </w:r>
      <w:r>
        <w:rPr>
          <w:rFonts w:hint="default" w:ascii="仿宋_GB2312" w:hAnsi="微软雅黑" w:eastAsia="仿宋_GB2312" w:cs="仿宋_GB2312"/>
          <w:i w:val="0"/>
          <w:iCs w:val="0"/>
          <w:caps w:val="0"/>
          <w:color w:val="000000"/>
          <w:spacing w:val="0"/>
          <w:sz w:val="31"/>
          <w:szCs w:val="31"/>
          <w:highlight w:val="none"/>
          <w:shd w:val="clear" w:color="auto" w:fill="FFFFFF"/>
        </w:rPr>
        <w:t>，</w:t>
      </w:r>
      <w:r>
        <w:rPr>
          <w:rFonts w:hint="default" w:ascii="仿宋_GB2312" w:hAnsi="微软雅黑" w:eastAsia="仿宋_GB2312" w:cs="仿宋_GB2312"/>
          <w:i w:val="0"/>
          <w:iCs w:val="0"/>
          <w:caps w:val="0"/>
          <w:color w:val="000000" w:themeColor="text1"/>
          <w:spacing w:val="0"/>
          <w:sz w:val="31"/>
          <w:szCs w:val="31"/>
          <w:highlight w:val="none"/>
          <w:shd w:val="clear" w:color="auto" w:fill="FFFFFF"/>
          <w14:textFill>
            <w14:solidFill>
              <w14:schemeClr w14:val="tx1"/>
            </w14:solidFill>
          </w14:textFill>
        </w:rPr>
        <w:t>主要原因是</w:t>
      </w:r>
      <w:r>
        <w:rPr>
          <w:rFonts w:hint="eastAsia" w:ascii="仿宋" w:hAnsi="仿宋" w:eastAsia="仿宋" w:cs="仿宋"/>
          <w:color w:val="000000" w:themeColor="text1"/>
          <w:kern w:val="2"/>
          <w:sz w:val="32"/>
          <w:szCs w:val="32"/>
          <w:highlight w:val="none"/>
          <w:lang w:val="en-US" w:eastAsia="zh-CN" w:bidi="ar"/>
          <w14:textFill>
            <w14:solidFill>
              <w14:schemeClr w14:val="tx1"/>
            </w14:solidFill>
          </w14:textFill>
        </w:rPr>
        <w:t>：学校没有结余分配资金。</w:t>
      </w:r>
    </w:p>
    <w:p>
      <w:pPr>
        <w:keepNext w:val="0"/>
        <w:keepLines w:val="0"/>
        <w:widowControl w:val="0"/>
        <w:suppressLineNumbers w:val="0"/>
        <w:spacing w:before="0" w:beforeAutospacing="0" w:after="0" w:afterAutospacing="0"/>
        <w:ind w:left="0" w:right="0" w:firstLine="640" w:firstLineChars="200"/>
        <w:jc w:val="left"/>
        <w:rPr>
          <w:rFonts w:ascii="仿宋" w:hAnsi="仿宋" w:eastAsia="仿宋" w:cs="仿宋"/>
          <w:sz w:val="32"/>
          <w:szCs w:val="32"/>
          <w:highlight w:val="none"/>
        </w:rPr>
      </w:pPr>
      <w:r>
        <w:rPr>
          <w:rFonts w:hint="eastAsia" w:ascii="仿宋" w:hAnsi="仿宋" w:eastAsia="仿宋" w:cs="仿宋"/>
          <w:sz w:val="32"/>
          <w:szCs w:val="32"/>
          <w:highlight w:val="none"/>
        </w:rPr>
        <w:t>年末结转和结余</w:t>
      </w:r>
      <w:r>
        <w:rPr>
          <w:rFonts w:ascii="仿宋" w:hAnsi="仿宋" w:eastAsia="仿宋" w:cs="仿宋"/>
          <w:sz w:val="32"/>
          <w:u w:color="auto"/>
        </w:rPr>
        <w:t>0.00</w:t>
      </w:r>
      <w:r>
        <w:rPr>
          <w:rFonts w:hint="eastAsia" w:ascii="仿宋" w:hAnsi="仿宋" w:eastAsia="仿宋" w:cs="仿宋"/>
          <w:sz w:val="32"/>
          <w:szCs w:val="32"/>
          <w:highlight w:val="none"/>
        </w:rPr>
        <w:t>万元，</w:t>
      </w:r>
      <w:r>
        <w:rPr>
          <w:rFonts w:hint="eastAsia" w:ascii="仿宋" w:hAnsi="仿宋" w:eastAsia="仿宋" w:cs="仿宋"/>
          <w:color w:val="000000" w:themeColor="text1"/>
          <w:sz w:val="32"/>
          <w:szCs w:val="32"/>
          <w:highlight w:val="none"/>
          <w14:textFill>
            <w14:solidFill>
              <w14:schemeClr w14:val="tx1"/>
            </w14:solidFill>
          </w14:textFill>
        </w:rPr>
        <w:t>为本年度或以前年度预算安排、因客观条件发生变化无法按原计划实施，需要延迟到以后年度按有关规定继续使用的资金</w:t>
      </w:r>
      <w:r>
        <w:rPr>
          <w:rFonts w:hint="eastAsia" w:ascii="仿宋" w:hAnsi="仿宋" w:eastAsia="仿宋" w:cs="仿宋"/>
          <w:sz w:val="32"/>
          <w:szCs w:val="32"/>
          <w:highlight w:val="none"/>
        </w:rPr>
        <w:t>。较2021年度决算数</w:t>
      </w:r>
      <w:r>
        <w:rPr>
          <w:rFonts w:ascii="仿宋" w:hAnsi="仿宋" w:eastAsia="仿宋" w:cs="仿宋"/>
          <w:sz w:val="32"/>
          <w:u w:color="auto"/>
        </w:rPr>
        <w:t>增加0.00</w:t>
      </w:r>
      <w:r>
        <w:rPr>
          <w:rFonts w:hint="eastAsia" w:ascii="仿宋" w:hAnsi="仿宋" w:eastAsia="仿宋" w:cs="仿宋"/>
          <w:sz w:val="32"/>
          <w:szCs w:val="32"/>
          <w:highlight w:val="none"/>
        </w:rPr>
        <w:t>万元，</w:t>
      </w:r>
      <w:r>
        <w:rPr>
          <w:rFonts w:ascii="仿宋" w:hAnsi="仿宋" w:eastAsia="仿宋" w:cs="仿宋"/>
          <w:sz w:val="32"/>
          <w:u w:color="auto"/>
        </w:rPr>
        <w:t>增长0%</w:t>
      </w:r>
      <w:r>
        <w:rPr>
          <w:rFonts w:hint="eastAsia" w:ascii="仿宋" w:hAnsi="仿宋" w:eastAsia="仿宋" w:cs="仿宋"/>
          <w:sz w:val="32"/>
          <w:szCs w:val="32"/>
          <w:highlight w:val="none"/>
        </w:rPr>
        <w:t>，</w:t>
      </w:r>
      <w:r>
        <w:rPr>
          <w:rFonts w:hint="eastAsia" w:ascii="仿宋" w:hAnsi="仿宋" w:eastAsia="仿宋" w:cs="仿宋"/>
          <w:color w:val="000000" w:themeColor="text1"/>
          <w:kern w:val="2"/>
          <w:sz w:val="32"/>
          <w:szCs w:val="32"/>
          <w:highlight w:val="none"/>
          <w:lang w:val="en-US" w:eastAsia="zh-CN" w:bidi="ar"/>
          <w14:textFill>
            <w14:solidFill>
              <w14:schemeClr w14:val="tx1"/>
            </w14:solidFill>
          </w14:textFill>
        </w:rPr>
        <w:t>主要原因是：学校没有年末结转和结余资金。</w:t>
      </w:r>
    </w:p>
    <w:p>
      <w:pPr>
        <w:ind w:firstLine="640" w:firstLineChars="200"/>
        <w:jc w:val="center"/>
        <w:rPr>
          <w:rFonts w:ascii="仿宋" w:hAnsi="仿宋" w:eastAsia="仿宋" w:cs="仿宋"/>
          <w:sz w:val="32"/>
          <w:szCs w:val="32"/>
          <w:highlight w:val="none"/>
        </w:rPr>
      </w:pPr>
      <w:r>
        <w:rPr>
          <w:rFonts w:hint="eastAsia" w:ascii="仿宋" w:hAnsi="仿宋" w:eastAsia="仿宋" w:cs="仿宋"/>
          <w:sz w:val="32"/>
          <w:szCs w:val="32"/>
          <w:highlight w:val="none"/>
        </w:rPr>
        <w:drawing>
          <wp:inline distT="0" distB="0" distL="114300" distR="114300">
            <wp:extent cx="5080000" cy="3022600"/>
            <wp:effectExtent l="4445" t="4445" r="5715" b="5715"/>
            <wp:docPr id="3" name="图表 3" title="{{img_zcjs}}"/>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p>
      <w:pPr>
        <w:jc w:val="left"/>
        <w:rPr>
          <w:rFonts w:ascii="黑体" w:hAnsi="黑体" w:eastAsia="黑体" w:cs="黑体"/>
          <w:sz w:val="32"/>
          <w:szCs w:val="32"/>
          <w:highlight w:val="none"/>
        </w:rPr>
      </w:pPr>
      <w:r>
        <w:rPr>
          <w:rFonts w:hint="eastAsia" w:ascii="黑体" w:hAnsi="黑体" w:eastAsia="黑体" w:cs="黑体"/>
          <w:sz w:val="32"/>
          <w:szCs w:val="32"/>
          <w:highlight w:val="none"/>
        </w:rPr>
        <w:t>二、2022 年度</w:t>
      </w:r>
      <w:bookmarkStart w:id="2" w:name="OLE_LINK1"/>
      <w:r>
        <w:rPr>
          <w:rFonts w:hint="eastAsia" w:ascii="黑体" w:hAnsi="黑体" w:eastAsia="黑体" w:cs="黑体"/>
          <w:sz w:val="32"/>
          <w:szCs w:val="32"/>
          <w:highlight w:val="none"/>
        </w:rPr>
        <w:t>一般公共预算财政拨款支出决算情况</w:t>
      </w:r>
      <w:bookmarkEnd w:id="2"/>
    </w:p>
    <w:p>
      <w:pPr>
        <w:ind w:firstLine="640" w:firstLineChars="200"/>
        <w:jc w:val="left"/>
        <w:rPr>
          <w:rFonts w:ascii="仿宋" w:hAnsi="仿宋" w:eastAsia="仿宋" w:cs="仿宋"/>
          <w:sz w:val="32"/>
          <w:szCs w:val="32"/>
          <w:highlight w:val="none"/>
        </w:rPr>
      </w:pPr>
      <w:r>
        <w:rPr>
          <w:rFonts w:hint="eastAsia" w:ascii="仿宋" w:hAnsi="仿宋" w:eastAsia="仿宋" w:cs="仿宋"/>
          <w:sz w:val="32"/>
          <w:szCs w:val="32"/>
          <w:highlight w:val="none"/>
        </w:rPr>
        <w:t>环江毛南族自治县民族中学2022年度一般公共预算财政拨款支出</w:t>
      </w:r>
      <w:r>
        <w:rPr>
          <w:rFonts w:ascii="仿宋" w:hAnsi="仿宋" w:eastAsia="仿宋" w:cs="仿宋"/>
          <w:sz w:val="32"/>
          <w:u w:color="auto"/>
        </w:rPr>
        <w:t>2195.79</w:t>
      </w:r>
      <w:r>
        <w:rPr>
          <w:rFonts w:hint="eastAsia" w:ascii="仿宋" w:hAnsi="仿宋" w:eastAsia="仿宋" w:cs="仿宋"/>
          <w:sz w:val="32"/>
          <w:szCs w:val="32"/>
          <w:highlight w:val="none"/>
        </w:rPr>
        <w:t>万元，较2021年度决算数</w:t>
      </w:r>
      <w:r>
        <w:rPr>
          <w:rFonts w:ascii="仿宋" w:hAnsi="仿宋" w:eastAsia="仿宋" w:cs="仿宋"/>
          <w:sz w:val="32"/>
          <w:u w:color="auto"/>
        </w:rPr>
        <w:t>增加284.95</w:t>
      </w:r>
      <w:r>
        <w:rPr>
          <w:rFonts w:hint="eastAsia" w:ascii="仿宋" w:hAnsi="仿宋" w:eastAsia="仿宋" w:cs="仿宋"/>
          <w:sz w:val="32"/>
          <w:szCs w:val="32"/>
          <w:highlight w:val="none"/>
        </w:rPr>
        <w:t>万元，</w:t>
      </w:r>
      <w:r>
        <w:rPr>
          <w:rFonts w:ascii="仿宋" w:hAnsi="仿宋" w:eastAsia="仿宋" w:cs="仿宋"/>
          <w:sz w:val="32"/>
          <w:u w:color="auto"/>
        </w:rPr>
        <w:t>增长14.91%</w:t>
      </w:r>
      <w:r>
        <w:rPr>
          <w:rFonts w:hint="eastAsia" w:ascii="仿宋" w:hAnsi="仿宋" w:eastAsia="仿宋" w:cs="仿宋"/>
          <w:sz w:val="32"/>
          <w:szCs w:val="32"/>
          <w:highlight w:val="none"/>
        </w:rPr>
        <w:t>。其中：基本支出</w:t>
      </w:r>
      <w:r>
        <w:rPr>
          <w:rFonts w:ascii="仿宋" w:hAnsi="仿宋" w:eastAsia="仿宋" w:cs="仿宋"/>
          <w:sz w:val="32"/>
          <w:u w:color="auto"/>
        </w:rPr>
        <w:t>1894.29</w:t>
      </w:r>
      <w:r>
        <w:rPr>
          <w:rFonts w:hint="eastAsia" w:ascii="仿宋" w:hAnsi="仿宋" w:eastAsia="仿宋" w:cs="仿宋"/>
          <w:sz w:val="32"/>
          <w:szCs w:val="32"/>
          <w:highlight w:val="none"/>
        </w:rPr>
        <w:t>万元，项目支出</w:t>
      </w:r>
      <w:r>
        <w:rPr>
          <w:rFonts w:ascii="仿宋" w:hAnsi="仿宋" w:eastAsia="仿宋" w:cs="仿宋"/>
          <w:sz w:val="32"/>
          <w:u w:color="auto"/>
        </w:rPr>
        <w:t>301.50</w:t>
      </w:r>
      <w:r>
        <w:rPr>
          <w:rFonts w:hint="eastAsia" w:ascii="仿宋" w:hAnsi="仿宋" w:eastAsia="仿宋" w:cs="仿宋"/>
          <w:sz w:val="32"/>
          <w:szCs w:val="32"/>
          <w:highlight w:val="none"/>
        </w:rPr>
        <w:t>万元。</w:t>
      </w:r>
    </w:p>
    <w:p>
      <w:pPr>
        <w:ind w:firstLine="640" w:firstLineChars="200"/>
        <w:jc w:val="left"/>
        <w:rPr>
          <w:rFonts w:ascii="仿宋" w:hAnsi="仿宋" w:eastAsia="仿宋"/>
          <w:sz w:val="32"/>
          <w:szCs w:val="32"/>
          <w:highlight w:val="none"/>
        </w:rPr>
      </w:pPr>
      <w:r>
        <w:rPr>
          <w:rFonts w:hint="eastAsia" w:ascii="仿宋" w:hAnsi="仿宋" w:eastAsia="仿宋" w:cs="仿宋"/>
          <w:sz w:val="32"/>
          <w:szCs w:val="32"/>
          <w:highlight w:val="none"/>
        </w:rPr>
        <w:t>环江毛南族自治县民族中学2022 年度一般公共预算财政拨款支出年初预算为</w:t>
      </w:r>
      <w:r>
        <w:rPr>
          <w:rFonts w:ascii="仿宋" w:hAnsi="仿宋" w:eastAsia="仿宋" w:cs="仿宋"/>
          <w:sz w:val="32"/>
          <w:u w:color="auto"/>
        </w:rPr>
        <w:t>1206.34</w:t>
      </w:r>
      <w:r>
        <w:rPr>
          <w:rFonts w:hint="eastAsia" w:ascii="仿宋" w:hAnsi="仿宋" w:eastAsia="仿宋" w:cs="仿宋"/>
          <w:sz w:val="32"/>
          <w:szCs w:val="32"/>
          <w:highlight w:val="none"/>
        </w:rPr>
        <w:t>万元，支出决算为</w:t>
      </w:r>
      <w:r>
        <w:rPr>
          <w:rFonts w:ascii="仿宋" w:hAnsi="仿宋" w:eastAsia="仿宋" w:cs="仿宋"/>
          <w:sz w:val="32"/>
          <w:u w:color="auto"/>
        </w:rPr>
        <w:t>2195.79</w:t>
      </w:r>
      <w:r>
        <w:rPr>
          <w:rFonts w:hint="eastAsia" w:ascii="仿宋" w:hAnsi="仿宋" w:eastAsia="仿宋" w:cs="仿宋"/>
          <w:sz w:val="32"/>
          <w:szCs w:val="32"/>
          <w:highlight w:val="none"/>
        </w:rPr>
        <w:t>万元，完成年初预算的</w:t>
      </w:r>
      <w:r>
        <w:rPr>
          <w:rFonts w:ascii="仿宋" w:hAnsi="仿宋" w:eastAsia="仿宋" w:cs="仿宋"/>
          <w:sz w:val="32"/>
          <w:u w:color="auto"/>
        </w:rPr>
        <w:t>182.02%</w:t>
      </w:r>
      <w:r>
        <w:rPr>
          <w:rFonts w:hint="eastAsia" w:ascii="仿宋" w:hAnsi="仿宋" w:eastAsia="仿宋" w:cs="仿宋"/>
          <w:sz w:val="32"/>
          <w:szCs w:val="32"/>
          <w:highlight w:val="none"/>
        </w:rPr>
        <w:t>。</w:t>
      </w:r>
      <w:bookmarkStart w:id="3" w:name="OLE_LINK2"/>
      <w:bookmarkEnd w:id="3"/>
    </w:p>
    <w:p>
      <w:pPr>
        <w:keepNext w:val="0"/>
        <w:keepLines w:val="0"/>
        <w:widowControl w:val="0"/>
        <w:numPr>
          <w:ilvl w:val="0"/>
          <w:numId w:val="1"/>
        </w:numPr>
        <w:suppressLineNumbers w:val="0"/>
        <w:spacing w:before="0" w:beforeAutospacing="0" w:after="0" w:afterAutospacing="0"/>
        <w:ind w:left="0" w:leftChars="0" w:right="0" w:rightChars="0" w:firstLine="420" w:firstLineChars="0"/>
        <w:jc w:val="left"/>
        <w:rPr>
          <w:rFonts w:hint="eastAsia" w:eastAsia="仿宋"/>
          <w:color w:val="FF0000"/>
          <w:highlight w:val="none"/>
          <w:lang w:val="en-US" w:eastAsia="zh-CN"/>
        </w:rPr>
      </w:pPr>
      <w:r>
        <w:rPr>
          <w:rFonts w:hint="eastAsia" w:ascii="仿宋" w:hAnsi="仿宋" w:eastAsia="仿宋"/>
          <w:sz w:val="32"/>
          <w:szCs w:val="32"/>
          <w:highlight w:val="none"/>
        </w:rPr>
        <w:t>一般公共服务支出</w:t>
      </w:r>
      <w:r>
        <w:rPr>
          <w:rFonts w:ascii="仿宋" w:hAnsi="仿宋" w:eastAsia="仿宋"/>
          <w:sz w:val="32"/>
          <w:u w:color="auto"/>
        </w:rPr>
        <w:t>（201</w:t>
      </w:r>
      <w:r>
        <w:rPr>
          <w:rFonts w:hint="eastAsia" w:ascii="仿宋" w:hAnsi="仿宋" w:eastAsia="仿宋"/>
          <w:sz w:val="32"/>
          <w:szCs w:val="32"/>
          <w:highlight w:val="none"/>
        </w:rPr>
        <w:t>类）年初预算为</w:t>
      </w:r>
      <w:r>
        <w:rPr>
          <w:rFonts w:ascii="仿宋" w:hAnsi="仿宋" w:eastAsia="仿宋"/>
          <w:sz w:val="32"/>
          <w:szCs w:val="32"/>
          <w:highlight w:val="none"/>
        </w:rPr>
        <w:t>18.19</w:t>
      </w:r>
      <w:r>
        <w:rPr>
          <w:rFonts w:hint="eastAsia" w:ascii="仿宋" w:hAnsi="仿宋" w:eastAsia="仿宋"/>
          <w:sz w:val="32"/>
          <w:szCs w:val="32"/>
          <w:highlight w:val="none"/>
        </w:rPr>
        <w:t>万元，支出决算为</w:t>
      </w:r>
      <w:r>
        <w:rPr>
          <w:rFonts w:ascii="仿宋" w:hAnsi="仿宋" w:eastAsia="仿宋"/>
          <w:sz w:val="32"/>
          <w:szCs w:val="32"/>
          <w:highlight w:val="none"/>
        </w:rPr>
        <w:t>18.19</w:t>
      </w:r>
      <w:r>
        <w:rPr>
          <w:rFonts w:hint="eastAsia" w:ascii="仿宋" w:hAnsi="仿宋" w:eastAsia="仿宋"/>
          <w:sz w:val="32"/>
          <w:szCs w:val="32"/>
          <w:highlight w:val="none"/>
        </w:rPr>
        <w:t>万元，完成年初预算的</w:t>
      </w:r>
      <w:r>
        <w:rPr>
          <w:rFonts w:ascii="仿宋" w:hAnsi="仿宋" w:eastAsia="仿宋"/>
          <w:sz w:val="32"/>
          <w:szCs w:val="32"/>
          <w:highlight w:val="none"/>
        </w:rPr>
        <w:t>100.00%</w:t>
      </w:r>
      <w:r>
        <w:rPr>
          <w:rFonts w:hint="eastAsia" w:ascii="仿宋" w:hAnsi="仿宋" w:eastAsia="仿宋"/>
          <w:sz w:val="32"/>
          <w:szCs w:val="32"/>
          <w:highlight w:val="none"/>
        </w:rPr>
        <w:t>。</w:t>
      </w:r>
      <w:r>
        <w:rPr>
          <w:rFonts w:hint="eastAsia" w:ascii="仿宋" w:hAnsi="仿宋" w:eastAsia="仿宋"/>
          <w:color w:val="000000" w:themeColor="text1"/>
          <w:sz w:val="32"/>
          <w:szCs w:val="32"/>
          <w:highlight w:val="none"/>
          <w14:textFill>
            <w14:solidFill>
              <w14:schemeClr w14:val="tx1"/>
            </w14:solidFill>
          </w14:textFill>
        </w:rPr>
        <w:t>预决算</w:t>
      </w:r>
      <w:r>
        <w:rPr>
          <w:rFonts w:hint="eastAsia" w:ascii="仿宋" w:hAnsi="仿宋" w:eastAsia="仿宋"/>
          <w:color w:val="000000" w:themeColor="text1"/>
          <w:sz w:val="32"/>
          <w:szCs w:val="32"/>
          <w:highlight w:val="none"/>
          <w:lang w:val="en-US" w:eastAsia="zh-CN"/>
          <w14:textFill>
            <w14:solidFill>
              <w14:schemeClr w14:val="tx1"/>
            </w14:solidFill>
          </w14:textFill>
        </w:rPr>
        <w:t>存有</w:t>
      </w:r>
      <w:r>
        <w:rPr>
          <w:rFonts w:hint="eastAsia" w:ascii="仿宋" w:hAnsi="仿宋" w:eastAsia="仿宋"/>
          <w:color w:val="000000" w:themeColor="text1"/>
          <w:sz w:val="32"/>
          <w:szCs w:val="32"/>
          <w:highlight w:val="none"/>
          <w14:textFill>
            <w14:solidFill>
              <w14:schemeClr w14:val="tx1"/>
            </w14:solidFill>
          </w14:textFill>
        </w:rPr>
        <w:t>差异</w:t>
      </w:r>
      <w:r>
        <w:rPr>
          <w:rFonts w:hint="eastAsia" w:ascii="仿宋" w:hAnsi="仿宋" w:eastAsia="仿宋"/>
          <w:color w:val="000000" w:themeColor="text1"/>
          <w:sz w:val="32"/>
          <w:szCs w:val="32"/>
          <w:highlight w:val="none"/>
          <w:lang w:val="en-US" w:eastAsia="zh-CN"/>
          <w14:textFill>
            <w14:solidFill>
              <w14:schemeClr w14:val="tx1"/>
            </w14:solidFill>
          </w14:textFill>
        </w:rPr>
        <w:t>原因是：无差异，学校严格按照年初预算安排使用此项资金。</w:t>
      </w:r>
    </w:p>
    <w:p>
      <w:pPr>
        <w:jc w:val="left"/>
        <w:rPr>
          <w:rFonts w:hint="eastAsia" w:ascii="仿宋" w:hAnsi="仿宋" w:eastAsia="仿宋"/>
          <w:sz w:val="32"/>
          <w:szCs w:val="32"/>
          <w:highlight w:val="none"/>
        </w:rPr>
      </w:pPr>
      <w:r>
        <w:rPr>
          <w:rFonts w:hint="eastAsia" w:ascii="仿宋" w:hAnsi="仿宋" w:eastAsia="仿宋"/>
          <w:sz w:val="32"/>
          <w:szCs w:val="32"/>
          <w:highlight w:val="none"/>
          <w:lang w:val="en-US" w:eastAsia="zh-CN"/>
        </w:rPr>
        <w:t>支出具体情况如下</w:t>
      </w:r>
      <w:r>
        <w:rPr>
          <w:rFonts w:hint="eastAsia" w:ascii="仿宋" w:hAnsi="仿宋" w:eastAsia="仿宋"/>
          <w:sz w:val="32"/>
          <w:szCs w:val="32"/>
          <w:highlight w:val="none"/>
        </w:rPr>
        <w:t>：</w:t>
      </w:r>
    </w:p>
    <w:tbl>
      <w:tblPr>
        <w:tblStyle w:val="6"/>
        <w:tblW w:w="8536" w:type="dxa"/>
        <w:tblInd w:w="96"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955"/>
        <w:gridCol w:w="1076"/>
        <w:gridCol w:w="994"/>
        <w:gridCol w:w="806"/>
        <w:gridCol w:w="1097"/>
        <w:gridCol w:w="1783"/>
        <w:gridCol w:w="182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4" w:hRule="atLeast"/>
        </w:trPr>
        <w:tc>
          <w:tcPr>
            <w:tcW w:w="95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20"/>
                <w:szCs w:val="20"/>
                <w:highlight w:val="none"/>
                <w:u w:val="none"/>
                <w:lang w:val="en-US"/>
              </w:rPr>
            </w:pPr>
            <w:r>
              <w:rPr>
                <w:rFonts w:hint="eastAsia" w:ascii="宋体" w:hAnsi="宋体" w:eastAsia="宋体" w:cs="宋体"/>
                <w:i w:val="0"/>
                <w:iCs w:val="0"/>
                <w:color w:val="000000"/>
                <w:kern w:val="0"/>
                <w:sz w:val="20"/>
                <w:szCs w:val="20"/>
                <w:highlight w:val="none"/>
                <w:u w:val="none"/>
                <w:lang w:val="en-US" w:eastAsia="zh-CN" w:bidi="ar"/>
              </w:rPr>
              <w:t>类款项</w:t>
            </w:r>
          </w:p>
        </w:tc>
        <w:tc>
          <w:tcPr>
            <w:tcW w:w="107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科目名称</w:t>
            </w:r>
          </w:p>
        </w:tc>
        <w:tc>
          <w:tcPr>
            <w:tcW w:w="994"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年初预算数</w:t>
            </w:r>
          </w:p>
        </w:tc>
        <w:tc>
          <w:tcPr>
            <w:tcW w:w="80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决算</w:t>
            </w:r>
          </w:p>
        </w:tc>
        <w:tc>
          <w:tcPr>
            <w:tcW w:w="1097"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20"/>
                <w:szCs w:val="20"/>
                <w:highlight w:val="none"/>
                <w:u w:val="none"/>
                <w:lang w:val="en-US"/>
              </w:rPr>
            </w:pPr>
            <w:r>
              <w:rPr>
                <w:rFonts w:hint="eastAsia" w:ascii="宋体" w:hAnsi="宋体" w:eastAsia="宋体" w:cs="宋体"/>
                <w:i w:val="0"/>
                <w:iCs w:val="0"/>
                <w:color w:val="000000"/>
                <w:kern w:val="0"/>
                <w:sz w:val="20"/>
                <w:szCs w:val="20"/>
                <w:highlight w:val="none"/>
                <w:u w:val="none"/>
                <w:lang w:val="en-US" w:eastAsia="zh-CN" w:bidi="ar"/>
              </w:rPr>
              <w:t>完成预算百分比</w:t>
            </w:r>
          </w:p>
        </w:tc>
        <w:tc>
          <w:tcPr>
            <w:tcW w:w="1783"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主要用于</w:t>
            </w:r>
          </w:p>
        </w:tc>
        <w:tc>
          <w:tcPr>
            <w:tcW w:w="182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原因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4" w:hRule="atLeast"/>
        </w:trPr>
        <w:tc>
          <w:tcPr>
            <w:tcW w:w="95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20"/>
                <w:szCs w:val="20"/>
                <w:highlight w:val="none"/>
                <w:u w:val="none"/>
                <w:lang w:val="en-US" w:eastAsia="zh-CN"/>
              </w:rPr>
            </w:pPr>
            <w:r>
              <w:rPr>
                <w:rFonts w:hint="eastAsia" w:ascii="宋体" w:hAnsi="宋体" w:eastAsia="宋体" w:cs="宋体"/>
                <w:i w:val="0"/>
                <w:iCs w:val="0"/>
                <w:color w:val="000000"/>
                <w:sz w:val="20"/>
                <w:szCs w:val="20"/>
                <w:highlight w:val="none"/>
                <w:u w:val="none"/>
                <w:lang w:val="en-US" w:eastAsia="zh-CN"/>
              </w:rPr>
              <w:t>2012999</w:t>
            </w:r>
          </w:p>
        </w:tc>
        <w:tc>
          <w:tcPr>
            <w:tcW w:w="107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20"/>
                <w:szCs w:val="20"/>
                <w:highlight w:val="none"/>
                <w:u w:val="none"/>
                <w:lang w:val="en-US" w:eastAsia="zh-CN"/>
              </w:rPr>
            </w:pPr>
            <w:r>
              <w:rPr>
                <w:rFonts w:hint="eastAsia" w:ascii="宋体" w:hAnsi="宋体" w:eastAsia="宋体" w:cs="宋体"/>
                <w:i w:val="0"/>
                <w:iCs w:val="0"/>
                <w:color w:val="000000"/>
                <w:sz w:val="20"/>
                <w:szCs w:val="20"/>
                <w:highlight w:val="none"/>
                <w:u w:val="none"/>
                <w:lang w:val="en-US" w:eastAsia="zh-CN"/>
              </w:rPr>
              <w:t>其他群众团体事务支出</w:t>
            </w:r>
          </w:p>
        </w:tc>
        <w:tc>
          <w:tcPr>
            <w:tcW w:w="994"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highlight w:val="none"/>
                <w:u w:val="none"/>
                <w:lang w:val="en-US" w:eastAsia="zh-CN"/>
              </w:rPr>
            </w:pPr>
            <w:r>
              <w:rPr>
                <w:rFonts w:hint="eastAsia" w:ascii="宋体" w:hAnsi="宋体" w:eastAsia="宋体" w:cs="宋体"/>
                <w:i w:val="0"/>
                <w:iCs w:val="0"/>
                <w:color w:val="000000"/>
                <w:sz w:val="18"/>
                <w:szCs w:val="18"/>
                <w:highlight w:val="none"/>
                <w:u w:val="none"/>
                <w:lang w:val="en-US" w:eastAsia="zh-CN"/>
              </w:rPr>
              <w:t>18.19</w:t>
            </w:r>
          </w:p>
        </w:tc>
        <w:tc>
          <w:tcPr>
            <w:tcW w:w="80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kern w:val="2"/>
                <w:sz w:val="18"/>
                <w:szCs w:val="18"/>
                <w:highlight w:val="none"/>
                <w:u w:val="none"/>
                <w:lang w:val="en-US" w:eastAsia="zh-CN" w:bidi="ar-SA"/>
              </w:rPr>
            </w:pPr>
            <w:r>
              <w:rPr>
                <w:rFonts w:hint="eastAsia" w:ascii="宋体" w:hAnsi="宋体" w:eastAsia="宋体" w:cs="宋体"/>
                <w:i w:val="0"/>
                <w:iCs w:val="0"/>
                <w:color w:val="000000"/>
                <w:kern w:val="2"/>
                <w:sz w:val="18"/>
                <w:szCs w:val="18"/>
                <w:highlight w:val="none"/>
                <w:u w:val="none"/>
                <w:lang w:val="en-US" w:eastAsia="zh-CN" w:bidi="ar-SA"/>
              </w:rPr>
              <w:t>18.19</w:t>
            </w:r>
          </w:p>
        </w:tc>
        <w:tc>
          <w:tcPr>
            <w:tcW w:w="1097"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highlight w:val="none"/>
                <w:u w:val="none"/>
                <w:lang w:val="en-US" w:eastAsia="zh-CN"/>
              </w:rPr>
            </w:pPr>
            <w:r>
              <w:rPr>
                <w:rFonts w:hint="eastAsia" w:ascii="宋体" w:hAnsi="宋体" w:eastAsia="宋体" w:cs="宋体"/>
                <w:i w:val="0"/>
                <w:iCs w:val="0"/>
                <w:color w:val="000000"/>
                <w:sz w:val="18"/>
                <w:szCs w:val="18"/>
                <w:highlight w:val="none"/>
                <w:u w:val="none"/>
                <w:lang w:val="en-US" w:eastAsia="zh-CN"/>
              </w:rPr>
              <w:t>100.00%</w:t>
            </w:r>
          </w:p>
        </w:tc>
        <w:tc>
          <w:tcPr>
            <w:tcW w:w="1783"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18"/>
                <w:szCs w:val="18"/>
                <w:highlight w:val="none"/>
                <w:u w:val="none"/>
                <w:lang w:val="en-US" w:eastAsia="zh-CN"/>
              </w:rPr>
            </w:pPr>
            <w:r>
              <w:rPr>
                <w:rFonts w:hint="eastAsia" w:ascii="仿宋" w:hAnsi="仿宋" w:eastAsia="仿宋" w:cs="仿宋"/>
                <w:color w:val="000000" w:themeColor="text1"/>
                <w:sz w:val="21"/>
                <w:szCs w:val="21"/>
                <w:highlight w:val="none"/>
                <w:lang w:val="en-US" w:eastAsia="zh-CN"/>
                <w14:textFill>
                  <w14:solidFill>
                    <w14:schemeClr w14:val="tx1"/>
                  </w14:solidFill>
                </w14:textFill>
              </w:rPr>
              <w:t>学校教职工工会活动经费</w:t>
            </w:r>
          </w:p>
        </w:tc>
        <w:tc>
          <w:tcPr>
            <w:tcW w:w="182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18"/>
                <w:szCs w:val="18"/>
                <w:highlight w:val="none"/>
                <w:u w:val="none"/>
                <w:lang w:val="en-US" w:eastAsia="zh-CN"/>
              </w:rPr>
            </w:pPr>
            <w:r>
              <w:rPr>
                <w:rFonts w:hint="eastAsia" w:ascii="仿宋" w:hAnsi="仿宋" w:eastAsia="仿宋" w:cs="仿宋"/>
                <w:color w:val="000000" w:themeColor="text1"/>
                <w:sz w:val="18"/>
                <w:szCs w:val="18"/>
                <w:highlight w:val="none"/>
                <w:lang w:val="en-US" w:eastAsia="zh-CN"/>
                <w14:textFill>
                  <w14:solidFill>
                    <w14:schemeClr w14:val="tx1"/>
                  </w14:solidFill>
                </w14:textFill>
              </w:rPr>
              <w:t>无差异</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4" w:hRule="atLeast"/>
        </w:trPr>
        <w:tc>
          <w:tcPr>
            <w:tcW w:w="95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20"/>
                <w:szCs w:val="20"/>
                <w:highlight w:val="none"/>
                <w:u w:val="none"/>
                <w:lang w:val="en-US" w:eastAsia="zh-CN"/>
              </w:rPr>
            </w:pPr>
            <w:r>
              <w:rPr>
                <w:rFonts w:hint="eastAsia" w:ascii="宋体" w:hAnsi="宋体" w:eastAsia="宋体" w:cs="宋体"/>
                <w:i w:val="0"/>
                <w:iCs w:val="0"/>
                <w:color w:val="000000"/>
                <w:sz w:val="20"/>
                <w:szCs w:val="20"/>
                <w:highlight w:val="none"/>
                <w:u w:val="none"/>
                <w:lang w:val="en-US" w:eastAsia="zh-CN"/>
              </w:rPr>
              <w:t>合计数</w:t>
            </w:r>
          </w:p>
        </w:tc>
        <w:tc>
          <w:tcPr>
            <w:tcW w:w="107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20"/>
                <w:szCs w:val="20"/>
                <w:highlight w:val="none"/>
                <w:u w:val="none"/>
                <w:lang w:val="en-US" w:eastAsia="zh-CN"/>
              </w:rPr>
            </w:pPr>
          </w:p>
        </w:tc>
        <w:tc>
          <w:tcPr>
            <w:tcW w:w="994"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highlight w:val="none"/>
                <w:u w:val="none"/>
                <w:lang w:val="en-US" w:eastAsia="zh-CN"/>
              </w:rPr>
            </w:pPr>
            <w:r>
              <w:rPr>
                <w:rFonts w:hint="eastAsia" w:ascii="宋体" w:hAnsi="宋体" w:eastAsia="宋体" w:cs="宋体"/>
                <w:i w:val="0"/>
                <w:iCs w:val="0"/>
                <w:color w:val="000000"/>
                <w:sz w:val="18"/>
                <w:szCs w:val="18"/>
                <w:highlight w:val="none"/>
                <w:u w:val="none"/>
                <w:lang w:val="en-US" w:eastAsia="zh-CN"/>
              </w:rPr>
              <w:t>18.19</w:t>
            </w:r>
          </w:p>
        </w:tc>
        <w:tc>
          <w:tcPr>
            <w:tcW w:w="80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kern w:val="2"/>
                <w:sz w:val="18"/>
                <w:szCs w:val="18"/>
                <w:highlight w:val="none"/>
                <w:u w:val="none"/>
                <w:lang w:val="en-US" w:eastAsia="zh-CN" w:bidi="ar-SA"/>
              </w:rPr>
            </w:pPr>
            <w:r>
              <w:rPr>
                <w:rFonts w:hint="eastAsia" w:ascii="宋体" w:hAnsi="宋体" w:eastAsia="宋体" w:cs="宋体"/>
                <w:i w:val="0"/>
                <w:iCs w:val="0"/>
                <w:color w:val="000000"/>
                <w:kern w:val="2"/>
                <w:sz w:val="18"/>
                <w:szCs w:val="18"/>
                <w:highlight w:val="none"/>
                <w:u w:val="none"/>
                <w:lang w:val="en-US" w:eastAsia="zh-CN" w:bidi="ar-SA"/>
              </w:rPr>
              <w:t>18.19</w:t>
            </w:r>
          </w:p>
        </w:tc>
        <w:tc>
          <w:tcPr>
            <w:tcW w:w="1097"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highlight w:val="none"/>
                <w:u w:val="none"/>
                <w:lang w:val="en-US" w:eastAsia="zh-CN"/>
              </w:rPr>
            </w:pPr>
          </w:p>
        </w:tc>
        <w:tc>
          <w:tcPr>
            <w:tcW w:w="1783"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18"/>
                <w:szCs w:val="18"/>
                <w:highlight w:val="none"/>
                <w:u w:val="none"/>
                <w:lang w:val="en-US" w:eastAsia="zh-CN"/>
              </w:rPr>
            </w:pPr>
            <w:r>
              <w:rPr>
                <w:rFonts w:hint="eastAsia" w:ascii="仿宋" w:hAnsi="仿宋" w:eastAsia="仿宋" w:cs="仿宋"/>
                <w:color w:val="000000" w:themeColor="text1"/>
                <w:sz w:val="21"/>
                <w:szCs w:val="21"/>
                <w:highlight w:val="none"/>
                <w:lang w:val="en-US" w:eastAsia="zh-CN"/>
                <w14:textFill>
                  <w14:solidFill>
                    <w14:schemeClr w14:val="tx1"/>
                  </w14:solidFill>
                </w14:textFill>
              </w:rPr>
              <w:t>学校教职工工会活动经费</w:t>
            </w:r>
          </w:p>
        </w:tc>
        <w:tc>
          <w:tcPr>
            <w:tcW w:w="182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18"/>
                <w:szCs w:val="18"/>
                <w:highlight w:val="none"/>
                <w:u w:val="none"/>
                <w:lang w:val="en-US" w:eastAsia="zh-CN"/>
              </w:rPr>
            </w:pPr>
            <w:r>
              <w:rPr>
                <w:rFonts w:hint="eastAsia" w:ascii="仿宋" w:hAnsi="仿宋" w:eastAsia="仿宋" w:cs="仿宋"/>
                <w:color w:val="000000" w:themeColor="text1"/>
                <w:sz w:val="18"/>
                <w:szCs w:val="18"/>
                <w:highlight w:val="none"/>
                <w:lang w:val="en-US" w:eastAsia="zh-CN"/>
                <w14:textFill>
                  <w14:solidFill>
                    <w14:schemeClr w14:val="tx1"/>
                  </w14:solidFill>
                </w14:textFill>
              </w:rPr>
              <w:t>无差异</w:t>
            </w:r>
          </w:p>
        </w:tc>
      </w:tr>
    </w:tbl>
    <w:p>
      <w:pPr>
        <w:jc w:val="left"/>
        <w:rPr>
          <w:rFonts w:hint="eastAsia" w:ascii="仿宋" w:hAnsi="仿宋" w:eastAsia="仿宋"/>
          <w:sz w:val="32"/>
          <w:szCs w:val="32"/>
          <w:highlight w:val="none"/>
        </w:rPr>
      </w:pPr>
    </w:p>
    <w:p>
      <w:pPr>
        <w:jc w:val="center"/>
        <w:rPr>
          <w:rFonts w:ascii="仿宋" w:hAnsi="仿宋" w:eastAsia="仿宋"/>
          <w:sz w:val="32"/>
          <w:szCs w:val="32"/>
          <w:highlight w:val="none"/>
        </w:rPr>
      </w:pPr>
      <w:r>
        <w:rPr>
          <w:rFonts w:hint="eastAsia" w:ascii="仿宋" w:hAnsi="仿宋" w:eastAsia="仿宋" w:cs="仿宋"/>
          <w:sz w:val="32"/>
          <w:szCs w:val="32"/>
          <w:highlight w:val="none"/>
        </w:rPr>
        <w:drawing>
          <wp:inline distT="0" distB="0" distL="114300" distR="114300">
            <wp:extent cx="4474845" cy="3215640"/>
            <wp:effectExtent l="4445" t="4445" r="16510" b="5715"/>
            <wp:docPr id="6" name="图表 4" title="{{ybggysgnkm_chart}}"/>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pPr>
        <w:keepNext w:val="0"/>
        <w:keepLines w:val="0"/>
        <w:widowControl w:val="0"/>
        <w:numPr>
          <w:ilvl w:val="0"/>
          <w:numId w:val="1"/>
        </w:numPr>
        <w:suppressLineNumbers w:val="0"/>
        <w:spacing w:before="0" w:beforeAutospacing="0" w:after="0" w:afterAutospacing="0"/>
        <w:ind w:left="0" w:leftChars="0" w:right="0" w:rightChars="0" w:firstLine="420" w:firstLineChars="0"/>
        <w:jc w:val="left"/>
        <w:rPr>
          <w:rFonts w:hint="eastAsia" w:eastAsia="仿宋"/>
          <w:color w:val="FF0000"/>
          <w:highlight w:val="none"/>
          <w:lang w:val="en-US" w:eastAsia="zh-CN"/>
        </w:rPr>
      </w:pPr>
      <w:r>
        <w:rPr>
          <w:rFonts w:hint="eastAsia" w:ascii="仿宋" w:hAnsi="仿宋" w:eastAsia="仿宋"/>
          <w:sz w:val="32"/>
          <w:szCs w:val="32"/>
          <w:highlight w:val="none"/>
        </w:rPr>
        <w:t>教育支出</w:t>
      </w:r>
      <w:r>
        <w:rPr>
          <w:rFonts w:ascii="仿宋" w:hAnsi="仿宋" w:eastAsia="仿宋"/>
          <w:sz w:val="32"/>
          <w:u w:color="auto"/>
        </w:rPr>
        <w:t>（205</w:t>
      </w:r>
      <w:r>
        <w:rPr>
          <w:rFonts w:hint="eastAsia" w:ascii="仿宋" w:hAnsi="仿宋" w:eastAsia="仿宋"/>
          <w:sz w:val="32"/>
          <w:szCs w:val="32"/>
          <w:highlight w:val="none"/>
        </w:rPr>
        <w:t>类）年初预算为</w:t>
      </w:r>
      <w:r>
        <w:rPr>
          <w:rFonts w:ascii="仿宋" w:hAnsi="仿宋" w:eastAsia="仿宋"/>
          <w:sz w:val="32"/>
          <w:szCs w:val="32"/>
          <w:highlight w:val="none"/>
        </w:rPr>
        <w:t>933.44</w:t>
      </w:r>
      <w:r>
        <w:rPr>
          <w:rFonts w:hint="eastAsia" w:ascii="仿宋" w:hAnsi="仿宋" w:eastAsia="仿宋"/>
          <w:sz w:val="32"/>
          <w:szCs w:val="32"/>
          <w:highlight w:val="none"/>
        </w:rPr>
        <w:t>万元，支出决算为</w:t>
      </w:r>
      <w:r>
        <w:rPr>
          <w:rFonts w:ascii="仿宋" w:hAnsi="仿宋" w:eastAsia="仿宋"/>
          <w:sz w:val="32"/>
          <w:szCs w:val="32"/>
          <w:highlight w:val="none"/>
        </w:rPr>
        <w:t>1747.36</w:t>
      </w:r>
      <w:r>
        <w:rPr>
          <w:rFonts w:hint="eastAsia" w:ascii="仿宋" w:hAnsi="仿宋" w:eastAsia="仿宋"/>
          <w:sz w:val="32"/>
          <w:szCs w:val="32"/>
          <w:highlight w:val="none"/>
        </w:rPr>
        <w:t>万元，完成年初预算的</w:t>
      </w:r>
      <w:r>
        <w:rPr>
          <w:rFonts w:ascii="仿宋" w:hAnsi="仿宋" w:eastAsia="仿宋"/>
          <w:sz w:val="32"/>
          <w:szCs w:val="32"/>
          <w:highlight w:val="none"/>
        </w:rPr>
        <w:t>187.20%</w:t>
      </w:r>
      <w:r>
        <w:rPr>
          <w:rFonts w:hint="eastAsia" w:ascii="仿宋" w:hAnsi="仿宋" w:eastAsia="仿宋"/>
          <w:sz w:val="32"/>
          <w:szCs w:val="32"/>
          <w:highlight w:val="none"/>
        </w:rPr>
        <w:t>。</w:t>
      </w:r>
      <w:r>
        <w:rPr>
          <w:rFonts w:hint="eastAsia" w:ascii="仿宋" w:hAnsi="仿宋" w:eastAsia="仿宋"/>
          <w:color w:val="000000" w:themeColor="text1"/>
          <w:sz w:val="32"/>
          <w:szCs w:val="32"/>
          <w:highlight w:val="none"/>
          <w14:textFill>
            <w14:solidFill>
              <w14:schemeClr w14:val="tx1"/>
            </w14:solidFill>
          </w14:textFill>
        </w:rPr>
        <w:t>预决算</w:t>
      </w:r>
      <w:r>
        <w:rPr>
          <w:rFonts w:hint="eastAsia" w:ascii="仿宋" w:hAnsi="仿宋" w:eastAsia="仿宋"/>
          <w:color w:val="000000" w:themeColor="text1"/>
          <w:sz w:val="32"/>
          <w:szCs w:val="32"/>
          <w:highlight w:val="none"/>
          <w:lang w:val="en-US" w:eastAsia="zh-CN"/>
          <w14:textFill>
            <w14:solidFill>
              <w14:schemeClr w14:val="tx1"/>
            </w14:solidFill>
          </w14:textFill>
        </w:rPr>
        <w:t>存</w:t>
      </w:r>
      <w:r>
        <w:rPr>
          <w:rFonts w:hint="eastAsia" w:ascii="仿宋" w:hAnsi="仿宋" w:eastAsia="仿宋"/>
          <w:sz w:val="32"/>
          <w:szCs w:val="32"/>
          <w:highlight w:val="none"/>
          <w:lang w:val="en-US" w:eastAsia="zh-CN"/>
        </w:rPr>
        <w:t>有</w:t>
      </w:r>
      <w:r>
        <w:rPr>
          <w:rFonts w:hint="eastAsia" w:ascii="仿宋" w:hAnsi="仿宋" w:eastAsia="仿宋"/>
          <w:sz w:val="32"/>
          <w:szCs w:val="32"/>
          <w:highlight w:val="none"/>
        </w:rPr>
        <w:t>差异</w:t>
      </w:r>
      <w:r>
        <w:rPr>
          <w:rFonts w:hint="eastAsia" w:ascii="仿宋" w:hAnsi="仿宋" w:eastAsia="仿宋"/>
          <w:sz w:val="32"/>
          <w:szCs w:val="32"/>
          <w:highlight w:val="none"/>
          <w:lang w:val="en-US" w:eastAsia="zh-CN"/>
        </w:rPr>
        <w:t>原因是：教师调入，人员增加。</w:t>
      </w:r>
    </w:p>
    <w:p>
      <w:pPr>
        <w:jc w:val="left"/>
        <w:rPr>
          <w:rFonts w:hint="eastAsia" w:ascii="仿宋" w:hAnsi="仿宋" w:eastAsia="仿宋"/>
          <w:sz w:val="32"/>
          <w:szCs w:val="32"/>
          <w:highlight w:val="none"/>
        </w:rPr>
      </w:pPr>
      <w:r>
        <w:rPr>
          <w:rFonts w:hint="eastAsia" w:ascii="仿宋" w:hAnsi="仿宋" w:eastAsia="仿宋"/>
          <w:sz w:val="32"/>
          <w:szCs w:val="32"/>
          <w:highlight w:val="none"/>
          <w:lang w:val="en-US" w:eastAsia="zh-CN"/>
        </w:rPr>
        <w:t>支出具体情况如下</w:t>
      </w:r>
      <w:r>
        <w:rPr>
          <w:rFonts w:hint="eastAsia" w:ascii="仿宋" w:hAnsi="仿宋" w:eastAsia="仿宋"/>
          <w:sz w:val="32"/>
          <w:szCs w:val="32"/>
          <w:highlight w:val="none"/>
        </w:rPr>
        <w:t>：</w:t>
      </w:r>
    </w:p>
    <w:tbl>
      <w:tblPr>
        <w:tblStyle w:val="6"/>
        <w:tblW w:w="8536" w:type="dxa"/>
        <w:tblInd w:w="96"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955"/>
        <w:gridCol w:w="1076"/>
        <w:gridCol w:w="994"/>
        <w:gridCol w:w="806"/>
        <w:gridCol w:w="1097"/>
        <w:gridCol w:w="1783"/>
        <w:gridCol w:w="182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4" w:hRule="atLeast"/>
        </w:trPr>
        <w:tc>
          <w:tcPr>
            <w:tcW w:w="95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20"/>
                <w:szCs w:val="20"/>
                <w:highlight w:val="none"/>
                <w:u w:val="none"/>
                <w:lang w:val="en-US"/>
              </w:rPr>
            </w:pPr>
            <w:r>
              <w:rPr>
                <w:rFonts w:hint="eastAsia" w:ascii="宋体" w:hAnsi="宋体" w:eastAsia="宋体" w:cs="宋体"/>
                <w:i w:val="0"/>
                <w:iCs w:val="0"/>
                <w:color w:val="000000"/>
                <w:kern w:val="0"/>
                <w:sz w:val="20"/>
                <w:szCs w:val="20"/>
                <w:highlight w:val="none"/>
                <w:u w:val="none"/>
                <w:lang w:val="en-US" w:eastAsia="zh-CN" w:bidi="ar"/>
              </w:rPr>
              <w:t>类款项</w:t>
            </w:r>
          </w:p>
        </w:tc>
        <w:tc>
          <w:tcPr>
            <w:tcW w:w="107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科目名称</w:t>
            </w:r>
          </w:p>
        </w:tc>
        <w:tc>
          <w:tcPr>
            <w:tcW w:w="994"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年初预算数</w:t>
            </w:r>
          </w:p>
        </w:tc>
        <w:tc>
          <w:tcPr>
            <w:tcW w:w="80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决算</w:t>
            </w:r>
          </w:p>
        </w:tc>
        <w:tc>
          <w:tcPr>
            <w:tcW w:w="1097"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20"/>
                <w:szCs w:val="20"/>
                <w:highlight w:val="none"/>
                <w:u w:val="none"/>
                <w:lang w:val="en-US"/>
              </w:rPr>
            </w:pPr>
            <w:r>
              <w:rPr>
                <w:rFonts w:hint="eastAsia" w:ascii="宋体" w:hAnsi="宋体" w:eastAsia="宋体" w:cs="宋体"/>
                <w:i w:val="0"/>
                <w:iCs w:val="0"/>
                <w:color w:val="000000"/>
                <w:kern w:val="0"/>
                <w:sz w:val="20"/>
                <w:szCs w:val="20"/>
                <w:highlight w:val="none"/>
                <w:u w:val="none"/>
                <w:lang w:val="en-US" w:eastAsia="zh-CN" w:bidi="ar"/>
              </w:rPr>
              <w:t>完成预算百分比</w:t>
            </w:r>
          </w:p>
        </w:tc>
        <w:tc>
          <w:tcPr>
            <w:tcW w:w="1783"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主要用于</w:t>
            </w:r>
          </w:p>
        </w:tc>
        <w:tc>
          <w:tcPr>
            <w:tcW w:w="182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原因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4" w:hRule="atLeast"/>
        </w:trPr>
        <w:tc>
          <w:tcPr>
            <w:tcW w:w="95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20"/>
                <w:szCs w:val="20"/>
                <w:highlight w:val="none"/>
                <w:u w:val="none"/>
                <w:lang w:val="en-US" w:eastAsia="zh-CN"/>
              </w:rPr>
            </w:pPr>
            <w:r>
              <w:rPr>
                <w:rFonts w:hint="eastAsia" w:ascii="宋体" w:hAnsi="宋体" w:eastAsia="宋体" w:cs="宋体"/>
                <w:i w:val="0"/>
                <w:iCs w:val="0"/>
                <w:color w:val="000000"/>
                <w:sz w:val="20"/>
                <w:szCs w:val="20"/>
                <w:highlight w:val="none"/>
                <w:u w:val="none"/>
                <w:lang w:val="en-US" w:eastAsia="zh-CN"/>
              </w:rPr>
              <w:t>2050203</w:t>
            </w:r>
          </w:p>
        </w:tc>
        <w:tc>
          <w:tcPr>
            <w:tcW w:w="107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20"/>
                <w:szCs w:val="20"/>
                <w:highlight w:val="none"/>
                <w:u w:val="none"/>
                <w:lang w:val="en-US" w:eastAsia="zh-CN"/>
              </w:rPr>
            </w:pPr>
            <w:r>
              <w:rPr>
                <w:rFonts w:hint="eastAsia" w:ascii="宋体" w:hAnsi="宋体" w:eastAsia="宋体" w:cs="宋体"/>
                <w:i w:val="0"/>
                <w:iCs w:val="0"/>
                <w:color w:val="000000"/>
                <w:sz w:val="20"/>
                <w:szCs w:val="20"/>
                <w:highlight w:val="none"/>
                <w:u w:val="none"/>
                <w:lang w:val="en-US" w:eastAsia="zh-CN"/>
              </w:rPr>
              <w:t>初中教育</w:t>
            </w:r>
          </w:p>
        </w:tc>
        <w:tc>
          <w:tcPr>
            <w:tcW w:w="994"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highlight w:val="none"/>
                <w:u w:val="none"/>
                <w:lang w:val="en-US" w:eastAsia="zh-CN"/>
              </w:rPr>
            </w:pPr>
            <w:r>
              <w:rPr>
                <w:rFonts w:hint="eastAsia" w:ascii="宋体" w:hAnsi="宋体" w:eastAsia="宋体" w:cs="宋体"/>
                <w:i w:val="0"/>
                <w:iCs w:val="0"/>
                <w:color w:val="000000"/>
                <w:sz w:val="18"/>
                <w:szCs w:val="18"/>
                <w:highlight w:val="none"/>
                <w:u w:val="none"/>
                <w:lang w:val="en-US" w:eastAsia="zh-CN"/>
              </w:rPr>
              <w:t>933.44</w:t>
            </w:r>
          </w:p>
        </w:tc>
        <w:tc>
          <w:tcPr>
            <w:tcW w:w="80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kern w:val="2"/>
                <w:sz w:val="18"/>
                <w:szCs w:val="18"/>
                <w:highlight w:val="none"/>
                <w:u w:val="none"/>
                <w:lang w:val="en-US" w:eastAsia="zh-CN" w:bidi="ar-SA"/>
              </w:rPr>
            </w:pPr>
            <w:r>
              <w:rPr>
                <w:rFonts w:hint="eastAsia" w:ascii="宋体" w:hAnsi="宋体" w:eastAsia="宋体" w:cs="宋体"/>
                <w:i w:val="0"/>
                <w:iCs w:val="0"/>
                <w:color w:val="000000"/>
                <w:kern w:val="2"/>
                <w:sz w:val="18"/>
                <w:szCs w:val="18"/>
                <w:highlight w:val="none"/>
                <w:u w:val="none"/>
                <w:lang w:val="en-US" w:eastAsia="zh-CN" w:bidi="ar-SA"/>
              </w:rPr>
              <w:t>1732.18</w:t>
            </w:r>
          </w:p>
        </w:tc>
        <w:tc>
          <w:tcPr>
            <w:tcW w:w="1097"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highlight w:val="none"/>
                <w:u w:val="none"/>
                <w:lang w:val="en-US" w:eastAsia="zh-CN"/>
              </w:rPr>
            </w:pPr>
            <w:r>
              <w:rPr>
                <w:rFonts w:hint="eastAsia" w:ascii="宋体" w:hAnsi="宋体" w:eastAsia="宋体" w:cs="宋体"/>
                <w:i w:val="0"/>
                <w:iCs w:val="0"/>
                <w:color w:val="000000"/>
                <w:sz w:val="18"/>
                <w:szCs w:val="18"/>
                <w:highlight w:val="none"/>
                <w:u w:val="none"/>
                <w:lang w:val="en-US" w:eastAsia="zh-CN"/>
              </w:rPr>
              <w:t>185.57%</w:t>
            </w:r>
          </w:p>
        </w:tc>
        <w:tc>
          <w:tcPr>
            <w:tcW w:w="1783"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18"/>
                <w:szCs w:val="18"/>
                <w:highlight w:val="none"/>
                <w:u w:val="none"/>
                <w:lang w:val="en-US" w:eastAsia="zh-CN"/>
              </w:rPr>
            </w:pPr>
            <w:r>
              <w:rPr>
                <w:rFonts w:hint="eastAsia" w:ascii="宋体" w:hAnsi="宋体" w:eastAsia="宋体" w:cs="宋体"/>
                <w:i w:val="0"/>
                <w:iCs w:val="0"/>
                <w:color w:val="auto"/>
                <w:sz w:val="18"/>
                <w:szCs w:val="18"/>
                <w:highlight w:val="none"/>
                <w:u w:val="none"/>
                <w:lang w:val="en-US" w:eastAsia="zh-CN"/>
              </w:rPr>
              <w:t>教职工的工资福利支出</w:t>
            </w:r>
          </w:p>
        </w:tc>
        <w:tc>
          <w:tcPr>
            <w:tcW w:w="182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18"/>
                <w:szCs w:val="18"/>
                <w:highlight w:val="none"/>
                <w:u w:val="none"/>
                <w:lang w:val="en-US" w:eastAsia="zh-CN"/>
              </w:rPr>
            </w:pPr>
            <w:r>
              <w:rPr>
                <w:rFonts w:hint="eastAsia" w:ascii="仿宋" w:hAnsi="仿宋" w:eastAsia="仿宋" w:cs="仿宋"/>
                <w:color w:val="auto"/>
                <w:sz w:val="18"/>
                <w:szCs w:val="18"/>
                <w:highlight w:val="none"/>
                <w:lang w:val="en-US" w:eastAsia="zh-CN"/>
              </w:rPr>
              <w:t>教师调入，人员增加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4" w:hRule="atLeast"/>
        </w:trPr>
        <w:tc>
          <w:tcPr>
            <w:tcW w:w="95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20"/>
                <w:szCs w:val="20"/>
                <w:highlight w:val="none"/>
                <w:u w:val="none"/>
                <w:lang w:val="en-US" w:eastAsia="zh-CN"/>
              </w:rPr>
            </w:pPr>
            <w:r>
              <w:rPr>
                <w:rFonts w:hint="eastAsia" w:ascii="宋体" w:hAnsi="宋体" w:eastAsia="宋体" w:cs="宋体"/>
                <w:i w:val="0"/>
                <w:iCs w:val="0"/>
                <w:color w:val="000000"/>
                <w:sz w:val="20"/>
                <w:szCs w:val="20"/>
                <w:highlight w:val="none"/>
                <w:u w:val="none"/>
                <w:lang w:val="en-US" w:eastAsia="zh-CN"/>
              </w:rPr>
              <w:t>2050299</w:t>
            </w:r>
          </w:p>
        </w:tc>
        <w:tc>
          <w:tcPr>
            <w:tcW w:w="107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20"/>
                <w:szCs w:val="20"/>
                <w:highlight w:val="none"/>
                <w:u w:val="none"/>
                <w:lang w:val="en-US" w:eastAsia="zh-CN"/>
              </w:rPr>
            </w:pPr>
            <w:r>
              <w:rPr>
                <w:rFonts w:hint="eastAsia" w:ascii="宋体" w:hAnsi="宋体" w:eastAsia="宋体" w:cs="宋体"/>
                <w:i w:val="0"/>
                <w:iCs w:val="0"/>
                <w:color w:val="000000"/>
                <w:sz w:val="20"/>
                <w:szCs w:val="20"/>
                <w:highlight w:val="none"/>
                <w:u w:val="none"/>
                <w:lang w:val="en-US" w:eastAsia="zh-CN"/>
              </w:rPr>
              <w:t>其他普通教育支出</w:t>
            </w:r>
          </w:p>
        </w:tc>
        <w:tc>
          <w:tcPr>
            <w:tcW w:w="994"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highlight w:val="none"/>
                <w:u w:val="none"/>
                <w:lang w:val="en-US" w:eastAsia="zh-CN"/>
              </w:rPr>
            </w:pPr>
            <w:r>
              <w:rPr>
                <w:rFonts w:hint="eastAsia" w:ascii="宋体" w:hAnsi="宋体" w:eastAsia="宋体" w:cs="宋体"/>
                <w:i w:val="0"/>
                <w:iCs w:val="0"/>
                <w:color w:val="000000"/>
                <w:sz w:val="18"/>
                <w:szCs w:val="18"/>
                <w:highlight w:val="none"/>
                <w:u w:val="none"/>
                <w:lang w:val="en-US" w:eastAsia="zh-CN"/>
              </w:rPr>
              <w:t>0.00</w:t>
            </w:r>
          </w:p>
        </w:tc>
        <w:tc>
          <w:tcPr>
            <w:tcW w:w="80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kern w:val="2"/>
                <w:sz w:val="18"/>
                <w:szCs w:val="18"/>
                <w:highlight w:val="none"/>
                <w:u w:val="none"/>
                <w:lang w:val="en-US" w:eastAsia="zh-CN" w:bidi="ar-SA"/>
              </w:rPr>
            </w:pPr>
            <w:r>
              <w:rPr>
                <w:rFonts w:hint="eastAsia" w:ascii="宋体" w:hAnsi="宋体" w:eastAsia="宋体" w:cs="宋体"/>
                <w:i w:val="0"/>
                <w:iCs w:val="0"/>
                <w:color w:val="000000"/>
                <w:kern w:val="2"/>
                <w:sz w:val="18"/>
                <w:szCs w:val="18"/>
                <w:highlight w:val="none"/>
                <w:u w:val="none"/>
                <w:lang w:val="en-US" w:eastAsia="zh-CN" w:bidi="ar-SA"/>
              </w:rPr>
              <w:t>15.18</w:t>
            </w:r>
          </w:p>
        </w:tc>
        <w:tc>
          <w:tcPr>
            <w:tcW w:w="1097"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highlight w:val="none"/>
                <w:u w:val="none"/>
                <w:lang w:val="en-US" w:eastAsia="zh-CN"/>
              </w:rPr>
            </w:pPr>
            <w:r>
              <w:rPr>
                <w:rFonts w:hint="eastAsia" w:ascii="宋体" w:hAnsi="宋体" w:eastAsia="宋体" w:cs="宋体"/>
                <w:i w:val="0"/>
                <w:iCs w:val="0"/>
                <w:color w:val="000000"/>
                <w:sz w:val="18"/>
                <w:szCs w:val="18"/>
                <w:highlight w:val="none"/>
                <w:u w:val="none"/>
                <w:lang w:val="en-US" w:eastAsia="zh-CN"/>
              </w:rPr>
              <w:t>100.00%</w:t>
            </w:r>
          </w:p>
        </w:tc>
        <w:tc>
          <w:tcPr>
            <w:tcW w:w="1783"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18"/>
                <w:szCs w:val="18"/>
                <w:highlight w:val="none"/>
                <w:u w:val="none"/>
                <w:lang w:val="en-US" w:eastAsia="zh-CN"/>
              </w:rPr>
            </w:pPr>
            <w:r>
              <w:rPr>
                <w:rFonts w:hint="eastAsia" w:ascii="宋体" w:hAnsi="宋体" w:eastAsia="宋体" w:cs="宋体"/>
                <w:i w:val="0"/>
                <w:iCs w:val="0"/>
                <w:color w:val="auto"/>
                <w:sz w:val="18"/>
                <w:szCs w:val="18"/>
                <w:highlight w:val="none"/>
                <w:u w:val="none"/>
                <w:lang w:val="en-US" w:eastAsia="zh-CN"/>
              </w:rPr>
              <w:t>教职工的工资福利支出</w:t>
            </w:r>
          </w:p>
        </w:tc>
        <w:tc>
          <w:tcPr>
            <w:tcW w:w="182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18"/>
                <w:szCs w:val="18"/>
                <w:highlight w:val="none"/>
                <w:u w:val="none"/>
                <w:lang w:val="en-US" w:eastAsia="zh-CN"/>
              </w:rPr>
            </w:pPr>
            <w:r>
              <w:rPr>
                <w:rFonts w:hint="eastAsia" w:ascii="仿宋" w:hAnsi="仿宋" w:eastAsia="仿宋" w:cs="仿宋"/>
                <w:color w:val="auto"/>
                <w:sz w:val="18"/>
                <w:szCs w:val="18"/>
                <w:highlight w:val="none"/>
                <w:lang w:val="en-US" w:eastAsia="zh-CN"/>
              </w:rPr>
              <w:t>教师调入，人员增加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4" w:hRule="atLeast"/>
        </w:trPr>
        <w:tc>
          <w:tcPr>
            <w:tcW w:w="95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20"/>
                <w:szCs w:val="20"/>
                <w:highlight w:val="none"/>
                <w:u w:val="none"/>
                <w:lang w:val="en-US" w:eastAsia="zh-CN"/>
              </w:rPr>
            </w:pPr>
            <w:r>
              <w:rPr>
                <w:rFonts w:hint="eastAsia" w:ascii="宋体" w:hAnsi="宋体" w:eastAsia="宋体" w:cs="宋体"/>
                <w:i w:val="0"/>
                <w:iCs w:val="0"/>
                <w:color w:val="000000"/>
                <w:sz w:val="20"/>
                <w:szCs w:val="20"/>
                <w:highlight w:val="none"/>
                <w:u w:val="none"/>
                <w:lang w:val="en-US" w:eastAsia="zh-CN"/>
              </w:rPr>
              <w:t>合计数</w:t>
            </w:r>
          </w:p>
        </w:tc>
        <w:tc>
          <w:tcPr>
            <w:tcW w:w="107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20"/>
                <w:szCs w:val="20"/>
                <w:highlight w:val="none"/>
                <w:u w:val="none"/>
                <w:lang w:val="en-US" w:eastAsia="zh-CN"/>
              </w:rPr>
            </w:pPr>
          </w:p>
        </w:tc>
        <w:tc>
          <w:tcPr>
            <w:tcW w:w="994"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highlight w:val="none"/>
                <w:u w:val="none"/>
                <w:lang w:val="en-US" w:eastAsia="zh-CN"/>
              </w:rPr>
            </w:pPr>
            <w:r>
              <w:rPr>
                <w:rFonts w:hint="eastAsia" w:ascii="宋体" w:hAnsi="宋体" w:eastAsia="宋体" w:cs="宋体"/>
                <w:i w:val="0"/>
                <w:iCs w:val="0"/>
                <w:color w:val="000000"/>
                <w:sz w:val="18"/>
                <w:szCs w:val="18"/>
                <w:highlight w:val="none"/>
                <w:u w:val="none"/>
                <w:lang w:val="en-US" w:eastAsia="zh-CN"/>
              </w:rPr>
              <w:t>933.44</w:t>
            </w:r>
          </w:p>
        </w:tc>
        <w:tc>
          <w:tcPr>
            <w:tcW w:w="80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kern w:val="2"/>
                <w:sz w:val="18"/>
                <w:szCs w:val="18"/>
                <w:highlight w:val="none"/>
                <w:u w:val="none"/>
                <w:lang w:val="en-US" w:eastAsia="zh-CN" w:bidi="ar-SA"/>
              </w:rPr>
            </w:pPr>
            <w:r>
              <w:rPr>
                <w:rFonts w:hint="eastAsia" w:ascii="宋体" w:hAnsi="宋体" w:eastAsia="宋体" w:cs="宋体"/>
                <w:i w:val="0"/>
                <w:iCs w:val="0"/>
                <w:color w:val="000000"/>
                <w:kern w:val="2"/>
                <w:sz w:val="18"/>
                <w:szCs w:val="18"/>
                <w:highlight w:val="none"/>
                <w:u w:val="none"/>
                <w:lang w:val="en-US" w:eastAsia="zh-CN" w:bidi="ar-SA"/>
              </w:rPr>
              <w:t>1747.36</w:t>
            </w:r>
          </w:p>
        </w:tc>
        <w:tc>
          <w:tcPr>
            <w:tcW w:w="1097"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highlight w:val="none"/>
                <w:u w:val="none"/>
                <w:lang w:val="en-US" w:eastAsia="zh-CN"/>
              </w:rPr>
            </w:pPr>
          </w:p>
        </w:tc>
        <w:tc>
          <w:tcPr>
            <w:tcW w:w="1783"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18"/>
                <w:szCs w:val="18"/>
                <w:highlight w:val="none"/>
                <w:u w:val="none"/>
                <w:lang w:val="en-US" w:eastAsia="zh-CN"/>
              </w:rPr>
            </w:pPr>
            <w:r>
              <w:rPr>
                <w:rFonts w:hint="eastAsia" w:ascii="宋体" w:hAnsi="宋体" w:eastAsia="宋体" w:cs="宋体"/>
                <w:i w:val="0"/>
                <w:iCs w:val="0"/>
                <w:color w:val="auto"/>
                <w:sz w:val="18"/>
                <w:szCs w:val="18"/>
                <w:highlight w:val="none"/>
                <w:u w:val="none"/>
                <w:lang w:val="en-US" w:eastAsia="zh-CN"/>
              </w:rPr>
              <w:t>教职工的工资福利支出</w:t>
            </w:r>
          </w:p>
        </w:tc>
        <w:tc>
          <w:tcPr>
            <w:tcW w:w="182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18"/>
                <w:szCs w:val="18"/>
                <w:highlight w:val="none"/>
                <w:u w:val="none"/>
                <w:lang w:val="en-US" w:eastAsia="zh-CN"/>
              </w:rPr>
            </w:pPr>
            <w:r>
              <w:rPr>
                <w:rFonts w:hint="eastAsia" w:ascii="仿宋" w:hAnsi="仿宋" w:eastAsia="仿宋" w:cs="仿宋"/>
                <w:color w:val="auto"/>
                <w:sz w:val="18"/>
                <w:szCs w:val="18"/>
                <w:highlight w:val="none"/>
                <w:lang w:val="en-US" w:eastAsia="zh-CN"/>
              </w:rPr>
              <w:t>教师调入，人员增加</w:t>
            </w:r>
          </w:p>
        </w:tc>
      </w:tr>
    </w:tbl>
    <w:p>
      <w:pPr>
        <w:jc w:val="left"/>
        <w:rPr>
          <w:rFonts w:hint="eastAsia" w:ascii="仿宋" w:hAnsi="仿宋" w:eastAsia="仿宋"/>
          <w:sz w:val="32"/>
          <w:szCs w:val="32"/>
          <w:highlight w:val="none"/>
        </w:rPr>
      </w:pPr>
    </w:p>
    <w:p>
      <w:pPr>
        <w:jc w:val="center"/>
        <w:rPr>
          <w:rFonts w:ascii="仿宋" w:hAnsi="仿宋" w:eastAsia="仿宋"/>
          <w:sz w:val="32"/>
          <w:szCs w:val="32"/>
          <w:highlight w:val="none"/>
        </w:rPr>
      </w:pPr>
      <w:r>
        <w:rPr>
          <w:rFonts w:hint="eastAsia" w:ascii="仿宋" w:hAnsi="仿宋" w:eastAsia="仿宋" w:cs="仿宋"/>
          <w:sz w:val="32"/>
          <w:szCs w:val="32"/>
          <w:highlight w:val="none"/>
        </w:rPr>
        <w:drawing>
          <wp:inline distT="0" distB="0" distL="114300" distR="114300">
            <wp:extent cx="4474845" cy="2338705"/>
            <wp:effectExtent l="4445" t="4445" r="16510" b="19050"/>
            <wp:docPr id="8" name="图表 4" title="{{ybggysgnkm_chart}}"/>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pPr>
        <w:keepNext w:val="0"/>
        <w:keepLines w:val="0"/>
        <w:widowControl w:val="0"/>
        <w:numPr>
          <w:ilvl w:val="0"/>
          <w:numId w:val="1"/>
        </w:numPr>
        <w:suppressLineNumbers w:val="0"/>
        <w:spacing w:before="0" w:beforeAutospacing="0" w:after="0" w:afterAutospacing="0"/>
        <w:ind w:left="0" w:leftChars="0" w:right="0" w:rightChars="0" w:firstLine="420" w:firstLineChars="0"/>
        <w:jc w:val="left"/>
        <w:rPr>
          <w:rFonts w:hint="eastAsia" w:eastAsia="仿宋"/>
          <w:color w:val="FF0000"/>
          <w:highlight w:val="none"/>
          <w:lang w:val="en-US" w:eastAsia="zh-CN"/>
        </w:rPr>
      </w:pPr>
      <w:r>
        <w:rPr>
          <w:rFonts w:hint="eastAsia" w:ascii="仿宋" w:hAnsi="仿宋" w:eastAsia="仿宋"/>
          <w:sz w:val="32"/>
          <w:szCs w:val="32"/>
          <w:highlight w:val="none"/>
        </w:rPr>
        <w:t>社会保障和就业支出</w:t>
      </w:r>
      <w:r>
        <w:rPr>
          <w:rFonts w:ascii="仿宋" w:hAnsi="仿宋" w:eastAsia="仿宋"/>
          <w:sz w:val="32"/>
          <w:u w:color="auto"/>
        </w:rPr>
        <w:t>（208</w:t>
      </w:r>
      <w:r>
        <w:rPr>
          <w:rFonts w:hint="eastAsia" w:ascii="仿宋" w:hAnsi="仿宋" w:eastAsia="仿宋"/>
          <w:sz w:val="32"/>
          <w:szCs w:val="32"/>
          <w:highlight w:val="none"/>
        </w:rPr>
        <w:t>类）年初预算为</w:t>
      </w:r>
      <w:r>
        <w:rPr>
          <w:rFonts w:ascii="仿宋" w:hAnsi="仿宋" w:eastAsia="仿宋"/>
          <w:sz w:val="32"/>
          <w:szCs w:val="32"/>
          <w:highlight w:val="none"/>
        </w:rPr>
        <w:t>145.55</w:t>
      </w:r>
      <w:r>
        <w:rPr>
          <w:rFonts w:hint="eastAsia" w:ascii="仿宋" w:hAnsi="仿宋" w:eastAsia="仿宋"/>
          <w:sz w:val="32"/>
          <w:szCs w:val="32"/>
          <w:highlight w:val="none"/>
        </w:rPr>
        <w:t>万元，支出决算为</w:t>
      </w:r>
      <w:r>
        <w:rPr>
          <w:rFonts w:ascii="仿宋" w:hAnsi="仿宋" w:eastAsia="仿宋"/>
          <w:sz w:val="32"/>
          <w:szCs w:val="32"/>
          <w:highlight w:val="none"/>
        </w:rPr>
        <w:t>140.66</w:t>
      </w:r>
      <w:r>
        <w:rPr>
          <w:rFonts w:hint="eastAsia" w:ascii="仿宋" w:hAnsi="仿宋" w:eastAsia="仿宋"/>
          <w:sz w:val="32"/>
          <w:szCs w:val="32"/>
          <w:highlight w:val="none"/>
        </w:rPr>
        <w:t>万元，完成年初预算的</w:t>
      </w:r>
      <w:r>
        <w:rPr>
          <w:rFonts w:ascii="仿宋" w:hAnsi="仿宋" w:eastAsia="仿宋"/>
          <w:sz w:val="32"/>
          <w:szCs w:val="32"/>
          <w:highlight w:val="none"/>
        </w:rPr>
        <w:t>96.64%</w:t>
      </w:r>
      <w:r>
        <w:rPr>
          <w:rFonts w:hint="eastAsia" w:ascii="仿宋" w:hAnsi="仿宋" w:eastAsia="仿宋"/>
          <w:sz w:val="32"/>
          <w:szCs w:val="32"/>
          <w:highlight w:val="none"/>
        </w:rPr>
        <w:t>。</w:t>
      </w:r>
      <w:r>
        <w:rPr>
          <w:rFonts w:hint="eastAsia" w:ascii="仿宋" w:hAnsi="仿宋" w:eastAsia="仿宋"/>
          <w:color w:val="000000" w:themeColor="text1"/>
          <w:sz w:val="32"/>
          <w:szCs w:val="32"/>
          <w:highlight w:val="none"/>
          <w14:textFill>
            <w14:solidFill>
              <w14:schemeClr w14:val="tx1"/>
            </w14:solidFill>
          </w14:textFill>
        </w:rPr>
        <w:t>预决算</w:t>
      </w:r>
      <w:r>
        <w:rPr>
          <w:rFonts w:hint="eastAsia" w:ascii="仿宋" w:hAnsi="仿宋" w:eastAsia="仿宋"/>
          <w:color w:val="000000" w:themeColor="text1"/>
          <w:sz w:val="32"/>
          <w:szCs w:val="32"/>
          <w:highlight w:val="none"/>
          <w:lang w:val="en-US" w:eastAsia="zh-CN"/>
          <w14:textFill>
            <w14:solidFill>
              <w14:schemeClr w14:val="tx1"/>
            </w14:solidFill>
          </w14:textFill>
        </w:rPr>
        <w:t>存有</w:t>
      </w:r>
      <w:r>
        <w:rPr>
          <w:rFonts w:hint="eastAsia" w:ascii="仿宋" w:hAnsi="仿宋" w:eastAsia="仿宋"/>
          <w:color w:val="000000" w:themeColor="text1"/>
          <w:sz w:val="32"/>
          <w:szCs w:val="32"/>
          <w:highlight w:val="none"/>
          <w14:textFill>
            <w14:solidFill>
              <w14:schemeClr w14:val="tx1"/>
            </w14:solidFill>
          </w14:textFill>
        </w:rPr>
        <w:t>差异</w:t>
      </w:r>
      <w:r>
        <w:rPr>
          <w:rFonts w:hint="eastAsia" w:ascii="仿宋" w:hAnsi="仿宋" w:eastAsia="仿宋"/>
          <w:color w:val="000000" w:themeColor="text1"/>
          <w:sz w:val="32"/>
          <w:szCs w:val="32"/>
          <w:highlight w:val="none"/>
          <w:lang w:val="en-US" w:eastAsia="zh-CN"/>
          <w14:textFill>
            <w14:solidFill>
              <w14:schemeClr w14:val="tx1"/>
            </w14:solidFill>
          </w14:textFill>
        </w:rPr>
        <w:t>原因是：由于年度中有人退休、调出等人员变动和部分资金未能按时支付。</w:t>
      </w:r>
    </w:p>
    <w:p>
      <w:pPr>
        <w:jc w:val="left"/>
        <w:rPr>
          <w:rFonts w:hint="eastAsia" w:ascii="仿宋" w:hAnsi="仿宋" w:eastAsia="仿宋"/>
          <w:sz w:val="32"/>
          <w:szCs w:val="32"/>
          <w:highlight w:val="none"/>
        </w:rPr>
      </w:pPr>
      <w:r>
        <w:rPr>
          <w:rFonts w:hint="eastAsia" w:ascii="仿宋" w:hAnsi="仿宋" w:eastAsia="仿宋"/>
          <w:sz w:val="32"/>
          <w:szCs w:val="32"/>
          <w:highlight w:val="none"/>
          <w:lang w:val="en-US" w:eastAsia="zh-CN"/>
        </w:rPr>
        <w:t>支出具体情况如下</w:t>
      </w:r>
      <w:r>
        <w:rPr>
          <w:rFonts w:hint="eastAsia" w:ascii="仿宋" w:hAnsi="仿宋" w:eastAsia="仿宋"/>
          <w:sz w:val="32"/>
          <w:szCs w:val="32"/>
          <w:highlight w:val="none"/>
        </w:rPr>
        <w:t>：</w:t>
      </w:r>
    </w:p>
    <w:tbl>
      <w:tblPr>
        <w:tblStyle w:val="6"/>
        <w:tblW w:w="8536" w:type="dxa"/>
        <w:tblInd w:w="96"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955"/>
        <w:gridCol w:w="1076"/>
        <w:gridCol w:w="994"/>
        <w:gridCol w:w="806"/>
        <w:gridCol w:w="1097"/>
        <w:gridCol w:w="1783"/>
        <w:gridCol w:w="182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4" w:hRule="atLeast"/>
        </w:trPr>
        <w:tc>
          <w:tcPr>
            <w:tcW w:w="95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20"/>
                <w:szCs w:val="20"/>
                <w:highlight w:val="none"/>
                <w:u w:val="none"/>
                <w:lang w:val="en-US"/>
              </w:rPr>
            </w:pPr>
            <w:r>
              <w:rPr>
                <w:rFonts w:hint="eastAsia" w:ascii="宋体" w:hAnsi="宋体" w:eastAsia="宋体" w:cs="宋体"/>
                <w:i w:val="0"/>
                <w:iCs w:val="0"/>
                <w:color w:val="000000"/>
                <w:kern w:val="0"/>
                <w:sz w:val="20"/>
                <w:szCs w:val="20"/>
                <w:highlight w:val="none"/>
                <w:u w:val="none"/>
                <w:lang w:val="en-US" w:eastAsia="zh-CN" w:bidi="ar"/>
              </w:rPr>
              <w:t>类款项</w:t>
            </w:r>
          </w:p>
        </w:tc>
        <w:tc>
          <w:tcPr>
            <w:tcW w:w="107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科目名称</w:t>
            </w:r>
          </w:p>
        </w:tc>
        <w:tc>
          <w:tcPr>
            <w:tcW w:w="994"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年初预算数</w:t>
            </w:r>
          </w:p>
        </w:tc>
        <w:tc>
          <w:tcPr>
            <w:tcW w:w="80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决算</w:t>
            </w:r>
          </w:p>
        </w:tc>
        <w:tc>
          <w:tcPr>
            <w:tcW w:w="1097"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20"/>
                <w:szCs w:val="20"/>
                <w:highlight w:val="none"/>
                <w:u w:val="none"/>
                <w:lang w:val="en-US"/>
              </w:rPr>
            </w:pPr>
            <w:r>
              <w:rPr>
                <w:rFonts w:hint="eastAsia" w:ascii="宋体" w:hAnsi="宋体" w:eastAsia="宋体" w:cs="宋体"/>
                <w:i w:val="0"/>
                <w:iCs w:val="0"/>
                <w:color w:val="000000"/>
                <w:kern w:val="0"/>
                <w:sz w:val="20"/>
                <w:szCs w:val="20"/>
                <w:highlight w:val="none"/>
                <w:u w:val="none"/>
                <w:lang w:val="en-US" w:eastAsia="zh-CN" w:bidi="ar"/>
              </w:rPr>
              <w:t>完成预算百分比</w:t>
            </w:r>
          </w:p>
        </w:tc>
        <w:tc>
          <w:tcPr>
            <w:tcW w:w="1783"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主要用于</w:t>
            </w:r>
          </w:p>
        </w:tc>
        <w:tc>
          <w:tcPr>
            <w:tcW w:w="182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原因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4" w:hRule="atLeast"/>
        </w:trPr>
        <w:tc>
          <w:tcPr>
            <w:tcW w:w="95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20"/>
                <w:szCs w:val="20"/>
                <w:highlight w:val="none"/>
                <w:u w:val="none"/>
                <w:lang w:val="en-US" w:eastAsia="zh-CN"/>
              </w:rPr>
            </w:pPr>
            <w:r>
              <w:rPr>
                <w:rFonts w:hint="eastAsia" w:ascii="宋体" w:hAnsi="宋体" w:eastAsia="宋体" w:cs="宋体"/>
                <w:i w:val="0"/>
                <w:iCs w:val="0"/>
                <w:color w:val="000000"/>
                <w:sz w:val="20"/>
                <w:szCs w:val="20"/>
                <w:highlight w:val="none"/>
                <w:u w:val="none"/>
                <w:lang w:val="en-US" w:eastAsia="zh-CN"/>
              </w:rPr>
              <w:t>2080505</w:t>
            </w:r>
          </w:p>
        </w:tc>
        <w:tc>
          <w:tcPr>
            <w:tcW w:w="107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20"/>
                <w:szCs w:val="20"/>
                <w:highlight w:val="none"/>
                <w:u w:val="none"/>
                <w:lang w:val="en-US" w:eastAsia="zh-CN"/>
              </w:rPr>
            </w:pPr>
            <w:r>
              <w:rPr>
                <w:rFonts w:hint="eastAsia" w:ascii="宋体" w:hAnsi="宋体" w:eastAsia="宋体" w:cs="宋体"/>
                <w:i w:val="0"/>
                <w:iCs w:val="0"/>
                <w:color w:val="000000"/>
                <w:sz w:val="20"/>
                <w:szCs w:val="20"/>
                <w:highlight w:val="none"/>
                <w:u w:val="none"/>
                <w:lang w:val="en-US" w:eastAsia="zh-CN"/>
              </w:rPr>
              <w:t>机关事业单位基本养老保险缴费支出</w:t>
            </w:r>
          </w:p>
        </w:tc>
        <w:tc>
          <w:tcPr>
            <w:tcW w:w="994"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highlight w:val="none"/>
                <w:u w:val="none"/>
                <w:lang w:val="en-US" w:eastAsia="zh-CN"/>
              </w:rPr>
            </w:pPr>
            <w:r>
              <w:rPr>
                <w:rFonts w:hint="eastAsia" w:ascii="宋体" w:hAnsi="宋体" w:eastAsia="宋体" w:cs="宋体"/>
                <w:i w:val="0"/>
                <w:iCs w:val="0"/>
                <w:color w:val="000000"/>
                <w:sz w:val="18"/>
                <w:szCs w:val="18"/>
                <w:highlight w:val="none"/>
                <w:u w:val="none"/>
                <w:lang w:val="en-US" w:eastAsia="zh-CN"/>
              </w:rPr>
              <w:t>145.55</w:t>
            </w:r>
          </w:p>
        </w:tc>
        <w:tc>
          <w:tcPr>
            <w:tcW w:w="80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kern w:val="2"/>
                <w:sz w:val="18"/>
                <w:szCs w:val="18"/>
                <w:highlight w:val="none"/>
                <w:u w:val="none"/>
                <w:lang w:val="en-US" w:eastAsia="zh-CN" w:bidi="ar-SA"/>
              </w:rPr>
            </w:pPr>
            <w:r>
              <w:rPr>
                <w:rFonts w:hint="eastAsia" w:ascii="宋体" w:hAnsi="宋体" w:eastAsia="宋体" w:cs="宋体"/>
                <w:i w:val="0"/>
                <w:iCs w:val="0"/>
                <w:color w:val="000000"/>
                <w:kern w:val="2"/>
                <w:sz w:val="18"/>
                <w:szCs w:val="18"/>
                <w:highlight w:val="none"/>
                <w:u w:val="none"/>
                <w:lang w:val="en-US" w:eastAsia="zh-CN" w:bidi="ar-SA"/>
              </w:rPr>
              <w:t>140.66</w:t>
            </w:r>
          </w:p>
        </w:tc>
        <w:tc>
          <w:tcPr>
            <w:tcW w:w="1097"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highlight w:val="none"/>
                <w:u w:val="none"/>
                <w:lang w:val="en-US" w:eastAsia="zh-CN"/>
              </w:rPr>
            </w:pPr>
            <w:r>
              <w:rPr>
                <w:rFonts w:hint="eastAsia" w:ascii="宋体" w:hAnsi="宋体" w:eastAsia="宋体" w:cs="宋体"/>
                <w:i w:val="0"/>
                <w:iCs w:val="0"/>
                <w:color w:val="000000"/>
                <w:sz w:val="18"/>
                <w:szCs w:val="18"/>
                <w:highlight w:val="none"/>
                <w:u w:val="none"/>
                <w:lang w:val="en-US" w:eastAsia="zh-CN"/>
              </w:rPr>
              <w:t>96.64%</w:t>
            </w:r>
          </w:p>
        </w:tc>
        <w:tc>
          <w:tcPr>
            <w:tcW w:w="1783"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18"/>
                <w:szCs w:val="18"/>
                <w:highlight w:val="none"/>
                <w:u w:val="none"/>
                <w:lang w:val="en-US" w:eastAsia="zh-CN"/>
              </w:rPr>
            </w:pPr>
            <w:r>
              <w:rPr>
                <w:rFonts w:hint="eastAsia" w:ascii="仿宋" w:hAnsi="仿宋" w:eastAsia="仿宋" w:cs="仿宋"/>
                <w:color w:val="auto"/>
                <w:sz w:val="21"/>
                <w:szCs w:val="21"/>
                <w:highlight w:val="none"/>
                <w:lang w:val="en-US" w:eastAsia="zh-CN"/>
              </w:rPr>
              <w:t>支付学校教职工的基本养老保险金</w:t>
            </w:r>
          </w:p>
        </w:tc>
        <w:tc>
          <w:tcPr>
            <w:tcW w:w="182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18"/>
                <w:szCs w:val="18"/>
                <w:highlight w:val="none"/>
                <w:u w:val="none"/>
                <w:lang w:val="en-US" w:eastAsia="zh-CN"/>
              </w:rPr>
            </w:pPr>
            <w:r>
              <w:rPr>
                <w:rFonts w:hint="eastAsia" w:ascii="仿宋" w:hAnsi="仿宋" w:eastAsia="仿宋" w:cs="仿宋"/>
                <w:color w:val="auto"/>
                <w:sz w:val="18"/>
                <w:szCs w:val="18"/>
                <w:highlight w:val="none"/>
                <w:lang w:val="en-US" w:eastAsia="zh-CN"/>
              </w:rPr>
              <w:t>年度中有人员退休和调出变动和部分资金未能按时支付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4" w:hRule="atLeast"/>
        </w:trPr>
        <w:tc>
          <w:tcPr>
            <w:tcW w:w="95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20"/>
                <w:szCs w:val="20"/>
                <w:highlight w:val="none"/>
                <w:u w:val="none"/>
                <w:lang w:val="en-US" w:eastAsia="zh-CN"/>
              </w:rPr>
            </w:pPr>
            <w:r>
              <w:rPr>
                <w:rFonts w:hint="eastAsia" w:ascii="宋体" w:hAnsi="宋体" w:eastAsia="宋体" w:cs="宋体"/>
                <w:i w:val="0"/>
                <w:iCs w:val="0"/>
                <w:color w:val="000000"/>
                <w:sz w:val="20"/>
                <w:szCs w:val="20"/>
                <w:highlight w:val="none"/>
                <w:u w:val="none"/>
                <w:lang w:val="en-US" w:eastAsia="zh-CN"/>
              </w:rPr>
              <w:t>合计数</w:t>
            </w:r>
          </w:p>
        </w:tc>
        <w:tc>
          <w:tcPr>
            <w:tcW w:w="107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20"/>
                <w:szCs w:val="20"/>
                <w:highlight w:val="none"/>
                <w:u w:val="none"/>
                <w:lang w:val="en-US" w:eastAsia="zh-CN"/>
              </w:rPr>
            </w:pPr>
          </w:p>
        </w:tc>
        <w:tc>
          <w:tcPr>
            <w:tcW w:w="994"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highlight w:val="none"/>
                <w:u w:val="none"/>
                <w:lang w:val="en-US" w:eastAsia="zh-CN"/>
              </w:rPr>
            </w:pPr>
            <w:r>
              <w:rPr>
                <w:rFonts w:hint="eastAsia" w:ascii="宋体" w:hAnsi="宋体" w:eastAsia="宋体" w:cs="宋体"/>
                <w:i w:val="0"/>
                <w:iCs w:val="0"/>
                <w:color w:val="000000"/>
                <w:sz w:val="18"/>
                <w:szCs w:val="18"/>
                <w:highlight w:val="none"/>
                <w:u w:val="none"/>
                <w:lang w:val="en-US" w:eastAsia="zh-CN"/>
              </w:rPr>
              <w:t>145.55</w:t>
            </w:r>
          </w:p>
        </w:tc>
        <w:tc>
          <w:tcPr>
            <w:tcW w:w="80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kern w:val="2"/>
                <w:sz w:val="18"/>
                <w:szCs w:val="18"/>
                <w:highlight w:val="none"/>
                <w:u w:val="none"/>
                <w:lang w:val="en-US" w:eastAsia="zh-CN" w:bidi="ar-SA"/>
              </w:rPr>
            </w:pPr>
            <w:r>
              <w:rPr>
                <w:rFonts w:hint="eastAsia" w:ascii="宋体" w:hAnsi="宋体" w:eastAsia="宋体" w:cs="宋体"/>
                <w:i w:val="0"/>
                <w:iCs w:val="0"/>
                <w:color w:val="000000"/>
                <w:kern w:val="2"/>
                <w:sz w:val="18"/>
                <w:szCs w:val="18"/>
                <w:highlight w:val="none"/>
                <w:u w:val="none"/>
                <w:lang w:val="en-US" w:eastAsia="zh-CN" w:bidi="ar-SA"/>
              </w:rPr>
              <w:t>140.66</w:t>
            </w:r>
          </w:p>
        </w:tc>
        <w:tc>
          <w:tcPr>
            <w:tcW w:w="1097"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highlight w:val="none"/>
                <w:u w:val="none"/>
                <w:lang w:val="en-US" w:eastAsia="zh-CN"/>
              </w:rPr>
            </w:pPr>
          </w:p>
        </w:tc>
        <w:tc>
          <w:tcPr>
            <w:tcW w:w="1783"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18"/>
                <w:szCs w:val="18"/>
                <w:highlight w:val="none"/>
                <w:u w:val="none"/>
                <w:lang w:val="en-US" w:eastAsia="zh-CN"/>
              </w:rPr>
            </w:pPr>
            <w:r>
              <w:rPr>
                <w:rFonts w:hint="eastAsia" w:ascii="仿宋" w:hAnsi="仿宋" w:eastAsia="仿宋" w:cs="仿宋"/>
                <w:color w:val="auto"/>
                <w:sz w:val="21"/>
                <w:szCs w:val="21"/>
                <w:highlight w:val="none"/>
                <w:lang w:val="en-US" w:eastAsia="zh-CN"/>
              </w:rPr>
              <w:t>支付学校教职工的基本养老保险金</w:t>
            </w:r>
          </w:p>
        </w:tc>
        <w:tc>
          <w:tcPr>
            <w:tcW w:w="182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18"/>
                <w:szCs w:val="18"/>
                <w:highlight w:val="none"/>
                <w:u w:val="none"/>
                <w:lang w:val="en-US" w:eastAsia="zh-CN"/>
              </w:rPr>
            </w:pPr>
            <w:r>
              <w:rPr>
                <w:rFonts w:hint="eastAsia" w:ascii="仿宋" w:hAnsi="仿宋" w:eastAsia="仿宋" w:cs="仿宋"/>
                <w:color w:val="auto"/>
                <w:sz w:val="18"/>
                <w:szCs w:val="18"/>
                <w:highlight w:val="none"/>
                <w:lang w:val="en-US" w:eastAsia="zh-CN"/>
              </w:rPr>
              <w:t>年度中有人员退休和调出变动和部分资金未能按时支付</w:t>
            </w:r>
          </w:p>
        </w:tc>
      </w:tr>
    </w:tbl>
    <w:p>
      <w:pPr>
        <w:jc w:val="both"/>
        <w:rPr>
          <w:rFonts w:ascii="仿宋" w:hAnsi="仿宋" w:eastAsia="仿宋"/>
          <w:sz w:val="32"/>
          <w:szCs w:val="32"/>
          <w:highlight w:val="none"/>
        </w:rPr>
      </w:pPr>
      <w:r>
        <w:rPr>
          <w:rFonts w:hint="eastAsia" w:ascii="仿宋" w:hAnsi="仿宋" w:eastAsia="仿宋" w:cs="仿宋"/>
          <w:sz w:val="32"/>
          <w:szCs w:val="32"/>
          <w:highlight w:val="none"/>
        </w:rPr>
        <w:drawing>
          <wp:inline distT="0" distB="0" distL="114300" distR="114300">
            <wp:extent cx="4474845" cy="2512060"/>
            <wp:effectExtent l="4445" t="4445" r="16510" b="17145"/>
            <wp:docPr id="10" name="图表 4" title="{{ybggysgnkm_chart}}"/>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pPr>
        <w:keepNext w:val="0"/>
        <w:keepLines w:val="0"/>
        <w:widowControl w:val="0"/>
        <w:numPr>
          <w:ilvl w:val="0"/>
          <w:numId w:val="1"/>
        </w:numPr>
        <w:suppressLineNumbers w:val="0"/>
        <w:spacing w:before="0" w:beforeAutospacing="0" w:after="0" w:afterAutospacing="0"/>
        <w:ind w:left="0" w:leftChars="0" w:right="0" w:rightChars="0" w:firstLine="420" w:firstLineChars="0"/>
        <w:jc w:val="left"/>
        <w:rPr>
          <w:rFonts w:hint="eastAsia" w:eastAsia="仿宋"/>
          <w:color w:val="FF0000"/>
          <w:highlight w:val="none"/>
          <w:lang w:val="en-US" w:eastAsia="zh-CN"/>
        </w:rPr>
      </w:pPr>
      <w:r>
        <w:rPr>
          <w:rFonts w:hint="eastAsia" w:ascii="仿宋" w:hAnsi="仿宋" w:eastAsia="仿宋"/>
          <w:sz w:val="32"/>
          <w:szCs w:val="32"/>
          <w:highlight w:val="none"/>
        </w:rPr>
        <w:t>住房保障支出</w:t>
      </w:r>
      <w:r>
        <w:rPr>
          <w:rFonts w:ascii="仿宋" w:hAnsi="仿宋" w:eastAsia="仿宋"/>
          <w:sz w:val="32"/>
          <w:u w:color="auto"/>
        </w:rPr>
        <w:t>（221</w:t>
      </w:r>
      <w:r>
        <w:rPr>
          <w:rFonts w:hint="eastAsia" w:ascii="仿宋" w:hAnsi="仿宋" w:eastAsia="仿宋"/>
          <w:sz w:val="32"/>
          <w:szCs w:val="32"/>
          <w:highlight w:val="none"/>
        </w:rPr>
        <w:t>类）年初预算为</w:t>
      </w:r>
      <w:r>
        <w:rPr>
          <w:rFonts w:ascii="仿宋" w:hAnsi="仿宋" w:eastAsia="仿宋"/>
          <w:sz w:val="32"/>
          <w:szCs w:val="32"/>
          <w:highlight w:val="none"/>
        </w:rPr>
        <w:t>109.16</w:t>
      </w:r>
      <w:r>
        <w:rPr>
          <w:rFonts w:hint="eastAsia" w:ascii="仿宋" w:hAnsi="仿宋" w:eastAsia="仿宋"/>
          <w:sz w:val="32"/>
          <w:szCs w:val="32"/>
          <w:highlight w:val="none"/>
        </w:rPr>
        <w:t>万元，支出决算为</w:t>
      </w:r>
      <w:r>
        <w:rPr>
          <w:rFonts w:ascii="仿宋" w:hAnsi="仿宋" w:eastAsia="仿宋"/>
          <w:sz w:val="32"/>
          <w:szCs w:val="32"/>
          <w:highlight w:val="none"/>
        </w:rPr>
        <w:t>106.46</w:t>
      </w:r>
      <w:r>
        <w:rPr>
          <w:rFonts w:hint="eastAsia" w:ascii="仿宋" w:hAnsi="仿宋" w:eastAsia="仿宋"/>
          <w:sz w:val="32"/>
          <w:szCs w:val="32"/>
          <w:highlight w:val="none"/>
        </w:rPr>
        <w:t>万元，完成年初预算的</w:t>
      </w:r>
      <w:r>
        <w:rPr>
          <w:rFonts w:ascii="仿宋" w:hAnsi="仿宋" w:eastAsia="仿宋"/>
          <w:sz w:val="32"/>
          <w:szCs w:val="32"/>
          <w:highlight w:val="none"/>
        </w:rPr>
        <w:t>97.53%</w:t>
      </w:r>
      <w:r>
        <w:rPr>
          <w:rFonts w:hint="eastAsia" w:ascii="仿宋" w:hAnsi="仿宋" w:eastAsia="仿宋"/>
          <w:sz w:val="32"/>
          <w:szCs w:val="32"/>
          <w:highlight w:val="none"/>
        </w:rPr>
        <w:t>。</w:t>
      </w:r>
      <w:r>
        <w:rPr>
          <w:rFonts w:hint="eastAsia" w:ascii="仿宋" w:hAnsi="仿宋" w:eastAsia="仿宋"/>
          <w:color w:val="000000" w:themeColor="text1"/>
          <w:sz w:val="32"/>
          <w:szCs w:val="32"/>
          <w:highlight w:val="none"/>
          <w14:textFill>
            <w14:solidFill>
              <w14:schemeClr w14:val="tx1"/>
            </w14:solidFill>
          </w14:textFill>
        </w:rPr>
        <w:t>预决算</w:t>
      </w:r>
      <w:r>
        <w:rPr>
          <w:rFonts w:hint="eastAsia" w:ascii="仿宋" w:hAnsi="仿宋" w:eastAsia="仿宋"/>
          <w:color w:val="000000" w:themeColor="text1"/>
          <w:sz w:val="32"/>
          <w:szCs w:val="32"/>
          <w:highlight w:val="none"/>
          <w:lang w:val="en-US" w:eastAsia="zh-CN"/>
          <w14:textFill>
            <w14:solidFill>
              <w14:schemeClr w14:val="tx1"/>
            </w14:solidFill>
          </w14:textFill>
        </w:rPr>
        <w:t>存有</w:t>
      </w:r>
      <w:r>
        <w:rPr>
          <w:rFonts w:hint="eastAsia" w:ascii="仿宋" w:hAnsi="仿宋" w:eastAsia="仿宋"/>
          <w:color w:val="000000" w:themeColor="text1"/>
          <w:sz w:val="32"/>
          <w:szCs w:val="32"/>
          <w:highlight w:val="none"/>
          <w14:textFill>
            <w14:solidFill>
              <w14:schemeClr w14:val="tx1"/>
            </w14:solidFill>
          </w14:textFill>
        </w:rPr>
        <w:t>差异</w:t>
      </w:r>
      <w:r>
        <w:rPr>
          <w:rFonts w:hint="eastAsia" w:ascii="仿宋" w:hAnsi="仿宋" w:eastAsia="仿宋"/>
          <w:color w:val="000000" w:themeColor="text1"/>
          <w:sz w:val="32"/>
          <w:szCs w:val="32"/>
          <w:highlight w:val="none"/>
          <w:lang w:val="en-US" w:eastAsia="zh-CN"/>
          <w14:textFill>
            <w14:solidFill>
              <w14:schemeClr w14:val="tx1"/>
            </w14:solidFill>
          </w14:textFill>
        </w:rPr>
        <w:t>原因是：由于年度中有人退休、调出等人员变动和部分资金未能按时支付。</w:t>
      </w:r>
    </w:p>
    <w:p>
      <w:pPr>
        <w:jc w:val="left"/>
        <w:rPr>
          <w:rFonts w:hint="eastAsia" w:ascii="仿宋" w:hAnsi="仿宋" w:eastAsia="仿宋"/>
          <w:sz w:val="32"/>
          <w:szCs w:val="32"/>
          <w:highlight w:val="none"/>
        </w:rPr>
      </w:pPr>
      <w:r>
        <w:rPr>
          <w:rFonts w:hint="eastAsia" w:ascii="仿宋" w:hAnsi="仿宋" w:eastAsia="仿宋"/>
          <w:sz w:val="32"/>
          <w:szCs w:val="32"/>
          <w:highlight w:val="none"/>
          <w:lang w:val="en-US" w:eastAsia="zh-CN"/>
        </w:rPr>
        <w:t>支出具体情况如下</w:t>
      </w:r>
      <w:r>
        <w:rPr>
          <w:rFonts w:hint="eastAsia" w:ascii="仿宋" w:hAnsi="仿宋" w:eastAsia="仿宋"/>
          <w:sz w:val="32"/>
          <w:szCs w:val="32"/>
          <w:highlight w:val="none"/>
        </w:rPr>
        <w:t>：</w:t>
      </w:r>
    </w:p>
    <w:tbl>
      <w:tblPr>
        <w:tblStyle w:val="6"/>
        <w:tblW w:w="8536" w:type="dxa"/>
        <w:tblInd w:w="96"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955"/>
        <w:gridCol w:w="1076"/>
        <w:gridCol w:w="994"/>
        <w:gridCol w:w="806"/>
        <w:gridCol w:w="1097"/>
        <w:gridCol w:w="1783"/>
        <w:gridCol w:w="182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4" w:hRule="atLeast"/>
        </w:trPr>
        <w:tc>
          <w:tcPr>
            <w:tcW w:w="95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20"/>
                <w:szCs w:val="20"/>
                <w:highlight w:val="none"/>
                <w:u w:val="none"/>
                <w:lang w:val="en-US"/>
              </w:rPr>
            </w:pPr>
            <w:r>
              <w:rPr>
                <w:rFonts w:hint="eastAsia" w:ascii="宋体" w:hAnsi="宋体" w:eastAsia="宋体" w:cs="宋体"/>
                <w:i w:val="0"/>
                <w:iCs w:val="0"/>
                <w:color w:val="000000"/>
                <w:kern w:val="0"/>
                <w:sz w:val="20"/>
                <w:szCs w:val="20"/>
                <w:highlight w:val="none"/>
                <w:u w:val="none"/>
                <w:lang w:val="en-US" w:eastAsia="zh-CN" w:bidi="ar"/>
              </w:rPr>
              <w:t>类款项</w:t>
            </w:r>
          </w:p>
        </w:tc>
        <w:tc>
          <w:tcPr>
            <w:tcW w:w="107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科目名称</w:t>
            </w:r>
          </w:p>
        </w:tc>
        <w:tc>
          <w:tcPr>
            <w:tcW w:w="994"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年初预算数</w:t>
            </w:r>
          </w:p>
        </w:tc>
        <w:tc>
          <w:tcPr>
            <w:tcW w:w="80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决算</w:t>
            </w:r>
          </w:p>
        </w:tc>
        <w:tc>
          <w:tcPr>
            <w:tcW w:w="1097"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20"/>
                <w:szCs w:val="20"/>
                <w:highlight w:val="none"/>
                <w:u w:val="none"/>
                <w:lang w:val="en-US"/>
              </w:rPr>
            </w:pPr>
            <w:r>
              <w:rPr>
                <w:rFonts w:hint="eastAsia" w:ascii="宋体" w:hAnsi="宋体" w:eastAsia="宋体" w:cs="宋体"/>
                <w:i w:val="0"/>
                <w:iCs w:val="0"/>
                <w:color w:val="000000"/>
                <w:kern w:val="0"/>
                <w:sz w:val="20"/>
                <w:szCs w:val="20"/>
                <w:highlight w:val="none"/>
                <w:u w:val="none"/>
                <w:lang w:val="en-US" w:eastAsia="zh-CN" w:bidi="ar"/>
              </w:rPr>
              <w:t>完成预算百分比</w:t>
            </w:r>
          </w:p>
        </w:tc>
        <w:tc>
          <w:tcPr>
            <w:tcW w:w="1783"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主要用于</w:t>
            </w:r>
          </w:p>
        </w:tc>
        <w:tc>
          <w:tcPr>
            <w:tcW w:w="182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原因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4" w:hRule="atLeast"/>
        </w:trPr>
        <w:tc>
          <w:tcPr>
            <w:tcW w:w="95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20"/>
                <w:szCs w:val="20"/>
                <w:highlight w:val="none"/>
                <w:u w:val="none"/>
                <w:lang w:val="en-US" w:eastAsia="zh-CN"/>
              </w:rPr>
            </w:pPr>
            <w:r>
              <w:rPr>
                <w:rFonts w:hint="eastAsia" w:ascii="宋体" w:hAnsi="宋体" w:eastAsia="宋体" w:cs="宋体"/>
                <w:i w:val="0"/>
                <w:iCs w:val="0"/>
                <w:color w:val="000000"/>
                <w:sz w:val="20"/>
                <w:szCs w:val="20"/>
                <w:highlight w:val="none"/>
                <w:u w:val="none"/>
                <w:lang w:val="en-US" w:eastAsia="zh-CN"/>
              </w:rPr>
              <w:t>2210201</w:t>
            </w:r>
          </w:p>
        </w:tc>
        <w:tc>
          <w:tcPr>
            <w:tcW w:w="107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20"/>
                <w:szCs w:val="20"/>
                <w:highlight w:val="none"/>
                <w:u w:val="none"/>
                <w:lang w:val="en-US" w:eastAsia="zh-CN"/>
              </w:rPr>
            </w:pPr>
            <w:r>
              <w:rPr>
                <w:rFonts w:hint="eastAsia" w:ascii="宋体" w:hAnsi="宋体" w:eastAsia="宋体" w:cs="宋体"/>
                <w:i w:val="0"/>
                <w:iCs w:val="0"/>
                <w:color w:val="000000"/>
                <w:sz w:val="20"/>
                <w:szCs w:val="20"/>
                <w:highlight w:val="none"/>
                <w:u w:val="none"/>
                <w:lang w:val="en-US" w:eastAsia="zh-CN"/>
              </w:rPr>
              <w:t>住房公积金</w:t>
            </w:r>
          </w:p>
        </w:tc>
        <w:tc>
          <w:tcPr>
            <w:tcW w:w="994"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highlight w:val="none"/>
                <w:u w:val="none"/>
                <w:lang w:val="en-US" w:eastAsia="zh-CN"/>
              </w:rPr>
            </w:pPr>
            <w:r>
              <w:rPr>
                <w:rFonts w:hint="eastAsia" w:ascii="宋体" w:hAnsi="宋体" w:eastAsia="宋体" w:cs="宋体"/>
                <w:i w:val="0"/>
                <w:iCs w:val="0"/>
                <w:color w:val="000000"/>
                <w:sz w:val="18"/>
                <w:szCs w:val="18"/>
                <w:highlight w:val="none"/>
                <w:u w:val="none"/>
                <w:lang w:val="en-US" w:eastAsia="zh-CN"/>
              </w:rPr>
              <w:t>109.16</w:t>
            </w:r>
          </w:p>
        </w:tc>
        <w:tc>
          <w:tcPr>
            <w:tcW w:w="80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kern w:val="2"/>
                <w:sz w:val="18"/>
                <w:szCs w:val="18"/>
                <w:highlight w:val="none"/>
                <w:u w:val="none"/>
                <w:lang w:val="en-US" w:eastAsia="zh-CN" w:bidi="ar-SA"/>
              </w:rPr>
            </w:pPr>
            <w:r>
              <w:rPr>
                <w:rFonts w:hint="eastAsia" w:ascii="宋体" w:hAnsi="宋体" w:eastAsia="宋体" w:cs="宋体"/>
                <w:i w:val="0"/>
                <w:iCs w:val="0"/>
                <w:color w:val="000000"/>
                <w:kern w:val="2"/>
                <w:sz w:val="18"/>
                <w:szCs w:val="18"/>
                <w:highlight w:val="none"/>
                <w:u w:val="none"/>
                <w:lang w:val="en-US" w:eastAsia="zh-CN" w:bidi="ar-SA"/>
              </w:rPr>
              <w:t>106.46</w:t>
            </w:r>
          </w:p>
        </w:tc>
        <w:tc>
          <w:tcPr>
            <w:tcW w:w="1097"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highlight w:val="none"/>
                <w:u w:val="none"/>
                <w:lang w:val="en-US" w:eastAsia="zh-CN"/>
              </w:rPr>
            </w:pPr>
            <w:r>
              <w:rPr>
                <w:rFonts w:hint="eastAsia" w:ascii="宋体" w:hAnsi="宋体" w:eastAsia="宋体" w:cs="宋体"/>
                <w:i w:val="0"/>
                <w:iCs w:val="0"/>
                <w:color w:val="000000"/>
                <w:sz w:val="18"/>
                <w:szCs w:val="18"/>
                <w:highlight w:val="none"/>
                <w:u w:val="none"/>
                <w:lang w:val="en-US" w:eastAsia="zh-CN"/>
              </w:rPr>
              <w:t>97.53%</w:t>
            </w:r>
          </w:p>
        </w:tc>
        <w:tc>
          <w:tcPr>
            <w:tcW w:w="1783"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18"/>
                <w:szCs w:val="18"/>
                <w:highlight w:val="none"/>
                <w:u w:val="none"/>
                <w:lang w:val="en-US" w:eastAsia="zh-CN"/>
              </w:rPr>
            </w:pPr>
            <w:r>
              <w:rPr>
                <w:rFonts w:hint="eastAsia" w:ascii="仿宋" w:hAnsi="仿宋" w:eastAsia="仿宋" w:cs="仿宋"/>
                <w:color w:val="auto"/>
                <w:sz w:val="21"/>
                <w:szCs w:val="21"/>
                <w:highlight w:val="none"/>
                <w:lang w:val="en-US" w:eastAsia="zh-CN"/>
              </w:rPr>
              <w:t>支付学校教职工住房公积金单位部分</w:t>
            </w:r>
          </w:p>
        </w:tc>
        <w:tc>
          <w:tcPr>
            <w:tcW w:w="182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18"/>
                <w:szCs w:val="18"/>
                <w:highlight w:val="none"/>
                <w:u w:val="none"/>
                <w:lang w:val="en-US" w:eastAsia="zh-CN"/>
              </w:rPr>
            </w:pPr>
            <w:r>
              <w:rPr>
                <w:rFonts w:hint="eastAsia" w:ascii="仿宋" w:hAnsi="仿宋" w:eastAsia="仿宋" w:cs="仿宋"/>
                <w:color w:val="auto"/>
                <w:sz w:val="18"/>
                <w:szCs w:val="18"/>
                <w:highlight w:val="none"/>
                <w:lang w:val="en-US" w:eastAsia="zh-CN"/>
              </w:rPr>
              <w:t>由于年度中有人退休、、调出等人员变动和部分资金未能按时支付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4" w:hRule="atLeast"/>
        </w:trPr>
        <w:tc>
          <w:tcPr>
            <w:tcW w:w="95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20"/>
                <w:szCs w:val="20"/>
                <w:highlight w:val="none"/>
                <w:u w:val="none"/>
                <w:lang w:val="en-US" w:eastAsia="zh-CN"/>
              </w:rPr>
            </w:pPr>
            <w:r>
              <w:rPr>
                <w:rFonts w:hint="eastAsia" w:ascii="宋体" w:hAnsi="宋体" w:eastAsia="宋体" w:cs="宋体"/>
                <w:i w:val="0"/>
                <w:iCs w:val="0"/>
                <w:color w:val="000000"/>
                <w:sz w:val="20"/>
                <w:szCs w:val="20"/>
                <w:highlight w:val="none"/>
                <w:u w:val="none"/>
                <w:lang w:val="en-US" w:eastAsia="zh-CN"/>
              </w:rPr>
              <w:t>合计数</w:t>
            </w:r>
          </w:p>
        </w:tc>
        <w:tc>
          <w:tcPr>
            <w:tcW w:w="107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20"/>
                <w:szCs w:val="20"/>
                <w:highlight w:val="none"/>
                <w:u w:val="none"/>
                <w:lang w:val="en-US" w:eastAsia="zh-CN"/>
              </w:rPr>
            </w:pPr>
          </w:p>
        </w:tc>
        <w:tc>
          <w:tcPr>
            <w:tcW w:w="994"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highlight w:val="none"/>
                <w:u w:val="none"/>
                <w:lang w:val="en-US" w:eastAsia="zh-CN"/>
              </w:rPr>
            </w:pPr>
            <w:r>
              <w:rPr>
                <w:rFonts w:hint="eastAsia" w:ascii="宋体" w:hAnsi="宋体" w:eastAsia="宋体" w:cs="宋体"/>
                <w:i w:val="0"/>
                <w:iCs w:val="0"/>
                <w:color w:val="000000"/>
                <w:sz w:val="18"/>
                <w:szCs w:val="18"/>
                <w:highlight w:val="none"/>
                <w:u w:val="none"/>
                <w:lang w:val="en-US" w:eastAsia="zh-CN"/>
              </w:rPr>
              <w:t>109.16</w:t>
            </w:r>
          </w:p>
        </w:tc>
        <w:tc>
          <w:tcPr>
            <w:tcW w:w="80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kern w:val="2"/>
                <w:sz w:val="18"/>
                <w:szCs w:val="18"/>
                <w:highlight w:val="none"/>
                <w:u w:val="none"/>
                <w:lang w:val="en-US" w:eastAsia="zh-CN" w:bidi="ar-SA"/>
              </w:rPr>
            </w:pPr>
            <w:r>
              <w:rPr>
                <w:rFonts w:hint="eastAsia" w:ascii="宋体" w:hAnsi="宋体" w:eastAsia="宋体" w:cs="宋体"/>
                <w:i w:val="0"/>
                <w:iCs w:val="0"/>
                <w:color w:val="000000"/>
                <w:kern w:val="2"/>
                <w:sz w:val="18"/>
                <w:szCs w:val="18"/>
                <w:highlight w:val="none"/>
                <w:u w:val="none"/>
                <w:lang w:val="en-US" w:eastAsia="zh-CN" w:bidi="ar-SA"/>
              </w:rPr>
              <w:t>106.46</w:t>
            </w:r>
          </w:p>
        </w:tc>
        <w:tc>
          <w:tcPr>
            <w:tcW w:w="1097"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highlight w:val="none"/>
                <w:u w:val="none"/>
                <w:lang w:val="en-US" w:eastAsia="zh-CN"/>
              </w:rPr>
            </w:pPr>
          </w:p>
        </w:tc>
        <w:tc>
          <w:tcPr>
            <w:tcW w:w="1783"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18"/>
                <w:szCs w:val="18"/>
                <w:highlight w:val="none"/>
                <w:u w:val="none"/>
                <w:lang w:val="en-US" w:eastAsia="zh-CN"/>
              </w:rPr>
            </w:pPr>
            <w:r>
              <w:rPr>
                <w:rFonts w:hint="eastAsia" w:ascii="仿宋" w:hAnsi="仿宋" w:eastAsia="仿宋" w:cs="仿宋"/>
                <w:color w:val="auto"/>
                <w:sz w:val="21"/>
                <w:szCs w:val="21"/>
                <w:highlight w:val="none"/>
                <w:lang w:val="en-US" w:eastAsia="zh-CN"/>
              </w:rPr>
              <w:t>支付学校教职工住房公积金单位部分</w:t>
            </w:r>
          </w:p>
        </w:tc>
        <w:tc>
          <w:tcPr>
            <w:tcW w:w="182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18"/>
                <w:szCs w:val="18"/>
                <w:highlight w:val="none"/>
                <w:u w:val="none"/>
                <w:lang w:val="en-US" w:eastAsia="zh-CN"/>
              </w:rPr>
            </w:pPr>
            <w:r>
              <w:rPr>
                <w:rFonts w:hint="eastAsia" w:ascii="仿宋" w:hAnsi="仿宋" w:eastAsia="仿宋" w:cs="仿宋"/>
                <w:color w:val="auto"/>
                <w:sz w:val="18"/>
                <w:szCs w:val="18"/>
                <w:highlight w:val="none"/>
                <w:lang w:val="en-US" w:eastAsia="zh-CN"/>
              </w:rPr>
              <w:t>由于年度中有人退休、、调出等人员变动和部分资金未能按时支付</w:t>
            </w:r>
          </w:p>
        </w:tc>
      </w:tr>
    </w:tbl>
    <w:p>
      <w:pPr>
        <w:jc w:val="left"/>
        <w:rPr>
          <w:rFonts w:hint="eastAsia" w:ascii="仿宋" w:hAnsi="仿宋" w:eastAsia="仿宋"/>
          <w:sz w:val="32"/>
          <w:szCs w:val="32"/>
          <w:highlight w:val="none"/>
        </w:rPr>
      </w:pPr>
    </w:p>
    <w:p>
      <w:pPr>
        <w:jc w:val="center"/>
        <w:rPr>
          <w:rFonts w:ascii="仿宋" w:hAnsi="仿宋" w:eastAsia="仿宋"/>
          <w:sz w:val="32"/>
          <w:szCs w:val="32"/>
          <w:highlight w:val="none"/>
        </w:rPr>
      </w:pPr>
      <w:r>
        <w:rPr>
          <w:rFonts w:hint="eastAsia" w:ascii="仿宋" w:hAnsi="仿宋" w:eastAsia="仿宋" w:cs="仿宋"/>
          <w:sz w:val="32"/>
          <w:szCs w:val="32"/>
          <w:highlight w:val="none"/>
        </w:rPr>
        <w:drawing>
          <wp:inline distT="0" distB="0" distL="114300" distR="114300">
            <wp:extent cx="4474845" cy="3215640"/>
            <wp:effectExtent l="4445" t="4445" r="16510" b="5715"/>
            <wp:docPr id="12" name="图表 4" title="{{ybggysgnkm_chart}}"/>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pPr>
        <w:keepNext w:val="0"/>
        <w:keepLines w:val="0"/>
        <w:widowControl w:val="0"/>
        <w:numPr>
          <w:ilvl w:val="0"/>
          <w:numId w:val="1"/>
        </w:numPr>
        <w:suppressLineNumbers w:val="0"/>
        <w:spacing w:before="0" w:beforeAutospacing="0" w:after="0" w:afterAutospacing="0"/>
        <w:ind w:left="0" w:leftChars="0" w:right="0" w:rightChars="0" w:firstLine="420" w:firstLineChars="0"/>
        <w:jc w:val="left"/>
        <w:rPr>
          <w:rFonts w:hint="eastAsia" w:eastAsia="仿宋"/>
          <w:color w:val="FF0000"/>
          <w:highlight w:val="none"/>
          <w:lang w:val="en-US" w:eastAsia="zh-CN"/>
        </w:rPr>
      </w:pPr>
      <w:r>
        <w:rPr>
          <w:rFonts w:hint="eastAsia" w:ascii="仿宋" w:hAnsi="仿宋" w:eastAsia="仿宋"/>
          <w:sz w:val="32"/>
          <w:szCs w:val="32"/>
          <w:highlight w:val="none"/>
        </w:rPr>
        <w:t>其他支出</w:t>
      </w:r>
      <w:r>
        <w:rPr>
          <w:rFonts w:ascii="仿宋" w:hAnsi="仿宋" w:eastAsia="仿宋"/>
          <w:sz w:val="32"/>
          <w:u w:color="auto"/>
        </w:rPr>
        <w:t>（229</w:t>
      </w:r>
      <w:r>
        <w:rPr>
          <w:rFonts w:hint="eastAsia" w:ascii="仿宋" w:hAnsi="仿宋" w:eastAsia="仿宋"/>
          <w:sz w:val="32"/>
          <w:szCs w:val="32"/>
          <w:highlight w:val="none"/>
        </w:rPr>
        <w:t>类）年初预算为</w:t>
      </w:r>
      <w:r>
        <w:rPr>
          <w:rFonts w:ascii="仿宋" w:hAnsi="仿宋" w:eastAsia="仿宋"/>
          <w:sz w:val="32"/>
          <w:szCs w:val="32"/>
          <w:highlight w:val="none"/>
        </w:rPr>
        <w:t>0.00</w:t>
      </w:r>
      <w:r>
        <w:rPr>
          <w:rFonts w:hint="eastAsia" w:ascii="仿宋" w:hAnsi="仿宋" w:eastAsia="仿宋"/>
          <w:sz w:val="32"/>
          <w:szCs w:val="32"/>
          <w:highlight w:val="none"/>
        </w:rPr>
        <w:t>万元，支出决算为</w:t>
      </w:r>
      <w:r>
        <w:rPr>
          <w:rFonts w:ascii="仿宋" w:hAnsi="仿宋" w:eastAsia="仿宋"/>
          <w:sz w:val="32"/>
          <w:szCs w:val="32"/>
          <w:highlight w:val="none"/>
        </w:rPr>
        <w:t>183.12</w:t>
      </w:r>
      <w:r>
        <w:rPr>
          <w:rFonts w:hint="eastAsia" w:ascii="仿宋" w:hAnsi="仿宋" w:eastAsia="仿宋"/>
          <w:sz w:val="32"/>
          <w:szCs w:val="32"/>
          <w:highlight w:val="none"/>
        </w:rPr>
        <w:t>万元，完成年初预算的</w:t>
      </w:r>
      <w:r>
        <w:rPr>
          <w:rFonts w:ascii="仿宋" w:hAnsi="仿宋" w:eastAsia="仿宋"/>
          <w:sz w:val="32"/>
          <w:szCs w:val="32"/>
          <w:highlight w:val="none"/>
        </w:rPr>
        <w:t>100.00%</w:t>
      </w:r>
      <w:r>
        <w:rPr>
          <w:rFonts w:hint="eastAsia" w:ascii="仿宋" w:hAnsi="仿宋" w:eastAsia="仿宋"/>
          <w:sz w:val="32"/>
          <w:szCs w:val="32"/>
          <w:highlight w:val="none"/>
        </w:rPr>
        <w:t>。</w:t>
      </w:r>
      <w:r>
        <w:rPr>
          <w:rFonts w:hint="eastAsia" w:ascii="仿宋" w:hAnsi="仿宋" w:eastAsia="仿宋"/>
          <w:color w:val="000000" w:themeColor="text1"/>
          <w:sz w:val="32"/>
          <w:szCs w:val="32"/>
          <w:highlight w:val="none"/>
          <w14:textFill>
            <w14:solidFill>
              <w14:schemeClr w14:val="tx1"/>
            </w14:solidFill>
          </w14:textFill>
        </w:rPr>
        <w:t>预决算</w:t>
      </w:r>
      <w:r>
        <w:rPr>
          <w:rFonts w:hint="eastAsia" w:ascii="仿宋" w:hAnsi="仿宋" w:eastAsia="仿宋"/>
          <w:color w:val="000000" w:themeColor="text1"/>
          <w:sz w:val="32"/>
          <w:szCs w:val="32"/>
          <w:highlight w:val="none"/>
          <w:lang w:val="en-US" w:eastAsia="zh-CN"/>
          <w14:textFill>
            <w14:solidFill>
              <w14:schemeClr w14:val="tx1"/>
            </w14:solidFill>
          </w14:textFill>
        </w:rPr>
        <w:t>存有</w:t>
      </w:r>
      <w:r>
        <w:rPr>
          <w:rFonts w:hint="eastAsia" w:ascii="仿宋" w:hAnsi="仿宋" w:eastAsia="仿宋"/>
          <w:color w:val="000000" w:themeColor="text1"/>
          <w:sz w:val="32"/>
          <w:szCs w:val="32"/>
          <w:highlight w:val="none"/>
          <w14:textFill>
            <w14:solidFill>
              <w14:schemeClr w14:val="tx1"/>
            </w14:solidFill>
          </w14:textFill>
        </w:rPr>
        <w:t>差异</w:t>
      </w:r>
      <w:r>
        <w:rPr>
          <w:rFonts w:hint="eastAsia" w:ascii="仿宋" w:hAnsi="仿宋" w:eastAsia="仿宋"/>
          <w:color w:val="000000" w:themeColor="text1"/>
          <w:sz w:val="32"/>
          <w:szCs w:val="32"/>
          <w:highlight w:val="none"/>
          <w:lang w:val="en-US" w:eastAsia="zh-CN"/>
          <w14:textFill>
            <w14:solidFill>
              <w14:schemeClr w14:val="tx1"/>
            </w14:solidFill>
          </w14:textFill>
        </w:rPr>
        <w:t>原因是：2022年度的其他支出不在预算一体化中体现。</w:t>
      </w:r>
    </w:p>
    <w:p>
      <w:pPr>
        <w:jc w:val="left"/>
        <w:rPr>
          <w:rFonts w:hint="eastAsia" w:ascii="仿宋" w:hAnsi="仿宋" w:eastAsia="仿宋"/>
          <w:sz w:val="32"/>
          <w:szCs w:val="32"/>
          <w:highlight w:val="none"/>
        </w:rPr>
      </w:pPr>
      <w:r>
        <w:rPr>
          <w:rFonts w:hint="eastAsia" w:ascii="仿宋" w:hAnsi="仿宋" w:eastAsia="仿宋"/>
          <w:sz w:val="32"/>
          <w:szCs w:val="32"/>
          <w:highlight w:val="none"/>
          <w:lang w:val="en-US" w:eastAsia="zh-CN"/>
        </w:rPr>
        <w:t>支出具体情况如下</w:t>
      </w:r>
      <w:r>
        <w:rPr>
          <w:rFonts w:hint="eastAsia" w:ascii="仿宋" w:hAnsi="仿宋" w:eastAsia="仿宋"/>
          <w:sz w:val="32"/>
          <w:szCs w:val="32"/>
          <w:highlight w:val="none"/>
        </w:rPr>
        <w:t>：</w:t>
      </w:r>
    </w:p>
    <w:tbl>
      <w:tblPr>
        <w:tblStyle w:val="6"/>
        <w:tblW w:w="8536" w:type="dxa"/>
        <w:tblInd w:w="96"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955"/>
        <w:gridCol w:w="1076"/>
        <w:gridCol w:w="994"/>
        <w:gridCol w:w="806"/>
        <w:gridCol w:w="1097"/>
        <w:gridCol w:w="1783"/>
        <w:gridCol w:w="182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4" w:hRule="atLeast"/>
        </w:trPr>
        <w:tc>
          <w:tcPr>
            <w:tcW w:w="95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20"/>
                <w:szCs w:val="20"/>
                <w:highlight w:val="none"/>
                <w:u w:val="none"/>
                <w:lang w:val="en-US"/>
              </w:rPr>
            </w:pPr>
            <w:r>
              <w:rPr>
                <w:rFonts w:hint="eastAsia" w:ascii="宋体" w:hAnsi="宋体" w:eastAsia="宋体" w:cs="宋体"/>
                <w:i w:val="0"/>
                <w:iCs w:val="0"/>
                <w:color w:val="000000"/>
                <w:kern w:val="0"/>
                <w:sz w:val="20"/>
                <w:szCs w:val="20"/>
                <w:highlight w:val="none"/>
                <w:u w:val="none"/>
                <w:lang w:val="en-US" w:eastAsia="zh-CN" w:bidi="ar"/>
              </w:rPr>
              <w:t>类款项</w:t>
            </w:r>
          </w:p>
        </w:tc>
        <w:tc>
          <w:tcPr>
            <w:tcW w:w="107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科目名称</w:t>
            </w:r>
          </w:p>
        </w:tc>
        <w:tc>
          <w:tcPr>
            <w:tcW w:w="994"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年初预算数</w:t>
            </w:r>
          </w:p>
        </w:tc>
        <w:tc>
          <w:tcPr>
            <w:tcW w:w="80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决算</w:t>
            </w:r>
          </w:p>
        </w:tc>
        <w:tc>
          <w:tcPr>
            <w:tcW w:w="1097"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20"/>
                <w:szCs w:val="20"/>
                <w:highlight w:val="none"/>
                <w:u w:val="none"/>
                <w:lang w:val="en-US"/>
              </w:rPr>
            </w:pPr>
            <w:r>
              <w:rPr>
                <w:rFonts w:hint="eastAsia" w:ascii="宋体" w:hAnsi="宋体" w:eastAsia="宋体" w:cs="宋体"/>
                <w:i w:val="0"/>
                <w:iCs w:val="0"/>
                <w:color w:val="000000"/>
                <w:kern w:val="0"/>
                <w:sz w:val="20"/>
                <w:szCs w:val="20"/>
                <w:highlight w:val="none"/>
                <w:u w:val="none"/>
                <w:lang w:val="en-US" w:eastAsia="zh-CN" w:bidi="ar"/>
              </w:rPr>
              <w:t>完成预算百分比</w:t>
            </w:r>
          </w:p>
        </w:tc>
        <w:tc>
          <w:tcPr>
            <w:tcW w:w="1783"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主要用于</w:t>
            </w:r>
          </w:p>
        </w:tc>
        <w:tc>
          <w:tcPr>
            <w:tcW w:w="182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原因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4" w:hRule="atLeast"/>
        </w:trPr>
        <w:tc>
          <w:tcPr>
            <w:tcW w:w="95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20"/>
                <w:szCs w:val="20"/>
                <w:highlight w:val="none"/>
                <w:u w:val="none"/>
                <w:lang w:val="en-US" w:eastAsia="zh-CN"/>
              </w:rPr>
            </w:pPr>
            <w:r>
              <w:rPr>
                <w:rFonts w:hint="eastAsia" w:ascii="宋体" w:hAnsi="宋体" w:eastAsia="宋体" w:cs="宋体"/>
                <w:i w:val="0"/>
                <w:iCs w:val="0"/>
                <w:color w:val="000000"/>
                <w:sz w:val="20"/>
                <w:szCs w:val="20"/>
                <w:highlight w:val="none"/>
                <w:u w:val="none"/>
                <w:lang w:val="en-US" w:eastAsia="zh-CN"/>
              </w:rPr>
              <w:t>2299999</w:t>
            </w:r>
          </w:p>
        </w:tc>
        <w:tc>
          <w:tcPr>
            <w:tcW w:w="107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20"/>
                <w:szCs w:val="20"/>
                <w:highlight w:val="none"/>
                <w:u w:val="none"/>
                <w:lang w:val="en-US" w:eastAsia="zh-CN"/>
              </w:rPr>
            </w:pPr>
            <w:r>
              <w:rPr>
                <w:rFonts w:hint="eastAsia" w:ascii="宋体" w:hAnsi="宋体" w:eastAsia="宋体" w:cs="宋体"/>
                <w:i w:val="0"/>
                <w:iCs w:val="0"/>
                <w:color w:val="000000"/>
                <w:sz w:val="20"/>
                <w:szCs w:val="20"/>
                <w:highlight w:val="none"/>
                <w:u w:val="none"/>
                <w:lang w:val="en-US" w:eastAsia="zh-CN"/>
              </w:rPr>
              <w:t>其他支出</w:t>
            </w:r>
          </w:p>
        </w:tc>
        <w:tc>
          <w:tcPr>
            <w:tcW w:w="994"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highlight w:val="none"/>
                <w:u w:val="none"/>
                <w:lang w:val="en-US" w:eastAsia="zh-CN"/>
              </w:rPr>
            </w:pPr>
            <w:r>
              <w:rPr>
                <w:rFonts w:hint="eastAsia" w:ascii="宋体" w:hAnsi="宋体" w:eastAsia="宋体" w:cs="宋体"/>
                <w:i w:val="0"/>
                <w:iCs w:val="0"/>
                <w:color w:val="000000"/>
                <w:sz w:val="18"/>
                <w:szCs w:val="18"/>
                <w:highlight w:val="none"/>
                <w:u w:val="none"/>
                <w:lang w:val="en-US" w:eastAsia="zh-CN"/>
              </w:rPr>
              <w:t>0.00</w:t>
            </w:r>
          </w:p>
        </w:tc>
        <w:tc>
          <w:tcPr>
            <w:tcW w:w="80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kern w:val="2"/>
                <w:sz w:val="18"/>
                <w:szCs w:val="18"/>
                <w:highlight w:val="none"/>
                <w:u w:val="none"/>
                <w:lang w:val="en-US" w:eastAsia="zh-CN" w:bidi="ar-SA"/>
              </w:rPr>
            </w:pPr>
            <w:r>
              <w:rPr>
                <w:rFonts w:hint="eastAsia" w:ascii="宋体" w:hAnsi="宋体" w:eastAsia="宋体" w:cs="宋体"/>
                <w:i w:val="0"/>
                <w:iCs w:val="0"/>
                <w:color w:val="000000"/>
                <w:kern w:val="2"/>
                <w:sz w:val="18"/>
                <w:szCs w:val="18"/>
                <w:highlight w:val="none"/>
                <w:u w:val="none"/>
                <w:lang w:val="en-US" w:eastAsia="zh-CN" w:bidi="ar-SA"/>
              </w:rPr>
              <w:t>183.12</w:t>
            </w:r>
          </w:p>
        </w:tc>
        <w:tc>
          <w:tcPr>
            <w:tcW w:w="1097"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highlight w:val="none"/>
                <w:u w:val="none"/>
                <w:lang w:val="en-US" w:eastAsia="zh-CN"/>
              </w:rPr>
            </w:pPr>
            <w:r>
              <w:rPr>
                <w:rFonts w:hint="eastAsia" w:ascii="宋体" w:hAnsi="宋体" w:eastAsia="宋体" w:cs="宋体"/>
                <w:i w:val="0"/>
                <w:iCs w:val="0"/>
                <w:color w:val="000000"/>
                <w:sz w:val="18"/>
                <w:szCs w:val="18"/>
                <w:highlight w:val="none"/>
                <w:u w:val="none"/>
                <w:lang w:val="en-US" w:eastAsia="zh-CN"/>
              </w:rPr>
              <w:t>100.00%</w:t>
            </w:r>
          </w:p>
        </w:tc>
        <w:tc>
          <w:tcPr>
            <w:tcW w:w="1783"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18"/>
                <w:szCs w:val="18"/>
                <w:highlight w:val="none"/>
                <w:u w:val="none"/>
                <w:lang w:val="en-US" w:eastAsia="zh-CN"/>
              </w:rPr>
            </w:pPr>
            <w:r>
              <w:rPr>
                <w:rFonts w:hint="eastAsia" w:ascii="仿宋" w:hAnsi="仿宋" w:eastAsia="仿宋" w:cs="仿宋"/>
                <w:color w:val="auto"/>
                <w:sz w:val="21"/>
                <w:szCs w:val="21"/>
                <w:highlight w:val="none"/>
                <w:lang w:val="en-US" w:eastAsia="zh-CN"/>
              </w:rPr>
              <w:t>用于支付2022年度绩效考评奖励金</w:t>
            </w:r>
          </w:p>
        </w:tc>
        <w:tc>
          <w:tcPr>
            <w:tcW w:w="182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18"/>
                <w:szCs w:val="18"/>
                <w:highlight w:val="none"/>
                <w:u w:val="none"/>
                <w:lang w:val="en-US" w:eastAsia="zh-CN"/>
              </w:rPr>
            </w:pPr>
            <w:r>
              <w:rPr>
                <w:rFonts w:hint="eastAsia" w:ascii="仿宋" w:hAnsi="仿宋" w:eastAsia="仿宋" w:cs="仿宋"/>
                <w:color w:val="auto"/>
                <w:sz w:val="18"/>
                <w:szCs w:val="18"/>
                <w:highlight w:val="none"/>
                <w:lang w:val="en-US" w:eastAsia="zh-CN"/>
              </w:rPr>
              <w:t>2022年度的其他支出不在预算一体化中体现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4" w:hRule="atLeast"/>
        </w:trPr>
        <w:tc>
          <w:tcPr>
            <w:tcW w:w="95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20"/>
                <w:szCs w:val="20"/>
                <w:highlight w:val="none"/>
                <w:u w:val="none"/>
                <w:lang w:val="en-US" w:eastAsia="zh-CN"/>
              </w:rPr>
            </w:pPr>
            <w:r>
              <w:rPr>
                <w:rFonts w:hint="eastAsia" w:ascii="宋体" w:hAnsi="宋体" w:eastAsia="宋体" w:cs="宋体"/>
                <w:i w:val="0"/>
                <w:iCs w:val="0"/>
                <w:color w:val="000000"/>
                <w:sz w:val="20"/>
                <w:szCs w:val="20"/>
                <w:highlight w:val="none"/>
                <w:u w:val="none"/>
                <w:lang w:val="en-US" w:eastAsia="zh-CN"/>
              </w:rPr>
              <w:t>合计数</w:t>
            </w:r>
          </w:p>
        </w:tc>
        <w:tc>
          <w:tcPr>
            <w:tcW w:w="107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20"/>
                <w:szCs w:val="20"/>
                <w:highlight w:val="none"/>
                <w:u w:val="none"/>
                <w:lang w:val="en-US" w:eastAsia="zh-CN"/>
              </w:rPr>
            </w:pPr>
          </w:p>
        </w:tc>
        <w:tc>
          <w:tcPr>
            <w:tcW w:w="994"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highlight w:val="none"/>
                <w:u w:val="none"/>
                <w:lang w:val="en-US" w:eastAsia="zh-CN"/>
              </w:rPr>
            </w:pPr>
          </w:p>
        </w:tc>
        <w:tc>
          <w:tcPr>
            <w:tcW w:w="80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kern w:val="2"/>
                <w:sz w:val="18"/>
                <w:szCs w:val="18"/>
                <w:highlight w:val="none"/>
                <w:u w:val="none"/>
                <w:lang w:val="en-US" w:eastAsia="zh-CN" w:bidi="ar-SA"/>
              </w:rPr>
            </w:pPr>
            <w:r>
              <w:rPr>
                <w:rFonts w:hint="eastAsia" w:ascii="宋体" w:hAnsi="宋体" w:eastAsia="宋体" w:cs="宋体"/>
                <w:i w:val="0"/>
                <w:iCs w:val="0"/>
                <w:color w:val="000000"/>
                <w:kern w:val="2"/>
                <w:sz w:val="18"/>
                <w:szCs w:val="18"/>
                <w:highlight w:val="none"/>
                <w:u w:val="none"/>
                <w:lang w:val="en-US" w:eastAsia="zh-CN" w:bidi="ar-SA"/>
              </w:rPr>
              <w:t>183.12</w:t>
            </w:r>
          </w:p>
        </w:tc>
        <w:tc>
          <w:tcPr>
            <w:tcW w:w="1097"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highlight w:val="none"/>
                <w:u w:val="none"/>
                <w:lang w:val="en-US" w:eastAsia="zh-CN"/>
              </w:rPr>
            </w:pPr>
          </w:p>
        </w:tc>
        <w:tc>
          <w:tcPr>
            <w:tcW w:w="1783"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18"/>
                <w:szCs w:val="18"/>
                <w:highlight w:val="none"/>
                <w:u w:val="none"/>
                <w:lang w:val="en-US" w:eastAsia="zh-CN"/>
              </w:rPr>
            </w:pPr>
            <w:r>
              <w:rPr>
                <w:rFonts w:hint="eastAsia" w:ascii="仿宋" w:hAnsi="仿宋" w:eastAsia="仿宋" w:cs="仿宋"/>
                <w:color w:val="auto"/>
                <w:sz w:val="21"/>
                <w:szCs w:val="21"/>
                <w:highlight w:val="none"/>
                <w:lang w:val="en-US" w:eastAsia="zh-CN"/>
              </w:rPr>
              <w:t>用于支付2022年度绩效考评奖励金</w:t>
            </w:r>
          </w:p>
        </w:tc>
        <w:tc>
          <w:tcPr>
            <w:tcW w:w="182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18"/>
                <w:szCs w:val="18"/>
                <w:highlight w:val="none"/>
                <w:u w:val="none"/>
                <w:lang w:val="en-US" w:eastAsia="zh-CN"/>
              </w:rPr>
            </w:pPr>
            <w:r>
              <w:rPr>
                <w:rFonts w:hint="eastAsia" w:ascii="仿宋" w:hAnsi="仿宋" w:eastAsia="仿宋" w:cs="仿宋"/>
                <w:color w:val="auto"/>
                <w:sz w:val="18"/>
                <w:szCs w:val="18"/>
                <w:highlight w:val="none"/>
                <w:lang w:val="en-US" w:eastAsia="zh-CN"/>
              </w:rPr>
              <w:t>2022年度的其他支出不在预算一体化中体现</w:t>
            </w:r>
          </w:p>
        </w:tc>
      </w:tr>
    </w:tbl>
    <w:p>
      <w:pPr>
        <w:jc w:val="left"/>
        <w:rPr>
          <w:rFonts w:hint="eastAsia" w:ascii="仿宋" w:hAnsi="仿宋" w:eastAsia="仿宋"/>
          <w:sz w:val="32"/>
          <w:szCs w:val="32"/>
          <w:highlight w:val="none"/>
        </w:rPr>
      </w:pPr>
    </w:p>
    <w:p>
      <w:pPr>
        <w:jc w:val="center"/>
        <w:rPr>
          <w:rFonts w:ascii="仿宋" w:hAnsi="仿宋" w:eastAsia="仿宋"/>
          <w:sz w:val="32"/>
          <w:szCs w:val="32"/>
          <w:highlight w:val="none"/>
        </w:rPr>
      </w:pPr>
      <w:r>
        <w:rPr>
          <w:rFonts w:hint="eastAsia" w:ascii="仿宋" w:hAnsi="仿宋" w:eastAsia="仿宋" w:cs="仿宋"/>
          <w:sz w:val="32"/>
          <w:szCs w:val="32"/>
          <w:highlight w:val="none"/>
        </w:rPr>
        <w:drawing>
          <wp:inline distT="0" distB="0" distL="114300" distR="114300">
            <wp:extent cx="4474845" cy="3215640"/>
            <wp:effectExtent l="4445" t="4445" r="16510" b="5715"/>
            <wp:docPr id="14" name="图表 4" title="{{ybggysgnkm_chart}}"/>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pPr>
        <w:jc w:val="left"/>
        <w:rPr>
          <w:rFonts w:ascii="仿宋" w:hAnsi="仿宋" w:eastAsia="仿宋" w:cs="仿宋"/>
          <w:sz w:val="32"/>
          <w:szCs w:val="32"/>
          <w:highlight w:val="none"/>
        </w:rPr>
      </w:pPr>
      <w:r>
        <w:rPr>
          <w:rFonts w:hint="eastAsia" w:ascii="黑体" w:hAnsi="黑体" w:eastAsia="黑体" w:cs="黑体"/>
          <w:sz w:val="32"/>
          <w:szCs w:val="32"/>
          <w:highlight w:val="none"/>
        </w:rPr>
        <w:t>三、2022年度一般公共预算财政拨款基本支出决算情况说明</w:t>
      </w:r>
    </w:p>
    <w:p>
      <w:pPr>
        <w:ind w:firstLine="640" w:firstLineChars="200"/>
        <w:jc w:val="left"/>
        <w:rPr>
          <w:rFonts w:ascii="仿宋" w:hAnsi="仿宋" w:eastAsia="仿宋" w:cs="仿宋"/>
          <w:sz w:val="32"/>
          <w:szCs w:val="32"/>
          <w:highlight w:val="none"/>
        </w:rPr>
      </w:pPr>
      <w:r>
        <w:rPr>
          <w:rFonts w:hint="eastAsia" w:ascii="仿宋" w:hAnsi="仿宋" w:eastAsia="仿宋" w:cs="仿宋"/>
          <w:sz w:val="32"/>
          <w:szCs w:val="32"/>
          <w:highlight w:val="none"/>
        </w:rPr>
        <w:t>环江毛南族自治县民族中学2022年度一般公共预算财政拨款基本支出</w:t>
      </w:r>
      <w:r>
        <w:rPr>
          <w:rFonts w:ascii="仿宋" w:hAnsi="仿宋" w:eastAsia="仿宋" w:cs="仿宋"/>
          <w:sz w:val="32"/>
          <w:u w:color="auto"/>
        </w:rPr>
        <w:t>1894.29</w:t>
      </w:r>
      <w:r>
        <w:rPr>
          <w:rFonts w:hint="eastAsia" w:ascii="仿宋" w:hAnsi="仿宋" w:eastAsia="仿宋" w:cs="仿宋"/>
          <w:sz w:val="32"/>
          <w:szCs w:val="32"/>
          <w:highlight w:val="none"/>
        </w:rPr>
        <w:t>万元，</w:t>
      </w:r>
      <w:r>
        <w:rPr>
          <w:rFonts w:hint="default" w:ascii="仿宋_GB2312" w:hAnsi="微软雅黑" w:eastAsia="仿宋_GB2312" w:cs="仿宋_GB2312"/>
          <w:i w:val="0"/>
          <w:iCs w:val="0"/>
          <w:caps w:val="0"/>
          <w:color w:val="000000"/>
          <w:spacing w:val="0"/>
          <w:sz w:val="31"/>
          <w:szCs w:val="31"/>
          <w:highlight w:val="none"/>
          <w:shd w:val="clear" w:color="auto" w:fill="FFFFFF"/>
        </w:rPr>
        <w:t>其中：人员经费支出</w:t>
      </w:r>
      <w:r>
        <w:rPr>
          <w:rFonts w:hint="eastAsia" w:ascii="仿宋" w:hAnsi="仿宋" w:eastAsia="仿宋" w:cs="仿宋"/>
          <w:sz w:val="32"/>
          <w:szCs w:val="32"/>
          <w:highlight w:val="none"/>
        </w:rPr>
        <w:t>1661.25</w:t>
      </w:r>
      <w:r>
        <w:rPr>
          <w:rFonts w:hint="default" w:ascii="仿宋_GB2312" w:hAnsi="微软雅黑" w:eastAsia="仿宋_GB2312" w:cs="仿宋_GB2312"/>
          <w:i w:val="0"/>
          <w:iCs w:val="0"/>
          <w:caps w:val="0"/>
          <w:color w:val="000000"/>
          <w:spacing w:val="0"/>
          <w:sz w:val="31"/>
          <w:szCs w:val="31"/>
          <w:highlight w:val="none"/>
          <w:shd w:val="clear" w:color="auto" w:fill="FFFFFF"/>
        </w:rPr>
        <w:t>万元，公用经费支出</w:t>
      </w:r>
      <w:r>
        <w:rPr>
          <w:rFonts w:hint="eastAsia" w:ascii="仿宋" w:hAnsi="仿宋" w:eastAsia="仿宋" w:cs="仿宋"/>
          <w:sz w:val="32"/>
          <w:szCs w:val="32"/>
          <w:highlight w:val="none"/>
        </w:rPr>
        <w:t>233.04</w:t>
      </w:r>
      <w:r>
        <w:rPr>
          <w:rFonts w:hint="default" w:ascii="仿宋_GB2312" w:hAnsi="微软雅黑" w:eastAsia="仿宋_GB2312" w:cs="仿宋_GB2312"/>
          <w:i w:val="0"/>
          <w:iCs w:val="0"/>
          <w:caps w:val="0"/>
          <w:color w:val="000000"/>
          <w:spacing w:val="0"/>
          <w:sz w:val="31"/>
          <w:szCs w:val="31"/>
          <w:highlight w:val="none"/>
          <w:shd w:val="clear" w:color="auto" w:fill="FFFFFF"/>
        </w:rPr>
        <w:t>万元，</w:t>
      </w:r>
      <w:r>
        <w:rPr>
          <w:rFonts w:hint="eastAsia" w:ascii="仿宋" w:hAnsi="仿宋" w:eastAsia="仿宋" w:cs="仿宋"/>
          <w:sz w:val="32"/>
          <w:szCs w:val="32"/>
          <w:highlight w:val="none"/>
        </w:rPr>
        <w:t>支出具体情况如下：</w:t>
      </w:r>
    </w:p>
    <w:p>
      <w:pPr>
        <w:keepNext w:val="0"/>
        <w:keepLines w:val="0"/>
        <w:widowControl w:val="0"/>
        <w:numPr>
          <w:ilvl w:val="0"/>
          <w:numId w:val="2"/>
        </w:numPr>
        <w:suppressLineNumbers w:val="0"/>
        <w:spacing w:before="0" w:beforeAutospacing="0" w:after="0" w:afterAutospacing="0"/>
        <w:ind w:left="0" w:leftChars="0" w:right="0" w:firstLine="420" w:firstLineChars="0"/>
        <w:jc w:val="left"/>
        <w:rPr>
          <w:rFonts w:ascii="仿宋" w:hAnsi="仿宋" w:eastAsia="仿宋" w:cs="仿宋"/>
          <w:color w:val="FF0000"/>
          <w:sz w:val="32"/>
          <w:szCs w:val="32"/>
          <w:highlight w:val="none"/>
        </w:rPr>
      </w:pPr>
      <w:r>
        <w:rPr>
          <w:rFonts w:hint="eastAsia" w:ascii="仿宋" w:hAnsi="仿宋" w:eastAsia="仿宋" w:cs="仿宋"/>
          <w:sz w:val="32"/>
          <w:szCs w:val="32"/>
          <w:highlight w:val="none"/>
        </w:rPr>
        <w:t>工资福利支出</w:t>
      </w:r>
      <w:r>
        <w:rPr>
          <w:rFonts w:ascii="仿宋" w:hAnsi="仿宋" w:eastAsia="仿宋" w:cs="仿宋"/>
          <w:sz w:val="32"/>
          <w:u w:color="auto"/>
        </w:rPr>
        <w:t>1185.76万元，</w:t>
      </w:r>
      <w:r>
        <w:rPr>
          <w:rFonts w:hint="default" w:ascii="仿宋_GB2312" w:hAnsi="微软雅黑" w:eastAsia="仿宋_GB2312" w:cs="仿宋_GB2312"/>
          <w:i w:val="0"/>
          <w:iCs w:val="0"/>
          <w:caps w:val="0"/>
          <w:color w:val="000000"/>
          <w:spacing w:val="0"/>
          <w:sz w:val="31"/>
          <w:szCs w:val="31"/>
          <w:highlight w:val="none"/>
          <w:shd w:val="clear" w:color="auto" w:fill="FFFFFF"/>
        </w:rPr>
        <w:t>完成年初预算的</w:t>
      </w:r>
      <w:r>
        <w:rPr>
          <w:rFonts w:hint="eastAsia" w:ascii="仿宋" w:hAnsi="仿宋" w:eastAsia="仿宋" w:cs="仿宋"/>
          <w:sz w:val="32"/>
          <w:szCs w:val="32"/>
          <w:highlight w:val="none"/>
        </w:rPr>
        <w:t>105.68%</w:t>
      </w:r>
      <w:r>
        <w:rPr>
          <w:rFonts w:hint="default" w:ascii="仿宋_GB2312" w:hAnsi="微软雅黑" w:eastAsia="仿宋_GB2312" w:cs="仿宋_GB2312"/>
          <w:i w:val="0"/>
          <w:iCs w:val="0"/>
          <w:caps w:val="0"/>
          <w:color w:val="000000"/>
          <w:spacing w:val="0"/>
          <w:sz w:val="31"/>
          <w:szCs w:val="31"/>
          <w:highlight w:val="none"/>
          <w:shd w:val="clear" w:color="auto" w:fill="FFFFFF"/>
        </w:rPr>
        <w:t>，</w:t>
      </w:r>
      <w:r>
        <w:rPr>
          <w:rFonts w:hint="eastAsia" w:ascii="仿宋" w:hAnsi="仿宋" w:eastAsia="仿宋" w:cs="仿宋"/>
          <w:color w:val="000000" w:themeColor="text1"/>
          <w:kern w:val="2"/>
          <w:sz w:val="32"/>
          <w:szCs w:val="32"/>
          <w:highlight w:val="none"/>
          <w:lang w:val="en-US" w:eastAsia="zh-CN" w:bidi="ar"/>
          <w14:textFill>
            <w14:solidFill>
              <w14:schemeClr w14:val="tx1"/>
            </w14:solidFill>
          </w14:textFill>
        </w:rPr>
        <w:t>主要原因是：教师调入，人员增加，支出增加。</w:t>
      </w:r>
    </w:p>
    <w:p>
      <w:pPr>
        <w:jc w:val="left"/>
        <w:rPr>
          <w:rFonts w:hint="default" w:ascii="仿宋" w:hAnsi="仿宋" w:eastAsia="仿宋" w:cs="仿宋"/>
          <w:sz w:val="32"/>
          <w:szCs w:val="32"/>
          <w:highlight w:val="none"/>
          <w:lang w:val="en-US" w:eastAsia="zh-CN"/>
        </w:rPr>
      </w:pPr>
      <w:r>
        <w:rPr>
          <w:rFonts w:hint="eastAsia" w:ascii="仿宋" w:hAnsi="仿宋" w:eastAsia="仿宋"/>
          <w:sz w:val="32"/>
          <w:szCs w:val="32"/>
          <w:highlight w:val="none"/>
          <w:lang w:val="en-US" w:eastAsia="zh-CN"/>
        </w:rPr>
        <w:t>支出具体情况如下</w:t>
      </w:r>
      <w:r>
        <w:rPr>
          <w:rFonts w:hint="eastAsia" w:ascii="仿宋" w:hAnsi="仿宋" w:eastAsia="仿宋" w:cs="仿宋"/>
          <w:sz w:val="32"/>
          <w:szCs w:val="32"/>
          <w:highlight w:val="none"/>
        </w:rPr>
        <w:t>：</w:t>
      </w:r>
      <w:r>
        <w:rPr>
          <w:rFonts w:hint="eastAsia" w:ascii="仿宋" w:hAnsi="仿宋" w:eastAsia="仿宋" w:cs="仿宋"/>
          <w:sz w:val="32"/>
          <w:szCs w:val="32"/>
          <w:highlight w:val="none"/>
          <w:lang w:val="en-US" w:eastAsia="zh-CN"/>
        </w:rPr>
        <w:t>30101基本工资518.42万元，30102津贴补贴45.60万元，30103奖金95.39万元，30107绩效工资210.22万元，30108机关事业单位基本养老保险缴费140.66万元，30110职工基本医疗保险缴费61.09万元，30112其他社会保障缴费7.92万元，30113住房公积金106.46万元。</w:t>
      </w:r>
    </w:p>
    <w:p>
      <w:pPr>
        <w:jc w:val="center"/>
        <w:rPr>
          <w:rFonts w:hint="eastAsia" w:ascii="仿宋" w:hAnsi="仿宋" w:eastAsia="仿宋" w:cs="仿宋"/>
          <w:sz w:val="32"/>
          <w:szCs w:val="32"/>
          <w:highlight w:val="none"/>
        </w:rPr>
      </w:pPr>
      <w:r>
        <w:rPr>
          <w:rFonts w:hint="eastAsia" w:ascii="仿宋" w:hAnsi="仿宋" w:eastAsia="仿宋" w:cs="仿宋"/>
          <w:sz w:val="32"/>
          <w:szCs w:val="32"/>
          <w:highlight w:val="none"/>
        </w:rPr>
        <w:drawing>
          <wp:inline distT="0" distB="0" distL="114300" distR="114300">
            <wp:extent cx="4474845" cy="3215640"/>
            <wp:effectExtent l="4445" t="4445" r="16510" b="18415"/>
            <wp:docPr id="16" name="图表 1" title="{{test_sections_chart}}"/>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pPr>
        <w:keepNext w:val="0"/>
        <w:keepLines w:val="0"/>
        <w:widowControl w:val="0"/>
        <w:numPr>
          <w:ilvl w:val="0"/>
          <w:numId w:val="2"/>
        </w:numPr>
        <w:suppressLineNumbers w:val="0"/>
        <w:spacing w:before="0" w:beforeAutospacing="0" w:after="0" w:afterAutospacing="0"/>
        <w:ind w:left="0" w:leftChars="0" w:right="0" w:firstLine="420" w:firstLineChars="0"/>
        <w:jc w:val="left"/>
        <w:rPr>
          <w:rFonts w:ascii="仿宋" w:hAnsi="仿宋" w:eastAsia="仿宋" w:cs="仿宋"/>
          <w:color w:val="FF0000"/>
          <w:sz w:val="32"/>
          <w:szCs w:val="32"/>
          <w:highlight w:val="none"/>
        </w:rPr>
      </w:pPr>
      <w:r>
        <w:rPr>
          <w:rFonts w:hint="eastAsia" w:ascii="仿宋" w:hAnsi="仿宋" w:eastAsia="仿宋" w:cs="仿宋"/>
          <w:sz w:val="32"/>
          <w:szCs w:val="32"/>
          <w:highlight w:val="none"/>
        </w:rPr>
        <w:t>商品和服务支出</w:t>
      </w:r>
      <w:r>
        <w:rPr>
          <w:rFonts w:ascii="仿宋" w:hAnsi="仿宋" w:eastAsia="仿宋" w:cs="仿宋"/>
          <w:sz w:val="32"/>
          <w:u w:color="auto"/>
        </w:rPr>
        <w:t>205.23万元，</w:t>
      </w:r>
      <w:r>
        <w:rPr>
          <w:rFonts w:hint="default" w:ascii="仿宋_GB2312" w:hAnsi="微软雅黑" w:eastAsia="仿宋_GB2312" w:cs="仿宋_GB2312"/>
          <w:i w:val="0"/>
          <w:iCs w:val="0"/>
          <w:caps w:val="0"/>
          <w:color w:val="000000"/>
          <w:spacing w:val="0"/>
          <w:sz w:val="31"/>
          <w:szCs w:val="31"/>
          <w:highlight w:val="none"/>
          <w:shd w:val="clear" w:color="auto" w:fill="FFFFFF"/>
        </w:rPr>
        <w:t>完成年初预算的</w:t>
      </w:r>
      <w:r>
        <w:rPr>
          <w:rFonts w:hint="eastAsia" w:ascii="仿宋" w:hAnsi="仿宋" w:eastAsia="仿宋" w:cs="仿宋"/>
          <w:sz w:val="32"/>
          <w:szCs w:val="32"/>
          <w:highlight w:val="none"/>
        </w:rPr>
        <w:t>929.06%</w:t>
      </w:r>
      <w:r>
        <w:rPr>
          <w:rFonts w:hint="default" w:ascii="仿宋_GB2312" w:hAnsi="微软雅黑" w:eastAsia="仿宋_GB2312" w:cs="仿宋_GB2312"/>
          <w:i w:val="0"/>
          <w:iCs w:val="0"/>
          <w:caps w:val="0"/>
          <w:color w:val="000000"/>
          <w:spacing w:val="0"/>
          <w:sz w:val="31"/>
          <w:szCs w:val="31"/>
          <w:highlight w:val="none"/>
          <w:shd w:val="clear" w:color="auto" w:fill="FFFFFF"/>
        </w:rPr>
        <w:t>，</w:t>
      </w:r>
      <w:r>
        <w:rPr>
          <w:rFonts w:hint="eastAsia" w:ascii="仿宋" w:hAnsi="仿宋" w:eastAsia="仿宋" w:cs="仿宋"/>
          <w:color w:val="000000" w:themeColor="text1"/>
          <w:kern w:val="2"/>
          <w:sz w:val="32"/>
          <w:szCs w:val="32"/>
          <w:highlight w:val="none"/>
          <w:lang w:val="en-US" w:eastAsia="zh-CN" w:bidi="ar"/>
          <w14:textFill>
            <w14:solidFill>
              <w14:schemeClr w14:val="tx1"/>
            </w14:solidFill>
          </w14:textFill>
        </w:rPr>
        <w:t>主要原因是：2022年度商品和服务支出此项资金不在预算一体化中体现，但实际有支出安排。</w:t>
      </w:r>
    </w:p>
    <w:p>
      <w:pPr>
        <w:jc w:val="left"/>
        <w:rPr>
          <w:rFonts w:hint="default" w:ascii="仿宋" w:hAnsi="仿宋" w:eastAsia="仿宋" w:cs="仿宋"/>
          <w:sz w:val="32"/>
          <w:szCs w:val="32"/>
          <w:highlight w:val="none"/>
          <w:lang w:val="en-US" w:eastAsia="zh-CN"/>
        </w:rPr>
      </w:pPr>
      <w:r>
        <w:rPr>
          <w:rFonts w:hint="eastAsia" w:ascii="仿宋" w:hAnsi="仿宋" w:eastAsia="仿宋"/>
          <w:sz w:val="32"/>
          <w:szCs w:val="32"/>
          <w:highlight w:val="none"/>
          <w:lang w:val="en-US" w:eastAsia="zh-CN"/>
        </w:rPr>
        <w:t>支出具体情况如下</w:t>
      </w:r>
      <w:r>
        <w:rPr>
          <w:rFonts w:hint="eastAsia" w:ascii="仿宋" w:hAnsi="仿宋" w:eastAsia="仿宋" w:cs="仿宋"/>
          <w:sz w:val="32"/>
          <w:szCs w:val="32"/>
          <w:highlight w:val="none"/>
        </w:rPr>
        <w:t>：</w:t>
      </w:r>
      <w:r>
        <w:rPr>
          <w:rFonts w:hint="eastAsia" w:ascii="仿宋" w:hAnsi="仿宋" w:eastAsia="仿宋" w:cs="仿宋"/>
          <w:sz w:val="32"/>
          <w:szCs w:val="32"/>
          <w:highlight w:val="none"/>
          <w:lang w:val="en-US" w:eastAsia="zh-CN"/>
        </w:rPr>
        <w:t>30201办公费56.55万元，30205水费33.03万元，30206电费31.75万元，30207邮电费14.18万元，30209物业管理费0.05万元，30211差旅费0.57万元，30213维修（护）费47.31万元，30226劳务费3.60万元，30228工会经费18.19万元。</w:t>
      </w:r>
    </w:p>
    <w:p>
      <w:pPr>
        <w:jc w:val="center"/>
        <w:rPr>
          <w:rFonts w:hint="eastAsia" w:ascii="仿宋" w:hAnsi="仿宋" w:eastAsia="仿宋" w:cs="仿宋"/>
          <w:sz w:val="32"/>
          <w:szCs w:val="32"/>
          <w:highlight w:val="none"/>
        </w:rPr>
      </w:pPr>
      <w:r>
        <w:rPr>
          <w:rFonts w:hint="eastAsia" w:ascii="仿宋" w:hAnsi="仿宋" w:eastAsia="仿宋" w:cs="仿宋"/>
          <w:sz w:val="32"/>
          <w:szCs w:val="32"/>
          <w:highlight w:val="none"/>
        </w:rPr>
        <w:drawing>
          <wp:inline distT="0" distB="0" distL="114300" distR="114300">
            <wp:extent cx="4474845" cy="2758440"/>
            <wp:effectExtent l="4445" t="4445" r="16510" b="18415"/>
            <wp:docPr id="18" name="图表 1" title="{{test_sections_chart}}"/>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pPr>
        <w:keepNext w:val="0"/>
        <w:keepLines w:val="0"/>
        <w:widowControl w:val="0"/>
        <w:numPr>
          <w:ilvl w:val="0"/>
          <w:numId w:val="2"/>
        </w:numPr>
        <w:suppressLineNumbers w:val="0"/>
        <w:spacing w:before="0" w:beforeAutospacing="0" w:after="0" w:afterAutospacing="0"/>
        <w:ind w:left="0" w:leftChars="0" w:right="0" w:firstLine="420" w:firstLineChars="0"/>
        <w:jc w:val="left"/>
        <w:rPr>
          <w:rFonts w:ascii="仿宋" w:hAnsi="仿宋" w:eastAsia="仿宋" w:cs="仿宋"/>
          <w:color w:val="FF0000"/>
          <w:sz w:val="32"/>
          <w:szCs w:val="32"/>
          <w:highlight w:val="none"/>
        </w:rPr>
      </w:pPr>
      <w:r>
        <w:rPr>
          <w:rFonts w:hint="eastAsia" w:ascii="仿宋" w:hAnsi="仿宋" w:eastAsia="仿宋" w:cs="仿宋"/>
          <w:sz w:val="32"/>
          <w:szCs w:val="32"/>
          <w:highlight w:val="none"/>
        </w:rPr>
        <w:t>对个人和家庭的补助</w:t>
      </w:r>
      <w:r>
        <w:rPr>
          <w:rFonts w:ascii="仿宋" w:hAnsi="仿宋" w:eastAsia="仿宋" w:cs="仿宋"/>
          <w:sz w:val="32"/>
          <w:u w:color="auto"/>
        </w:rPr>
        <w:t>475.49万元，</w:t>
      </w:r>
      <w:r>
        <w:rPr>
          <w:rFonts w:hint="default" w:ascii="仿宋_GB2312" w:hAnsi="微软雅黑" w:eastAsia="仿宋_GB2312" w:cs="仿宋_GB2312"/>
          <w:i w:val="0"/>
          <w:iCs w:val="0"/>
          <w:caps w:val="0"/>
          <w:color w:val="000000"/>
          <w:spacing w:val="0"/>
          <w:sz w:val="31"/>
          <w:szCs w:val="31"/>
          <w:highlight w:val="none"/>
          <w:shd w:val="clear" w:color="auto" w:fill="FFFFFF"/>
        </w:rPr>
        <w:t>完成年初预算的</w:t>
      </w:r>
      <w:r>
        <w:rPr>
          <w:rFonts w:hint="eastAsia" w:ascii="仿宋" w:hAnsi="仿宋" w:eastAsia="仿宋" w:cs="仿宋"/>
          <w:sz w:val="32"/>
          <w:szCs w:val="32"/>
          <w:highlight w:val="none"/>
        </w:rPr>
        <w:t>2608.28%</w:t>
      </w:r>
      <w:r>
        <w:rPr>
          <w:rFonts w:hint="default" w:ascii="仿宋_GB2312" w:hAnsi="微软雅黑" w:eastAsia="仿宋_GB2312" w:cs="仿宋_GB2312"/>
          <w:i w:val="0"/>
          <w:iCs w:val="0"/>
          <w:caps w:val="0"/>
          <w:color w:val="000000"/>
          <w:spacing w:val="0"/>
          <w:sz w:val="31"/>
          <w:szCs w:val="31"/>
          <w:highlight w:val="none"/>
          <w:shd w:val="clear" w:color="auto" w:fill="FFFFFF"/>
        </w:rPr>
        <w:t>，</w:t>
      </w:r>
      <w:r>
        <w:rPr>
          <w:rFonts w:hint="eastAsia" w:ascii="仿宋" w:hAnsi="仿宋" w:eastAsia="仿宋" w:cs="仿宋"/>
          <w:color w:val="000000" w:themeColor="text1"/>
          <w:kern w:val="2"/>
          <w:sz w:val="32"/>
          <w:szCs w:val="32"/>
          <w:highlight w:val="none"/>
          <w:lang w:val="en-US" w:eastAsia="zh-CN" w:bidi="ar"/>
          <w14:textFill>
            <w14:solidFill>
              <w14:schemeClr w14:val="tx1"/>
            </w14:solidFill>
          </w14:textFill>
        </w:rPr>
        <w:t>主要原因是：2022年度对个人和家庭的补助此项资金不在预算一体化中体现，但实际有支出安排。</w:t>
      </w:r>
    </w:p>
    <w:p>
      <w:pPr>
        <w:jc w:val="left"/>
        <w:rPr>
          <w:rFonts w:hint="default" w:ascii="仿宋" w:hAnsi="仿宋" w:eastAsia="仿宋" w:cs="仿宋"/>
          <w:sz w:val="32"/>
          <w:szCs w:val="32"/>
          <w:highlight w:val="none"/>
          <w:lang w:val="en-US" w:eastAsia="zh-CN"/>
        </w:rPr>
      </w:pPr>
      <w:r>
        <w:rPr>
          <w:rFonts w:hint="eastAsia" w:ascii="仿宋" w:hAnsi="仿宋" w:eastAsia="仿宋"/>
          <w:sz w:val="32"/>
          <w:szCs w:val="32"/>
          <w:highlight w:val="none"/>
          <w:lang w:val="en-US" w:eastAsia="zh-CN"/>
        </w:rPr>
        <w:t>支出具体情况如下</w:t>
      </w:r>
      <w:r>
        <w:rPr>
          <w:rFonts w:hint="eastAsia" w:ascii="仿宋" w:hAnsi="仿宋" w:eastAsia="仿宋" w:cs="仿宋"/>
          <w:sz w:val="32"/>
          <w:szCs w:val="32"/>
          <w:highlight w:val="none"/>
        </w:rPr>
        <w:t>：</w:t>
      </w:r>
      <w:r>
        <w:rPr>
          <w:rFonts w:hint="eastAsia" w:ascii="仿宋" w:hAnsi="仿宋" w:eastAsia="仿宋" w:cs="仿宋"/>
          <w:sz w:val="32"/>
          <w:szCs w:val="32"/>
          <w:highlight w:val="none"/>
          <w:lang w:val="en-US" w:eastAsia="zh-CN"/>
        </w:rPr>
        <w:t>30305生活补助25.48万元，30308助学金424.12万元，30309奖励金0.08万元，30399其他对个人和家庭的补助25.81万元。</w:t>
      </w:r>
    </w:p>
    <w:p>
      <w:pPr>
        <w:jc w:val="center"/>
        <w:rPr>
          <w:rFonts w:hint="eastAsia" w:ascii="仿宋" w:hAnsi="仿宋" w:eastAsia="仿宋" w:cs="仿宋"/>
          <w:sz w:val="32"/>
          <w:szCs w:val="32"/>
          <w:highlight w:val="none"/>
        </w:rPr>
      </w:pPr>
      <w:r>
        <w:rPr>
          <w:rFonts w:hint="eastAsia" w:ascii="仿宋" w:hAnsi="仿宋" w:eastAsia="仿宋" w:cs="仿宋"/>
          <w:sz w:val="32"/>
          <w:szCs w:val="32"/>
          <w:highlight w:val="none"/>
        </w:rPr>
        <w:drawing>
          <wp:inline distT="0" distB="0" distL="114300" distR="114300">
            <wp:extent cx="4474845" cy="3215640"/>
            <wp:effectExtent l="4445" t="4445" r="16510" b="18415"/>
            <wp:docPr id="20" name="图表 1" title="{{test_sections_chart}}"/>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pPr>
        <w:keepNext w:val="0"/>
        <w:keepLines w:val="0"/>
        <w:widowControl w:val="0"/>
        <w:numPr>
          <w:ilvl w:val="0"/>
          <w:numId w:val="2"/>
        </w:numPr>
        <w:suppressLineNumbers w:val="0"/>
        <w:spacing w:before="0" w:beforeAutospacing="0" w:after="0" w:afterAutospacing="0"/>
        <w:ind w:left="0" w:leftChars="0" w:right="0" w:firstLine="420" w:firstLineChars="0"/>
        <w:jc w:val="left"/>
        <w:rPr>
          <w:rFonts w:ascii="仿宋" w:hAnsi="仿宋" w:eastAsia="仿宋" w:cs="仿宋"/>
          <w:color w:val="FF0000"/>
          <w:sz w:val="32"/>
          <w:szCs w:val="32"/>
          <w:highlight w:val="none"/>
        </w:rPr>
      </w:pPr>
      <w:r>
        <w:rPr>
          <w:rFonts w:hint="eastAsia" w:ascii="仿宋" w:hAnsi="仿宋" w:eastAsia="仿宋" w:cs="仿宋"/>
          <w:sz w:val="32"/>
          <w:szCs w:val="32"/>
          <w:highlight w:val="none"/>
        </w:rPr>
        <w:t>债务利息及费用支出</w:t>
      </w:r>
      <w:r>
        <w:rPr>
          <w:rFonts w:ascii="仿宋" w:hAnsi="仿宋" w:eastAsia="仿宋" w:cs="仿宋"/>
          <w:sz w:val="32"/>
          <w:u w:color="auto"/>
        </w:rPr>
        <w:t>0.00万元，</w:t>
      </w:r>
      <w:r>
        <w:rPr>
          <w:rFonts w:hint="default" w:ascii="仿宋_GB2312" w:hAnsi="微软雅黑" w:eastAsia="仿宋_GB2312" w:cs="仿宋_GB2312"/>
          <w:i w:val="0"/>
          <w:iCs w:val="0"/>
          <w:caps w:val="0"/>
          <w:color w:val="000000"/>
          <w:spacing w:val="0"/>
          <w:sz w:val="31"/>
          <w:szCs w:val="31"/>
          <w:highlight w:val="none"/>
          <w:shd w:val="clear" w:color="auto" w:fill="FFFFFF"/>
        </w:rPr>
        <w:t>完成年初预算的</w:t>
      </w:r>
      <w:r>
        <w:rPr>
          <w:rFonts w:hint="eastAsia" w:ascii="仿宋" w:hAnsi="仿宋" w:eastAsia="仿宋" w:cs="仿宋"/>
          <w:sz w:val="32"/>
          <w:szCs w:val="32"/>
          <w:highlight w:val="none"/>
        </w:rPr>
        <w:t>0%</w:t>
      </w:r>
      <w:r>
        <w:rPr>
          <w:rFonts w:hint="default" w:ascii="仿宋_GB2312" w:hAnsi="微软雅黑" w:eastAsia="仿宋_GB2312" w:cs="仿宋_GB2312"/>
          <w:i w:val="0"/>
          <w:iCs w:val="0"/>
          <w:caps w:val="0"/>
          <w:color w:val="000000"/>
          <w:spacing w:val="0"/>
          <w:sz w:val="31"/>
          <w:szCs w:val="31"/>
          <w:highlight w:val="none"/>
          <w:shd w:val="clear" w:color="auto" w:fill="FFFFFF"/>
        </w:rPr>
        <w:t>，</w:t>
      </w:r>
      <w:r>
        <w:rPr>
          <w:rFonts w:hint="eastAsia" w:ascii="仿宋" w:hAnsi="仿宋" w:eastAsia="仿宋" w:cs="仿宋"/>
          <w:color w:val="000000" w:themeColor="text1"/>
          <w:kern w:val="2"/>
          <w:sz w:val="32"/>
          <w:szCs w:val="32"/>
          <w:highlight w:val="none"/>
          <w:lang w:val="en-US" w:eastAsia="zh-CN" w:bidi="ar"/>
          <w14:textFill>
            <w14:solidFill>
              <w14:schemeClr w14:val="tx1"/>
            </w14:solidFill>
          </w14:textFill>
        </w:rPr>
        <w:t>主要原因是：学校无债务利息及费用资金。</w:t>
      </w:r>
    </w:p>
    <w:p>
      <w:pPr>
        <w:jc w:val="left"/>
        <w:rPr>
          <w:rFonts w:hint="default" w:ascii="仿宋" w:hAnsi="仿宋" w:eastAsia="仿宋" w:cs="仿宋"/>
          <w:sz w:val="32"/>
          <w:szCs w:val="32"/>
          <w:highlight w:val="none"/>
          <w:lang w:val="en-US" w:eastAsia="zh-CN"/>
        </w:rPr>
      </w:pPr>
      <w:r>
        <w:rPr>
          <w:rFonts w:hint="eastAsia" w:ascii="仿宋" w:hAnsi="仿宋" w:eastAsia="仿宋"/>
          <w:sz w:val="32"/>
          <w:szCs w:val="32"/>
          <w:highlight w:val="none"/>
          <w:lang w:val="en-US" w:eastAsia="zh-CN"/>
        </w:rPr>
        <w:t>支出具体情况如下</w:t>
      </w:r>
      <w:r>
        <w:rPr>
          <w:rFonts w:hint="eastAsia" w:ascii="仿宋" w:hAnsi="仿宋" w:eastAsia="仿宋" w:cs="仿宋"/>
          <w:sz w:val="32"/>
          <w:szCs w:val="32"/>
          <w:highlight w:val="none"/>
        </w:rPr>
        <w:t>：</w:t>
      </w:r>
    </w:p>
    <w:p>
      <w:pPr>
        <w:jc w:val="center"/>
        <w:rPr>
          <w:rFonts w:hint="eastAsia" w:ascii="仿宋" w:hAnsi="仿宋" w:eastAsia="仿宋" w:cs="仿宋"/>
          <w:sz w:val="32"/>
          <w:szCs w:val="32"/>
          <w:highlight w:val="none"/>
        </w:rPr>
      </w:pPr>
      <w:r>
        <w:rPr>
          <w:rFonts w:hint="eastAsia" w:ascii="仿宋" w:hAnsi="仿宋" w:eastAsia="仿宋" w:cs="仿宋"/>
          <w:sz w:val="32"/>
          <w:szCs w:val="32"/>
          <w:highlight w:val="none"/>
        </w:rPr>
        <w:drawing>
          <wp:inline distT="0" distB="0" distL="114300" distR="114300">
            <wp:extent cx="4474845" cy="2569210"/>
            <wp:effectExtent l="4445" t="4445" r="16510" b="17145"/>
            <wp:docPr id="22" name="图表 1" title="{{test_sections_chart}}"/>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pPr>
        <w:keepNext w:val="0"/>
        <w:keepLines w:val="0"/>
        <w:widowControl w:val="0"/>
        <w:numPr>
          <w:ilvl w:val="0"/>
          <w:numId w:val="2"/>
        </w:numPr>
        <w:suppressLineNumbers w:val="0"/>
        <w:spacing w:before="0" w:beforeAutospacing="0" w:after="0" w:afterAutospacing="0"/>
        <w:ind w:left="0" w:leftChars="0" w:right="0" w:firstLine="420" w:firstLineChars="0"/>
        <w:jc w:val="left"/>
        <w:rPr>
          <w:rFonts w:ascii="仿宋" w:hAnsi="仿宋" w:eastAsia="仿宋" w:cs="仿宋"/>
          <w:color w:val="FF0000"/>
          <w:sz w:val="32"/>
          <w:szCs w:val="32"/>
          <w:highlight w:val="none"/>
        </w:rPr>
      </w:pPr>
      <w:r>
        <w:rPr>
          <w:rFonts w:hint="eastAsia" w:ascii="仿宋" w:hAnsi="仿宋" w:eastAsia="仿宋" w:cs="仿宋"/>
          <w:sz w:val="32"/>
          <w:szCs w:val="32"/>
          <w:highlight w:val="none"/>
        </w:rPr>
        <w:t>资本性支出</w:t>
      </w:r>
      <w:r>
        <w:rPr>
          <w:rFonts w:ascii="仿宋" w:hAnsi="仿宋" w:eastAsia="仿宋" w:cs="仿宋"/>
          <w:sz w:val="32"/>
          <w:u w:color="auto"/>
        </w:rPr>
        <w:t>27.81万元，</w:t>
      </w:r>
      <w:r>
        <w:rPr>
          <w:rFonts w:hint="default" w:ascii="仿宋_GB2312" w:hAnsi="微软雅黑" w:eastAsia="仿宋_GB2312" w:cs="仿宋_GB2312"/>
          <w:i w:val="0"/>
          <w:iCs w:val="0"/>
          <w:caps w:val="0"/>
          <w:color w:val="000000"/>
          <w:spacing w:val="0"/>
          <w:sz w:val="31"/>
          <w:szCs w:val="31"/>
          <w:highlight w:val="none"/>
          <w:shd w:val="clear" w:color="auto" w:fill="FFFFFF"/>
        </w:rPr>
        <w:t>完成年初预算的</w:t>
      </w:r>
      <w:r>
        <w:rPr>
          <w:rFonts w:hint="eastAsia" w:ascii="仿宋" w:hAnsi="仿宋" w:eastAsia="仿宋" w:cs="仿宋"/>
          <w:sz w:val="32"/>
          <w:szCs w:val="32"/>
          <w:highlight w:val="none"/>
        </w:rPr>
        <w:t>100%</w:t>
      </w:r>
      <w:r>
        <w:rPr>
          <w:rFonts w:hint="default" w:ascii="仿宋_GB2312" w:hAnsi="微软雅黑" w:eastAsia="仿宋_GB2312" w:cs="仿宋_GB2312"/>
          <w:i w:val="0"/>
          <w:iCs w:val="0"/>
          <w:caps w:val="0"/>
          <w:color w:val="000000"/>
          <w:spacing w:val="0"/>
          <w:sz w:val="31"/>
          <w:szCs w:val="31"/>
          <w:highlight w:val="none"/>
          <w:shd w:val="clear" w:color="auto" w:fill="FFFFFF"/>
        </w:rPr>
        <w:t>，</w:t>
      </w:r>
      <w:r>
        <w:rPr>
          <w:rFonts w:hint="eastAsia" w:ascii="仿宋" w:hAnsi="仿宋" w:eastAsia="仿宋" w:cs="仿宋"/>
          <w:color w:val="000000" w:themeColor="text1"/>
          <w:kern w:val="2"/>
          <w:sz w:val="32"/>
          <w:szCs w:val="32"/>
          <w:highlight w:val="none"/>
          <w:lang w:val="en-US" w:eastAsia="zh-CN" w:bidi="ar"/>
          <w14:textFill>
            <w14:solidFill>
              <w14:schemeClr w14:val="tx1"/>
            </w14:solidFill>
          </w14:textFill>
        </w:rPr>
        <w:t>主要原因是：学校严格按照年初预算安排使用该项资金。</w:t>
      </w:r>
    </w:p>
    <w:p>
      <w:pPr>
        <w:jc w:val="left"/>
        <w:rPr>
          <w:rFonts w:hint="default" w:ascii="仿宋" w:hAnsi="仿宋" w:eastAsia="仿宋" w:cs="仿宋"/>
          <w:sz w:val="32"/>
          <w:szCs w:val="32"/>
          <w:highlight w:val="none"/>
          <w:lang w:val="en-US" w:eastAsia="zh-CN"/>
        </w:rPr>
      </w:pPr>
      <w:r>
        <w:rPr>
          <w:rFonts w:hint="eastAsia" w:ascii="仿宋" w:hAnsi="仿宋" w:eastAsia="仿宋"/>
          <w:sz w:val="32"/>
          <w:szCs w:val="32"/>
          <w:highlight w:val="none"/>
          <w:lang w:val="en-US" w:eastAsia="zh-CN"/>
        </w:rPr>
        <w:t>支出具体情况如下</w:t>
      </w:r>
      <w:r>
        <w:rPr>
          <w:rFonts w:hint="eastAsia" w:ascii="仿宋" w:hAnsi="仿宋" w:eastAsia="仿宋" w:cs="仿宋"/>
          <w:sz w:val="32"/>
          <w:szCs w:val="32"/>
          <w:highlight w:val="none"/>
        </w:rPr>
        <w:t>：</w:t>
      </w:r>
      <w:r>
        <w:rPr>
          <w:rFonts w:hint="eastAsia" w:ascii="仿宋" w:hAnsi="仿宋" w:eastAsia="仿宋" w:cs="仿宋"/>
          <w:sz w:val="32"/>
          <w:szCs w:val="32"/>
          <w:highlight w:val="none"/>
          <w:lang w:val="en-US" w:eastAsia="zh-CN"/>
        </w:rPr>
        <w:t>31002办公设备购置23.93万元，31003专用设备购置3.88万元。</w:t>
      </w:r>
    </w:p>
    <w:p>
      <w:pPr>
        <w:jc w:val="center"/>
        <w:rPr>
          <w:rFonts w:hint="eastAsia" w:ascii="仿宋" w:hAnsi="仿宋" w:eastAsia="仿宋" w:cs="仿宋"/>
          <w:sz w:val="32"/>
          <w:szCs w:val="32"/>
          <w:highlight w:val="none"/>
        </w:rPr>
      </w:pPr>
      <w:r>
        <w:rPr>
          <w:rFonts w:hint="eastAsia" w:ascii="仿宋" w:hAnsi="仿宋" w:eastAsia="仿宋" w:cs="仿宋"/>
          <w:sz w:val="32"/>
          <w:szCs w:val="32"/>
          <w:highlight w:val="none"/>
        </w:rPr>
        <w:drawing>
          <wp:inline distT="0" distB="0" distL="114300" distR="114300">
            <wp:extent cx="4474845" cy="3215640"/>
            <wp:effectExtent l="4445" t="4445" r="16510" b="18415"/>
            <wp:docPr id="24" name="图表 1" title="{{test_sections_chart}}"/>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pPr>
        <w:keepNext w:val="0"/>
        <w:keepLines w:val="0"/>
        <w:widowControl w:val="0"/>
        <w:numPr>
          <w:ilvl w:val="0"/>
          <w:numId w:val="2"/>
        </w:numPr>
        <w:suppressLineNumbers w:val="0"/>
        <w:spacing w:before="0" w:beforeAutospacing="0" w:after="0" w:afterAutospacing="0"/>
        <w:ind w:left="0" w:leftChars="0" w:right="0" w:firstLine="420" w:firstLineChars="0"/>
        <w:jc w:val="left"/>
        <w:rPr>
          <w:rFonts w:ascii="仿宋" w:hAnsi="仿宋" w:eastAsia="仿宋" w:cs="仿宋"/>
          <w:color w:val="FF0000"/>
          <w:sz w:val="32"/>
          <w:szCs w:val="32"/>
          <w:highlight w:val="none"/>
        </w:rPr>
      </w:pPr>
      <w:r>
        <w:rPr>
          <w:rFonts w:hint="eastAsia" w:ascii="仿宋" w:hAnsi="仿宋" w:eastAsia="仿宋" w:cs="仿宋"/>
          <w:sz w:val="32"/>
          <w:szCs w:val="32"/>
          <w:highlight w:val="none"/>
        </w:rPr>
        <w:t>其他支出</w:t>
      </w:r>
      <w:r>
        <w:rPr>
          <w:rFonts w:ascii="仿宋" w:hAnsi="仿宋" w:eastAsia="仿宋" w:cs="仿宋"/>
          <w:sz w:val="32"/>
          <w:u w:color="auto"/>
        </w:rPr>
        <w:t>0.00万元，</w:t>
      </w:r>
      <w:r>
        <w:rPr>
          <w:rFonts w:hint="default" w:ascii="仿宋_GB2312" w:hAnsi="微软雅黑" w:eastAsia="仿宋_GB2312" w:cs="仿宋_GB2312"/>
          <w:i w:val="0"/>
          <w:iCs w:val="0"/>
          <w:caps w:val="0"/>
          <w:color w:val="000000"/>
          <w:spacing w:val="0"/>
          <w:sz w:val="31"/>
          <w:szCs w:val="31"/>
          <w:highlight w:val="none"/>
          <w:shd w:val="clear" w:color="auto" w:fill="FFFFFF"/>
        </w:rPr>
        <w:t>完成年初预算的</w:t>
      </w:r>
      <w:r>
        <w:rPr>
          <w:rFonts w:hint="eastAsia" w:ascii="仿宋" w:hAnsi="仿宋" w:eastAsia="仿宋" w:cs="仿宋"/>
          <w:sz w:val="32"/>
          <w:szCs w:val="32"/>
          <w:highlight w:val="none"/>
        </w:rPr>
        <w:t>0%</w:t>
      </w:r>
      <w:r>
        <w:rPr>
          <w:rFonts w:hint="default" w:ascii="仿宋_GB2312" w:hAnsi="微软雅黑" w:eastAsia="仿宋_GB2312" w:cs="仿宋_GB2312"/>
          <w:i w:val="0"/>
          <w:iCs w:val="0"/>
          <w:caps w:val="0"/>
          <w:color w:val="000000"/>
          <w:spacing w:val="0"/>
          <w:sz w:val="31"/>
          <w:szCs w:val="31"/>
          <w:highlight w:val="none"/>
          <w:shd w:val="clear" w:color="auto" w:fill="FFFFFF"/>
        </w:rPr>
        <w:t>，</w:t>
      </w:r>
      <w:r>
        <w:rPr>
          <w:rFonts w:hint="eastAsia" w:ascii="仿宋" w:hAnsi="仿宋" w:eastAsia="仿宋" w:cs="仿宋"/>
          <w:color w:val="000000" w:themeColor="text1"/>
          <w:kern w:val="2"/>
          <w:sz w:val="32"/>
          <w:szCs w:val="32"/>
          <w:highlight w:val="none"/>
          <w:lang w:val="en-US" w:eastAsia="zh-CN" w:bidi="ar"/>
          <w14:textFill>
            <w14:solidFill>
              <w14:schemeClr w14:val="tx1"/>
            </w14:solidFill>
          </w14:textFill>
        </w:rPr>
        <w:t>主要原因是：学校没有其他支出资金安排。</w:t>
      </w:r>
    </w:p>
    <w:p>
      <w:pPr>
        <w:jc w:val="left"/>
        <w:rPr>
          <w:rFonts w:hint="default" w:ascii="仿宋" w:hAnsi="仿宋" w:eastAsia="仿宋" w:cs="仿宋"/>
          <w:sz w:val="32"/>
          <w:szCs w:val="32"/>
          <w:highlight w:val="none"/>
          <w:lang w:val="en-US" w:eastAsia="zh-CN"/>
        </w:rPr>
      </w:pPr>
      <w:r>
        <w:rPr>
          <w:rFonts w:hint="eastAsia" w:ascii="仿宋" w:hAnsi="仿宋" w:eastAsia="仿宋"/>
          <w:sz w:val="32"/>
          <w:szCs w:val="32"/>
          <w:highlight w:val="none"/>
          <w:lang w:val="en-US" w:eastAsia="zh-CN"/>
        </w:rPr>
        <w:t>支出具体情况如下</w:t>
      </w:r>
      <w:r>
        <w:rPr>
          <w:rFonts w:hint="eastAsia" w:ascii="仿宋" w:hAnsi="仿宋" w:eastAsia="仿宋" w:cs="仿宋"/>
          <w:sz w:val="32"/>
          <w:szCs w:val="32"/>
          <w:highlight w:val="none"/>
        </w:rPr>
        <w:t>：</w:t>
      </w:r>
    </w:p>
    <w:p>
      <w:pPr>
        <w:jc w:val="center"/>
        <w:rPr>
          <w:rFonts w:ascii="仿宋" w:hAnsi="仿宋" w:eastAsia="仿宋" w:cs="仿宋"/>
          <w:sz w:val="32"/>
          <w:szCs w:val="32"/>
          <w:highlight w:val="none"/>
        </w:rPr>
      </w:pPr>
      <w:r>
        <w:rPr>
          <w:rFonts w:hint="eastAsia" w:ascii="仿宋" w:hAnsi="仿宋" w:eastAsia="仿宋" w:cs="仿宋"/>
          <w:sz w:val="32"/>
          <w:szCs w:val="32"/>
          <w:highlight w:val="none"/>
        </w:rPr>
        <w:drawing>
          <wp:inline distT="0" distB="0" distL="114300" distR="114300">
            <wp:extent cx="4474845" cy="3215640"/>
            <wp:effectExtent l="4445" t="4445" r="16510" b="18415"/>
            <wp:docPr id="26" name="图表 1" title="{{test_sections_chart}}"/>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p>
    <w:p>
      <w:pPr>
        <w:jc w:val="left"/>
        <w:rPr>
          <w:rFonts w:ascii="黑体" w:hAnsi="黑体" w:eastAsia="黑体" w:cs="黑体"/>
          <w:sz w:val="32"/>
          <w:szCs w:val="32"/>
          <w:highlight w:val="none"/>
        </w:rPr>
      </w:pPr>
      <w:r>
        <w:rPr>
          <w:rFonts w:hint="eastAsia" w:ascii="黑体" w:hAnsi="黑体" w:eastAsia="黑体" w:cs="黑体"/>
          <w:sz w:val="32"/>
          <w:szCs w:val="32"/>
          <w:highlight w:val="none"/>
        </w:rPr>
        <w:t>四、2022年度政府性基金支出决算情况</w:t>
      </w:r>
    </w:p>
    <w:p>
      <w:pPr>
        <w:ind w:firstLine="640" w:firstLineChars="200"/>
        <w:jc w:val="left"/>
        <w:rPr>
          <w:rFonts w:ascii="仿宋" w:hAnsi="仿宋" w:eastAsia="仿宋" w:cs="仿宋"/>
          <w:sz w:val="32"/>
          <w:szCs w:val="32"/>
          <w:highlight w:val="none"/>
        </w:rPr>
      </w:pPr>
      <w:r>
        <w:rPr>
          <w:rFonts w:hint="eastAsia" w:ascii="仿宋" w:hAnsi="仿宋" w:eastAsia="仿宋" w:cs="仿宋"/>
          <w:sz w:val="32"/>
          <w:szCs w:val="32"/>
          <w:highlight w:val="none"/>
        </w:rPr>
        <w:t>环江毛南族自治县民族中学2022年度政府性基金支出</w:t>
      </w:r>
      <w:r>
        <w:rPr>
          <w:rFonts w:ascii="仿宋" w:hAnsi="仿宋" w:eastAsia="仿宋" w:cs="仿宋"/>
          <w:sz w:val="32"/>
          <w:szCs w:val="32"/>
          <w:highlight w:val="none"/>
        </w:rPr>
        <w:t>0.00</w:t>
      </w:r>
      <w:r>
        <w:rPr>
          <w:rFonts w:hint="eastAsia" w:ascii="仿宋" w:hAnsi="仿宋" w:eastAsia="仿宋" w:cs="仿宋"/>
          <w:sz w:val="32"/>
          <w:szCs w:val="32"/>
          <w:highlight w:val="none"/>
        </w:rPr>
        <w:t>万元，较2021年度决算数</w:t>
      </w:r>
      <w:r>
        <w:rPr>
          <w:rFonts w:ascii="仿宋" w:hAnsi="仿宋" w:eastAsia="仿宋" w:cs="仿宋"/>
          <w:sz w:val="32"/>
          <w:szCs w:val="32"/>
          <w:highlight w:val="none"/>
        </w:rPr>
        <w:t>增加0.00</w:t>
      </w:r>
      <w:r>
        <w:rPr>
          <w:rFonts w:hint="eastAsia" w:ascii="仿宋" w:hAnsi="仿宋" w:eastAsia="仿宋" w:cs="仿宋"/>
          <w:sz w:val="32"/>
          <w:szCs w:val="32"/>
          <w:highlight w:val="none"/>
        </w:rPr>
        <w:t>万元，</w:t>
      </w:r>
      <w:r>
        <w:rPr>
          <w:rFonts w:ascii="仿宋" w:hAnsi="仿宋" w:eastAsia="仿宋" w:cs="仿宋"/>
          <w:sz w:val="32"/>
          <w:szCs w:val="32"/>
          <w:highlight w:val="none"/>
        </w:rPr>
        <w:t>增长0%</w:t>
      </w:r>
      <w:r>
        <w:rPr>
          <w:rFonts w:hint="eastAsia" w:ascii="仿宋" w:hAnsi="仿宋" w:eastAsia="仿宋" w:cs="仿宋"/>
          <w:sz w:val="32"/>
          <w:szCs w:val="32"/>
          <w:highlight w:val="none"/>
        </w:rPr>
        <w:t>其中：基本支出</w:t>
      </w:r>
      <w:r>
        <w:rPr>
          <w:rFonts w:ascii="仿宋" w:hAnsi="仿宋" w:eastAsia="仿宋" w:cs="仿宋"/>
          <w:sz w:val="32"/>
          <w:szCs w:val="32"/>
          <w:highlight w:val="none"/>
        </w:rPr>
        <w:t>0.00</w:t>
      </w:r>
      <w:r>
        <w:rPr>
          <w:rFonts w:hint="eastAsia" w:ascii="仿宋" w:hAnsi="仿宋" w:eastAsia="仿宋" w:cs="仿宋"/>
          <w:sz w:val="32"/>
          <w:szCs w:val="32"/>
          <w:highlight w:val="none"/>
        </w:rPr>
        <w:t>万元，项目支出</w:t>
      </w:r>
      <w:r>
        <w:rPr>
          <w:rFonts w:ascii="仿宋" w:hAnsi="仿宋" w:eastAsia="仿宋" w:cs="仿宋"/>
          <w:sz w:val="32"/>
          <w:szCs w:val="32"/>
          <w:highlight w:val="none"/>
        </w:rPr>
        <w:t>0.00</w:t>
      </w:r>
      <w:r>
        <w:rPr>
          <w:rFonts w:hint="eastAsia" w:ascii="仿宋" w:hAnsi="仿宋" w:eastAsia="仿宋" w:cs="仿宋"/>
          <w:sz w:val="32"/>
          <w:szCs w:val="32"/>
          <w:highlight w:val="none"/>
        </w:rPr>
        <w:t>万元。</w:t>
      </w:r>
    </w:p>
    <w:p>
      <w:pPr>
        <w:ind w:firstLine="640" w:firstLineChars="200"/>
        <w:jc w:val="left"/>
        <w:rPr>
          <w:rFonts w:hint="eastAsia" w:ascii="仿宋" w:hAnsi="仿宋" w:eastAsia="仿宋" w:cs="仿宋"/>
          <w:sz w:val="32"/>
          <w:szCs w:val="32"/>
          <w:highlight w:val="none"/>
        </w:rPr>
      </w:pPr>
      <w:r>
        <w:rPr>
          <w:rFonts w:hint="eastAsia" w:ascii="仿宋" w:hAnsi="仿宋" w:eastAsia="仿宋" w:cs="仿宋"/>
          <w:sz w:val="32"/>
          <w:szCs w:val="32"/>
          <w:highlight w:val="none"/>
        </w:rPr>
        <w:t>环江毛南族自治县民族中学2022年度政府性基金支出年初预算为</w:t>
      </w:r>
      <w:r>
        <w:rPr>
          <w:rFonts w:ascii="仿宋" w:hAnsi="仿宋" w:eastAsia="仿宋" w:cs="仿宋"/>
          <w:sz w:val="32"/>
          <w:szCs w:val="32"/>
          <w:highlight w:val="none"/>
        </w:rPr>
        <w:t>0.00</w:t>
      </w:r>
      <w:r>
        <w:rPr>
          <w:rFonts w:hint="eastAsia" w:ascii="仿宋" w:hAnsi="仿宋" w:eastAsia="仿宋" w:cs="仿宋"/>
          <w:sz w:val="32"/>
          <w:szCs w:val="32"/>
          <w:highlight w:val="none"/>
        </w:rPr>
        <w:t>万元，支出决算为</w:t>
      </w:r>
      <w:r>
        <w:rPr>
          <w:rFonts w:ascii="仿宋" w:hAnsi="仿宋" w:eastAsia="仿宋" w:cs="仿宋"/>
          <w:sz w:val="32"/>
          <w:szCs w:val="32"/>
          <w:highlight w:val="none"/>
        </w:rPr>
        <w:t>0.00</w:t>
      </w:r>
      <w:r>
        <w:rPr>
          <w:rFonts w:hint="eastAsia" w:ascii="仿宋" w:hAnsi="仿宋" w:eastAsia="仿宋" w:cs="仿宋"/>
          <w:sz w:val="32"/>
          <w:szCs w:val="32"/>
          <w:highlight w:val="none"/>
        </w:rPr>
        <w:t>万元，完成年初预算的</w:t>
      </w:r>
      <w:r>
        <w:rPr>
          <w:rFonts w:ascii="仿宋" w:hAnsi="仿宋" w:eastAsia="仿宋" w:cs="仿宋"/>
          <w:sz w:val="32"/>
          <w:szCs w:val="32"/>
          <w:highlight w:val="none"/>
        </w:rPr>
        <w:t>0%</w:t>
      </w:r>
      <w:r>
        <w:rPr>
          <w:rFonts w:hint="eastAsia" w:ascii="仿宋" w:hAnsi="仿宋" w:eastAsia="仿宋" w:cs="仿宋"/>
          <w:sz w:val="32"/>
          <w:szCs w:val="32"/>
          <w:highlight w:val="none"/>
        </w:rPr>
        <w:t>。</w:t>
      </w:r>
    </w:p>
    <w:p>
      <w:pPr>
        <w:ind w:firstLine="640" w:firstLineChars="200"/>
        <w:jc w:val="left"/>
        <w:rPr>
          <w:rFonts w:hint="eastAsia" w:ascii="仿宋_GB2312" w:hAnsi="Times New Roman" w:eastAsia="仿宋_GB2312" w:cs="Times New Roman"/>
          <w:color w:val="FF0000"/>
          <w:sz w:val="32"/>
          <w:szCs w:val="32"/>
          <w:lang w:eastAsia="zh-CN"/>
        </w:rPr>
      </w:pPr>
      <w:r>
        <w:rPr>
          <w:rFonts w:hint="eastAsia" w:ascii="仿宋_GB2312" w:hAnsi="Times New Roman" w:eastAsia="仿宋_GB2312" w:cs="Times New Roman"/>
          <w:color w:val="000000" w:themeColor="text1"/>
          <w:sz w:val="32"/>
          <w:szCs w:val="32"/>
          <w14:textFill>
            <w14:solidFill>
              <w14:schemeClr w14:val="tx1"/>
            </w14:solidFill>
          </w14:textFill>
        </w:rPr>
        <w:t>环江毛南族自治县民族中学</w:t>
      </w:r>
      <w:r>
        <w:rPr>
          <w:rFonts w:ascii="仿宋_GB2312" w:hAnsi="仿宋_GB2312" w:eastAsia="仿宋_GB2312" w:cs="仿宋_GB2312"/>
          <w:color w:val="000000" w:themeColor="text1"/>
          <w:sz w:val="32"/>
          <w:u w:color="auto"/>
          <w14:textFill>
            <w14:solidFill>
              <w14:schemeClr w14:val="tx1"/>
            </w14:solidFill>
          </w14:textFill>
        </w:rPr>
        <w:t>没有政府性基金收入，也没有政府性基金收入安排的支出</w:t>
      </w:r>
      <w:r>
        <w:rPr>
          <w:rFonts w:hint="eastAsia" w:ascii="仿宋_GB2312" w:hAnsi="Times New Roman" w:eastAsia="仿宋_GB2312" w:cs="Times New Roman"/>
          <w:color w:val="000000" w:themeColor="text1"/>
          <w:sz w:val="32"/>
          <w:szCs w:val="32"/>
          <w:lang w:eastAsia="zh-CN"/>
          <w14:textFill>
            <w14:solidFill>
              <w14:schemeClr w14:val="tx1"/>
            </w14:solidFill>
          </w14:textFill>
        </w:rPr>
        <w:t>。</w:t>
      </w:r>
    </w:p>
    <w:p>
      <w:pPr>
        <w:jc w:val="left"/>
        <w:rPr>
          <w:rFonts w:ascii="仿宋" w:hAnsi="仿宋" w:eastAsia="仿宋" w:cs="仿宋"/>
          <w:sz w:val="32"/>
          <w:szCs w:val="32"/>
          <w:highlight w:val="none"/>
        </w:rPr>
      </w:pPr>
      <w:r>
        <w:rPr>
          <w:rFonts w:hint="eastAsia" w:ascii="黑体" w:hAnsi="黑体" w:eastAsia="黑体" w:cs="黑体"/>
          <w:sz w:val="32"/>
          <w:szCs w:val="32"/>
          <w:highlight w:val="none"/>
        </w:rPr>
        <w:t>五、2022年度国有资本经营预算支出决算情况</w:t>
      </w:r>
    </w:p>
    <w:p>
      <w:pPr>
        <w:ind w:firstLine="640" w:firstLineChars="200"/>
        <w:jc w:val="left"/>
        <w:rPr>
          <w:rFonts w:ascii="仿宋" w:hAnsi="仿宋" w:eastAsia="仿宋" w:cs="仿宋"/>
          <w:sz w:val="32"/>
          <w:szCs w:val="32"/>
          <w:highlight w:val="none"/>
        </w:rPr>
      </w:pPr>
      <w:r>
        <w:rPr>
          <w:rFonts w:hint="eastAsia" w:ascii="仿宋" w:hAnsi="仿宋" w:eastAsia="仿宋" w:cs="仿宋"/>
          <w:sz w:val="32"/>
          <w:szCs w:val="32"/>
          <w:highlight w:val="none"/>
        </w:rPr>
        <w:t>环江毛南族自治县民族中学2022年度国有资本经营预算支出</w:t>
      </w:r>
      <w:r>
        <w:rPr>
          <w:rFonts w:ascii="仿宋" w:hAnsi="仿宋" w:eastAsia="仿宋" w:cs="仿宋"/>
          <w:sz w:val="32"/>
          <w:szCs w:val="32"/>
          <w:highlight w:val="none"/>
        </w:rPr>
        <w:t>0.00</w:t>
      </w:r>
      <w:r>
        <w:rPr>
          <w:rFonts w:hint="eastAsia" w:ascii="仿宋" w:hAnsi="仿宋" w:eastAsia="仿宋" w:cs="仿宋"/>
          <w:sz w:val="32"/>
          <w:szCs w:val="32"/>
          <w:highlight w:val="none"/>
        </w:rPr>
        <w:t>万元。其中：基本支出</w:t>
      </w:r>
      <w:r>
        <w:rPr>
          <w:rFonts w:ascii="仿宋" w:hAnsi="仿宋" w:eastAsia="仿宋" w:cs="仿宋"/>
          <w:sz w:val="32"/>
          <w:szCs w:val="32"/>
          <w:highlight w:val="none"/>
        </w:rPr>
        <w:t>0.00</w:t>
      </w:r>
      <w:r>
        <w:rPr>
          <w:rFonts w:hint="eastAsia" w:ascii="仿宋" w:hAnsi="仿宋" w:eastAsia="仿宋" w:cs="仿宋"/>
          <w:sz w:val="32"/>
          <w:szCs w:val="32"/>
          <w:highlight w:val="none"/>
        </w:rPr>
        <w:t>万元，项目支出</w:t>
      </w:r>
      <w:r>
        <w:rPr>
          <w:rFonts w:ascii="仿宋" w:hAnsi="仿宋" w:eastAsia="仿宋" w:cs="仿宋"/>
          <w:sz w:val="32"/>
          <w:szCs w:val="32"/>
          <w:highlight w:val="none"/>
        </w:rPr>
        <w:t>0.00</w:t>
      </w:r>
      <w:r>
        <w:rPr>
          <w:rFonts w:hint="eastAsia" w:ascii="仿宋" w:hAnsi="仿宋" w:eastAsia="仿宋" w:cs="仿宋"/>
          <w:sz w:val="32"/>
          <w:szCs w:val="32"/>
          <w:highlight w:val="none"/>
        </w:rPr>
        <w:t>万元。</w:t>
      </w:r>
    </w:p>
    <w:p>
      <w:pPr>
        <w:ind w:firstLine="640" w:firstLineChars="200"/>
        <w:jc w:val="left"/>
        <w:rPr>
          <w:rFonts w:hint="eastAsia" w:ascii="仿宋" w:hAnsi="仿宋" w:eastAsia="仿宋" w:cs="仿宋"/>
          <w:sz w:val="32"/>
          <w:szCs w:val="32"/>
          <w:highlight w:val="none"/>
        </w:rPr>
      </w:pPr>
      <w:r>
        <w:rPr>
          <w:rFonts w:hint="eastAsia" w:ascii="仿宋" w:hAnsi="仿宋" w:eastAsia="仿宋" w:cs="仿宋"/>
          <w:sz w:val="32"/>
          <w:szCs w:val="32"/>
          <w:highlight w:val="none"/>
        </w:rPr>
        <w:t>环江毛南族自治县民族中学2022 年度国有资本经营预算支出年初预算为</w:t>
      </w:r>
      <w:r>
        <w:rPr>
          <w:rFonts w:ascii="仿宋" w:hAnsi="仿宋" w:eastAsia="仿宋" w:cs="仿宋"/>
          <w:sz w:val="32"/>
          <w:szCs w:val="32"/>
          <w:highlight w:val="none"/>
        </w:rPr>
        <w:t>0.00</w:t>
      </w:r>
      <w:r>
        <w:rPr>
          <w:rFonts w:hint="eastAsia" w:ascii="仿宋" w:hAnsi="仿宋" w:eastAsia="仿宋" w:cs="仿宋"/>
          <w:sz w:val="32"/>
          <w:szCs w:val="32"/>
          <w:highlight w:val="none"/>
        </w:rPr>
        <w:t>万元，支出决算为</w:t>
      </w:r>
      <w:r>
        <w:rPr>
          <w:rFonts w:ascii="仿宋" w:hAnsi="仿宋" w:eastAsia="仿宋" w:cs="仿宋"/>
          <w:sz w:val="32"/>
          <w:szCs w:val="32"/>
          <w:highlight w:val="none"/>
        </w:rPr>
        <w:t>0.00</w:t>
      </w:r>
      <w:r>
        <w:rPr>
          <w:rFonts w:hint="eastAsia" w:ascii="仿宋" w:hAnsi="仿宋" w:eastAsia="仿宋" w:cs="仿宋"/>
          <w:sz w:val="32"/>
          <w:szCs w:val="32"/>
          <w:highlight w:val="none"/>
        </w:rPr>
        <w:t>万元，完成年初预算的</w:t>
      </w:r>
      <w:r>
        <w:rPr>
          <w:rFonts w:ascii="仿宋" w:hAnsi="仿宋" w:eastAsia="仿宋" w:cs="仿宋"/>
          <w:sz w:val="32"/>
          <w:szCs w:val="32"/>
          <w:highlight w:val="none"/>
        </w:rPr>
        <w:t>0%</w:t>
      </w:r>
      <w:r>
        <w:rPr>
          <w:rFonts w:hint="eastAsia" w:ascii="仿宋" w:hAnsi="仿宋" w:eastAsia="仿宋" w:cs="仿宋"/>
          <w:sz w:val="32"/>
          <w:szCs w:val="32"/>
          <w:highlight w:val="none"/>
        </w:rPr>
        <w:t>。</w:t>
      </w:r>
    </w:p>
    <w:p>
      <w:pPr>
        <w:ind w:firstLine="640" w:firstLineChars="200"/>
        <w:jc w:val="left"/>
        <w:rPr>
          <w:rFonts w:hint="eastAsia" w:ascii="仿宋" w:hAnsi="仿宋" w:eastAsia="仿宋" w:cs="仿宋"/>
          <w:sz w:val="32"/>
          <w:szCs w:val="32"/>
          <w:highlight w:val="none"/>
        </w:rPr>
      </w:pPr>
      <w:bookmarkStart w:id="4" w:name="PO_part3A5B1C1DiffReason1"/>
      <w:r>
        <w:rPr>
          <w:rFonts w:hint="eastAsia" w:ascii="仿宋_GB2312" w:hAnsi="Times New Roman" w:eastAsia="仿宋_GB2312" w:cs="Times New Roman"/>
          <w:color w:val="000000" w:themeColor="text1"/>
          <w:sz w:val="32"/>
          <w:szCs w:val="32"/>
          <w14:textFill>
            <w14:solidFill>
              <w14:schemeClr w14:val="tx1"/>
            </w14:solidFill>
          </w14:textFill>
        </w:rPr>
        <w:t>环江毛南族自治县民族中学</w:t>
      </w:r>
      <w:r>
        <w:rPr>
          <w:rFonts w:ascii="仿宋_GB2312" w:hAnsi="仿宋_GB2312" w:eastAsia="仿宋_GB2312" w:cs="仿宋_GB2312"/>
          <w:color w:val="000000" w:themeColor="text1"/>
          <w:sz w:val="32"/>
          <w:u w:color="auto"/>
          <w14:textFill>
            <w14:solidFill>
              <w14:schemeClr w14:val="tx1"/>
            </w14:solidFill>
          </w14:textFill>
        </w:rPr>
        <w:t>没有国有资本经营预算收入，也没有国有资本经营预算收入</w:t>
      </w:r>
      <w:r>
        <w:rPr>
          <w:rFonts w:hint="eastAsia" w:ascii="仿宋_GB2312" w:hAnsi="Times New Roman" w:eastAsia="仿宋_GB2312" w:cs="Times New Roman"/>
          <w:color w:val="000000" w:themeColor="text1"/>
          <w:sz w:val="32"/>
          <w:szCs w:val="32"/>
          <w14:textFill>
            <w14:solidFill>
              <w14:schemeClr w14:val="tx1"/>
            </w14:solidFill>
          </w14:textFill>
        </w:rPr>
        <w:t>安排的支出</w:t>
      </w:r>
      <w:r>
        <w:rPr>
          <w:rFonts w:hint="eastAsia" w:ascii="仿宋_GB2312" w:hAnsi="Times New Roman" w:eastAsia="仿宋_GB2312" w:cs="Times New Roman"/>
          <w:color w:val="000000" w:themeColor="text1"/>
          <w:sz w:val="32"/>
          <w:szCs w:val="32"/>
          <w:lang w:eastAsia="zh-CN"/>
          <w14:textFill>
            <w14:solidFill>
              <w14:schemeClr w14:val="tx1"/>
            </w14:solidFill>
          </w14:textFill>
        </w:rPr>
        <w:t>。</w:t>
      </w:r>
      <w:bookmarkEnd w:id="4"/>
    </w:p>
    <w:p>
      <w:pPr>
        <w:jc w:val="left"/>
        <w:rPr>
          <w:rFonts w:ascii="仿宋" w:hAnsi="仿宋" w:eastAsia="仿宋" w:cs="仿宋"/>
          <w:sz w:val="32"/>
          <w:szCs w:val="32"/>
          <w:highlight w:val="none"/>
        </w:rPr>
      </w:pPr>
      <w:r>
        <w:rPr>
          <w:rFonts w:hint="eastAsia" w:ascii="黑体" w:hAnsi="黑体" w:eastAsia="黑体" w:cs="黑体"/>
          <w:sz w:val="32"/>
          <w:szCs w:val="32"/>
          <w:highlight w:val="none"/>
        </w:rPr>
        <w:t>六、财政拨款“三公”经费支出决算情况说明</w:t>
      </w:r>
    </w:p>
    <w:p>
      <w:pPr>
        <w:keepNext w:val="0"/>
        <w:keepLines w:val="0"/>
        <w:widowControl w:val="0"/>
        <w:suppressLineNumbers w:val="0"/>
        <w:spacing w:before="0" w:beforeAutospacing="0" w:after="0" w:afterAutospacing="0"/>
        <w:ind w:left="0" w:right="0" w:firstLine="640" w:firstLineChars="200"/>
        <w:jc w:val="left"/>
        <w:rPr>
          <w:rFonts w:ascii="仿宋" w:hAnsi="仿宋" w:eastAsia="仿宋" w:cs="仿宋"/>
          <w:sz w:val="32"/>
          <w:szCs w:val="32"/>
          <w:highlight w:val="none"/>
        </w:rPr>
      </w:pPr>
      <w:r>
        <w:rPr>
          <w:rFonts w:hint="eastAsia" w:ascii="仿宋" w:hAnsi="仿宋" w:eastAsia="仿宋" w:cs="仿宋"/>
          <w:sz w:val="32"/>
          <w:szCs w:val="32"/>
          <w:highlight w:val="none"/>
        </w:rPr>
        <w:t>2022年预算财政拨款安排的“三公”经费支出</w:t>
      </w:r>
      <w:r>
        <w:rPr>
          <w:rFonts w:ascii="仿宋" w:hAnsi="仿宋" w:eastAsia="仿宋" w:cs="仿宋"/>
          <w:sz w:val="32"/>
          <w:szCs w:val="32"/>
          <w:highlight w:val="none"/>
        </w:rPr>
        <w:t>0.00</w:t>
      </w:r>
      <w:r>
        <w:rPr>
          <w:rFonts w:hint="eastAsia" w:ascii="仿宋" w:hAnsi="仿宋" w:eastAsia="仿宋" w:cs="仿宋"/>
          <w:sz w:val="32"/>
          <w:szCs w:val="32"/>
          <w:highlight w:val="none"/>
        </w:rPr>
        <w:t>万元，完成年初预算的</w:t>
      </w:r>
      <w:r>
        <w:rPr>
          <w:rFonts w:ascii="仿宋" w:hAnsi="仿宋" w:eastAsia="仿宋" w:cs="仿宋"/>
          <w:sz w:val="32"/>
          <w:szCs w:val="32"/>
          <w:highlight w:val="none"/>
        </w:rPr>
        <w:t>0%</w:t>
      </w:r>
      <w:r>
        <w:rPr>
          <w:rFonts w:hint="eastAsia" w:ascii="仿宋" w:hAnsi="仿宋" w:eastAsia="仿宋" w:cs="仿宋"/>
          <w:sz w:val="32"/>
          <w:szCs w:val="32"/>
          <w:highlight w:val="none"/>
        </w:rPr>
        <w:t>，比上年</w:t>
      </w:r>
      <w:r>
        <w:rPr>
          <w:rFonts w:ascii="仿宋" w:hAnsi="仿宋" w:eastAsia="仿宋" w:cs="仿宋"/>
          <w:sz w:val="32"/>
          <w:szCs w:val="32"/>
          <w:highlight w:val="none"/>
        </w:rPr>
        <w:t>增加0.00</w:t>
      </w:r>
      <w:r>
        <w:rPr>
          <w:rFonts w:hint="eastAsia" w:ascii="仿宋" w:hAnsi="仿宋" w:eastAsia="仿宋" w:cs="仿宋"/>
          <w:sz w:val="32"/>
          <w:szCs w:val="32"/>
          <w:highlight w:val="none"/>
        </w:rPr>
        <w:t>万元，</w:t>
      </w:r>
      <w:r>
        <w:rPr>
          <w:rFonts w:hint="eastAsia" w:ascii="仿宋" w:hAnsi="仿宋" w:eastAsia="仿宋" w:cs="仿宋"/>
          <w:color w:val="000000" w:themeColor="text1"/>
          <w:kern w:val="2"/>
          <w:sz w:val="32"/>
          <w:szCs w:val="32"/>
          <w:highlight w:val="none"/>
          <w:lang w:val="en-US" w:eastAsia="zh-CN" w:bidi="ar"/>
          <w14:textFill>
            <w14:solidFill>
              <w14:schemeClr w14:val="tx1"/>
            </w14:solidFill>
          </w14:textFill>
        </w:rPr>
        <w:t>主要原因是：</w:t>
      </w:r>
      <w:r>
        <w:rPr>
          <w:rFonts w:hint="eastAsia" w:ascii="仿宋" w:hAnsi="仿宋" w:eastAsia="仿宋" w:cs="仿宋"/>
          <w:color w:val="auto"/>
          <w:kern w:val="2"/>
          <w:sz w:val="32"/>
          <w:szCs w:val="32"/>
          <w:highlight w:val="none"/>
          <w:lang w:val="en-US" w:eastAsia="zh-CN" w:bidi="ar"/>
        </w:rPr>
        <w:t>学校严格执行环江毛南族自治县“三公”经费的管理规定，严格控制“三公”经费支出。</w:t>
      </w:r>
      <w:r>
        <w:rPr>
          <w:rFonts w:hint="eastAsia" w:ascii="仿宋" w:hAnsi="仿宋" w:eastAsia="仿宋" w:cs="仿宋"/>
          <w:color w:val="000000" w:themeColor="text1"/>
          <w:sz w:val="32"/>
          <w:szCs w:val="32"/>
          <w:highlight w:val="none"/>
          <w14:textFill>
            <w14:solidFill>
              <w14:schemeClr w14:val="tx1"/>
            </w14:solidFill>
          </w14:textFill>
        </w:rPr>
        <w:t>其中：因公出国（境）费支出决算</w:t>
      </w:r>
      <w:r>
        <w:rPr>
          <w:rFonts w:ascii="仿宋" w:hAnsi="仿宋" w:eastAsia="仿宋" w:cs="仿宋"/>
          <w:color w:val="000000" w:themeColor="text1"/>
          <w:sz w:val="32"/>
          <w:szCs w:val="32"/>
          <w:highlight w:val="none"/>
          <w14:textFill>
            <w14:solidFill>
              <w14:schemeClr w14:val="tx1"/>
            </w14:solidFill>
          </w14:textFill>
        </w:rPr>
        <w:t>0.00</w:t>
      </w:r>
      <w:r>
        <w:rPr>
          <w:rFonts w:hint="eastAsia" w:ascii="仿宋" w:hAnsi="仿宋" w:eastAsia="仿宋" w:cs="仿宋"/>
          <w:sz w:val="32"/>
          <w:szCs w:val="32"/>
          <w:highlight w:val="none"/>
        </w:rPr>
        <w:t>万元，公务用车购置及运行费支出决算</w:t>
      </w:r>
      <w:r>
        <w:rPr>
          <w:rFonts w:ascii="仿宋" w:hAnsi="仿宋" w:eastAsia="仿宋" w:cs="仿宋"/>
          <w:sz w:val="32"/>
          <w:szCs w:val="32"/>
          <w:highlight w:val="none"/>
        </w:rPr>
        <w:t>0.00</w:t>
      </w:r>
      <w:r>
        <w:rPr>
          <w:rFonts w:hint="eastAsia" w:ascii="仿宋" w:hAnsi="仿宋" w:eastAsia="仿宋" w:cs="仿宋"/>
          <w:sz w:val="32"/>
          <w:szCs w:val="32"/>
          <w:highlight w:val="none"/>
        </w:rPr>
        <w:t>万元，公务接待费支出决算</w:t>
      </w:r>
      <w:r>
        <w:rPr>
          <w:rFonts w:ascii="仿宋" w:hAnsi="仿宋" w:eastAsia="仿宋" w:cs="仿宋"/>
          <w:sz w:val="32"/>
          <w:szCs w:val="32"/>
          <w:highlight w:val="none"/>
        </w:rPr>
        <w:t>0.00</w:t>
      </w:r>
      <w:r>
        <w:rPr>
          <w:rFonts w:hint="eastAsia" w:ascii="仿宋" w:hAnsi="仿宋" w:eastAsia="仿宋" w:cs="仿宋"/>
          <w:sz w:val="32"/>
          <w:szCs w:val="32"/>
          <w:highlight w:val="none"/>
        </w:rPr>
        <w:t>万元。</w:t>
      </w:r>
    </w:p>
    <w:p>
      <w:pPr>
        <w:ind w:firstLine="640" w:firstLineChars="200"/>
        <w:jc w:val="left"/>
        <w:rPr>
          <w:rFonts w:ascii="仿宋" w:hAnsi="仿宋" w:eastAsia="仿宋" w:cs="仿宋"/>
          <w:sz w:val="32"/>
          <w:szCs w:val="32"/>
          <w:highlight w:val="none"/>
        </w:rPr>
      </w:pPr>
      <w:r>
        <w:rPr>
          <w:rFonts w:hint="eastAsia" w:ascii="仿宋" w:hAnsi="仿宋" w:eastAsia="仿宋" w:cs="仿宋"/>
          <w:sz w:val="32"/>
          <w:szCs w:val="32"/>
          <w:highlight w:val="none"/>
        </w:rPr>
        <w:t>具体情况如下：</w:t>
      </w:r>
    </w:p>
    <w:p>
      <w:pPr>
        <w:ind w:firstLine="640" w:firstLineChars="200"/>
        <w:jc w:val="left"/>
        <w:rPr>
          <w:rFonts w:ascii="仿宋" w:hAnsi="仿宋" w:eastAsia="仿宋" w:cs="仿宋"/>
          <w:sz w:val="32"/>
          <w:szCs w:val="32"/>
          <w:highlight w:val="none"/>
        </w:rPr>
      </w:pPr>
      <w:r>
        <w:rPr>
          <w:rFonts w:hint="eastAsia" w:ascii="仿宋" w:hAnsi="仿宋" w:eastAsia="仿宋" w:cs="仿宋"/>
          <w:sz w:val="32"/>
          <w:szCs w:val="32"/>
          <w:highlight w:val="none"/>
        </w:rPr>
        <w:t>（一）因公出国（境）费支出</w:t>
      </w:r>
      <w:r>
        <w:rPr>
          <w:rFonts w:ascii="仿宋" w:hAnsi="仿宋" w:eastAsia="仿宋" w:cs="仿宋"/>
          <w:sz w:val="32"/>
          <w:szCs w:val="32"/>
          <w:highlight w:val="none"/>
        </w:rPr>
        <w:t>0.00</w:t>
      </w:r>
      <w:r>
        <w:rPr>
          <w:rFonts w:hint="eastAsia" w:ascii="仿宋" w:hAnsi="仿宋" w:eastAsia="仿宋" w:cs="仿宋"/>
          <w:sz w:val="32"/>
          <w:szCs w:val="32"/>
          <w:highlight w:val="none"/>
        </w:rPr>
        <w:t>万元，完成年初预算的</w:t>
      </w:r>
      <w:r>
        <w:rPr>
          <w:rFonts w:ascii="仿宋" w:hAnsi="仿宋" w:eastAsia="仿宋" w:cs="仿宋"/>
          <w:sz w:val="32"/>
          <w:szCs w:val="32"/>
          <w:highlight w:val="none"/>
        </w:rPr>
        <w:t>0%</w:t>
      </w:r>
      <w:r>
        <w:rPr>
          <w:rFonts w:hint="eastAsia" w:ascii="仿宋" w:hAnsi="仿宋" w:eastAsia="仿宋" w:cs="仿宋"/>
          <w:sz w:val="32"/>
          <w:szCs w:val="32"/>
          <w:highlight w:val="none"/>
        </w:rPr>
        <w:t>，比上年</w:t>
      </w:r>
      <w:r>
        <w:rPr>
          <w:rFonts w:ascii="仿宋" w:hAnsi="仿宋" w:eastAsia="仿宋" w:cs="仿宋"/>
          <w:sz w:val="32"/>
          <w:szCs w:val="32"/>
          <w:highlight w:val="none"/>
        </w:rPr>
        <w:t>增加0.00</w:t>
      </w:r>
      <w:r>
        <w:rPr>
          <w:rFonts w:hint="eastAsia" w:ascii="仿宋" w:hAnsi="仿宋" w:eastAsia="仿宋" w:cs="仿宋"/>
          <w:sz w:val="32"/>
          <w:szCs w:val="32"/>
          <w:highlight w:val="none"/>
        </w:rPr>
        <w:t xml:space="preserve"> 万元。</w:t>
      </w:r>
      <w:r>
        <w:rPr>
          <w:rFonts w:hint="eastAsia" w:ascii="仿宋" w:hAnsi="仿宋" w:eastAsia="仿宋" w:cs="仿宋"/>
          <w:color w:val="000000" w:themeColor="text1"/>
          <w:sz w:val="32"/>
          <w:szCs w:val="32"/>
          <w:highlight w:val="none"/>
          <w:lang w:val="en-US" w:eastAsia="zh-CN"/>
          <w14:textFill>
            <w14:solidFill>
              <w14:schemeClr w14:val="tx1"/>
            </w14:solidFill>
          </w14:textFill>
        </w:rPr>
        <w:t>原因是：</w:t>
      </w:r>
      <w:r>
        <w:rPr>
          <w:rFonts w:hint="eastAsia" w:ascii="仿宋" w:hAnsi="仿宋" w:eastAsia="仿宋" w:cs="仿宋"/>
          <w:color w:val="auto"/>
          <w:kern w:val="2"/>
          <w:sz w:val="32"/>
          <w:szCs w:val="32"/>
          <w:highlight w:val="none"/>
          <w:lang w:val="en-US" w:eastAsia="zh-CN" w:bidi="ar"/>
        </w:rPr>
        <w:t>学校严格执行环江毛南族自治县“因公出国（境）”的管理规定，严格控制“因公出国（境）”经费支出。</w:t>
      </w:r>
      <w:r>
        <w:rPr>
          <w:rFonts w:hint="eastAsia" w:ascii="仿宋" w:hAnsi="仿宋" w:eastAsia="仿宋" w:cs="仿宋"/>
          <w:sz w:val="32"/>
          <w:szCs w:val="32"/>
          <w:highlight w:val="none"/>
        </w:rPr>
        <w:t>全年因公出国（境）团组共计</w:t>
      </w:r>
      <w:r>
        <w:rPr>
          <w:rFonts w:ascii="仿宋" w:hAnsi="仿宋" w:eastAsia="仿宋" w:cs="仿宋"/>
          <w:sz w:val="32"/>
          <w:szCs w:val="32"/>
          <w:highlight w:val="none"/>
        </w:rPr>
        <w:t>0</w:t>
      </w:r>
      <w:r>
        <w:rPr>
          <w:rFonts w:hint="eastAsia" w:ascii="仿宋" w:hAnsi="仿宋" w:eastAsia="仿宋" w:cs="仿宋"/>
          <w:sz w:val="32"/>
          <w:szCs w:val="32"/>
          <w:highlight w:val="none"/>
        </w:rPr>
        <w:t>个，累计</w:t>
      </w:r>
      <w:r>
        <w:rPr>
          <w:rFonts w:ascii="仿宋" w:hAnsi="仿宋" w:eastAsia="仿宋" w:cs="仿宋"/>
          <w:sz w:val="32"/>
          <w:szCs w:val="32"/>
          <w:highlight w:val="none"/>
        </w:rPr>
        <w:t>0</w:t>
      </w:r>
      <w:r>
        <w:rPr>
          <w:rFonts w:hint="eastAsia" w:ascii="仿宋" w:hAnsi="仿宋" w:eastAsia="仿宋" w:cs="仿宋"/>
          <w:sz w:val="32"/>
          <w:szCs w:val="32"/>
          <w:highlight w:val="none"/>
        </w:rPr>
        <w:t>人次。</w:t>
      </w:r>
    </w:p>
    <w:p>
      <w:pPr>
        <w:ind w:firstLine="640" w:firstLineChars="200"/>
        <w:jc w:val="left"/>
        <w:rPr>
          <w:rFonts w:hint="eastAsia" w:ascii="仿宋" w:hAnsi="仿宋" w:eastAsia="仿宋" w:cs="仿宋"/>
          <w:color w:val="FF0000"/>
          <w:sz w:val="32"/>
          <w:szCs w:val="32"/>
        </w:rPr>
      </w:pPr>
      <w:r>
        <w:rPr>
          <w:rFonts w:hint="eastAsia" w:ascii="仿宋" w:hAnsi="仿宋" w:eastAsia="仿宋" w:cs="仿宋"/>
          <w:sz w:val="32"/>
          <w:szCs w:val="32"/>
          <w:highlight w:val="none"/>
        </w:rPr>
        <w:t>（二）公务用车购置及运行维护费</w:t>
      </w:r>
      <w:r>
        <w:rPr>
          <w:rFonts w:ascii="仿宋" w:hAnsi="仿宋" w:eastAsia="仿宋" w:cs="仿宋"/>
          <w:sz w:val="32"/>
          <w:u w:color="auto"/>
        </w:rPr>
        <w:t>0.00</w:t>
      </w:r>
      <w:r>
        <w:rPr>
          <w:rFonts w:hint="eastAsia" w:ascii="仿宋" w:hAnsi="仿宋" w:eastAsia="仿宋" w:cs="仿宋"/>
          <w:sz w:val="32"/>
          <w:szCs w:val="32"/>
          <w:highlight w:val="none"/>
        </w:rPr>
        <w:t>万元。其中：公务用车购置支出</w:t>
      </w:r>
      <w:r>
        <w:rPr>
          <w:rFonts w:ascii="仿宋" w:hAnsi="仿宋" w:eastAsia="仿宋" w:cs="仿宋"/>
          <w:sz w:val="32"/>
          <w:u w:color="auto"/>
        </w:rPr>
        <w:t>0.00</w:t>
      </w:r>
      <w:r>
        <w:rPr>
          <w:rFonts w:hint="eastAsia" w:ascii="仿宋" w:hAnsi="仿宋" w:eastAsia="仿宋" w:cs="仿宋"/>
          <w:sz w:val="32"/>
          <w:szCs w:val="32"/>
          <w:highlight w:val="none"/>
        </w:rPr>
        <w:t>万元，完成年初预算的</w:t>
      </w:r>
      <w:r>
        <w:rPr>
          <w:rFonts w:ascii="仿宋" w:hAnsi="仿宋" w:eastAsia="仿宋" w:cs="仿宋"/>
          <w:sz w:val="32"/>
          <w:u w:color="auto"/>
        </w:rPr>
        <w:t>0%</w:t>
      </w:r>
      <w:r>
        <w:rPr>
          <w:rFonts w:hint="eastAsia" w:ascii="仿宋" w:hAnsi="仿宋" w:eastAsia="仿宋" w:cs="仿宋"/>
          <w:sz w:val="32"/>
          <w:szCs w:val="32"/>
          <w:highlight w:val="none"/>
        </w:rPr>
        <w:t>，比上年</w:t>
      </w:r>
      <w:r>
        <w:rPr>
          <w:rFonts w:ascii="仿宋" w:hAnsi="仿宋" w:eastAsia="仿宋" w:cs="仿宋"/>
          <w:sz w:val="32"/>
          <w:u w:color="auto"/>
        </w:rPr>
        <w:t>增加0.00</w:t>
      </w:r>
      <w:r>
        <w:rPr>
          <w:rFonts w:hint="eastAsia" w:ascii="仿宋" w:hAnsi="仿宋" w:eastAsia="仿宋" w:cs="仿宋"/>
          <w:sz w:val="32"/>
          <w:szCs w:val="32"/>
          <w:highlight w:val="none"/>
        </w:rPr>
        <w:t xml:space="preserve"> 万元。</w:t>
      </w:r>
      <w:r>
        <w:rPr>
          <w:rFonts w:hint="eastAsia" w:ascii="仿宋" w:hAnsi="仿宋" w:eastAsia="仿宋" w:cs="仿宋"/>
          <w:color w:val="auto"/>
          <w:kern w:val="2"/>
          <w:sz w:val="32"/>
          <w:szCs w:val="32"/>
          <w:highlight w:val="none"/>
          <w:lang w:val="en-US" w:eastAsia="zh-CN" w:bidi="ar"/>
        </w:rPr>
        <w:t>学校严格执行环江毛南族自治县“公务车购置及运行”的管理规定，严格控制“公务车购置及运行”经费支出。</w:t>
      </w:r>
      <w:r>
        <w:rPr>
          <w:rFonts w:hint="eastAsia" w:ascii="仿宋" w:hAnsi="仿宋" w:eastAsia="仿宋" w:cs="仿宋"/>
          <w:sz w:val="32"/>
          <w:szCs w:val="32"/>
          <w:highlight w:val="none"/>
        </w:rPr>
        <w:t>公务用车运行维护支出</w:t>
      </w:r>
      <w:r>
        <w:rPr>
          <w:rFonts w:ascii="仿宋" w:hAnsi="仿宋" w:eastAsia="仿宋" w:cs="仿宋"/>
          <w:sz w:val="32"/>
          <w:u w:color="auto"/>
        </w:rPr>
        <w:t>0.00</w:t>
      </w:r>
      <w:r>
        <w:rPr>
          <w:rFonts w:hint="eastAsia" w:ascii="仿宋" w:hAnsi="仿宋" w:eastAsia="仿宋" w:cs="仿宋"/>
          <w:sz w:val="32"/>
          <w:szCs w:val="32"/>
          <w:highlight w:val="none"/>
        </w:rPr>
        <w:t>万元，完成年初预算的</w:t>
      </w:r>
      <w:r>
        <w:rPr>
          <w:rFonts w:ascii="仿宋" w:hAnsi="仿宋" w:eastAsia="仿宋" w:cs="仿宋"/>
          <w:sz w:val="32"/>
          <w:u w:color="auto"/>
        </w:rPr>
        <w:t>0%</w:t>
      </w:r>
      <w:r>
        <w:rPr>
          <w:rFonts w:hint="eastAsia" w:ascii="仿宋" w:hAnsi="仿宋" w:eastAsia="仿宋" w:cs="仿宋"/>
          <w:sz w:val="32"/>
          <w:szCs w:val="32"/>
          <w:highlight w:val="none"/>
        </w:rPr>
        <w:t>，比上年</w:t>
      </w:r>
      <w:r>
        <w:rPr>
          <w:rFonts w:ascii="仿宋" w:hAnsi="仿宋" w:eastAsia="仿宋" w:cs="仿宋"/>
          <w:sz w:val="32"/>
          <w:u w:color="auto"/>
        </w:rPr>
        <w:t>增加0.00</w:t>
      </w:r>
      <w:r>
        <w:rPr>
          <w:rFonts w:hint="eastAsia" w:ascii="仿宋" w:hAnsi="仿宋" w:eastAsia="仿宋" w:cs="仿宋"/>
          <w:sz w:val="32"/>
          <w:szCs w:val="32"/>
          <w:highlight w:val="none"/>
        </w:rPr>
        <w:t>万元。</w:t>
      </w:r>
    </w:p>
    <w:p>
      <w:pPr>
        <w:ind w:firstLine="640" w:firstLineChars="200"/>
        <w:jc w:val="left"/>
        <w:rPr>
          <w:rFonts w:ascii="仿宋" w:hAnsi="仿宋" w:eastAsia="仿宋" w:cs="仿宋"/>
          <w:color w:val="FF0000"/>
          <w:sz w:val="32"/>
          <w:szCs w:val="32"/>
          <w:highlight w:val="none"/>
        </w:rPr>
      </w:pPr>
      <w:r>
        <w:rPr>
          <w:rFonts w:hint="eastAsia" w:ascii="仿宋" w:hAnsi="仿宋" w:eastAsia="仿宋" w:cs="仿宋"/>
          <w:sz w:val="32"/>
          <w:szCs w:val="32"/>
          <w:highlight w:val="none"/>
        </w:rPr>
        <w:t>2022年，</w:t>
      </w:r>
      <w:r>
        <w:rPr>
          <w:rFonts w:ascii="仿宋" w:hAnsi="仿宋" w:eastAsia="仿宋" w:cs="仿宋"/>
          <w:sz w:val="32"/>
          <w:u w:color="auto"/>
        </w:rPr>
        <w:t>环江毛南族自治县民族中学</w:t>
      </w:r>
      <w:r>
        <w:rPr>
          <w:rFonts w:hint="eastAsia" w:ascii="仿宋" w:hAnsi="仿宋" w:eastAsia="仿宋" w:cs="仿宋"/>
          <w:sz w:val="32"/>
          <w:szCs w:val="32"/>
          <w:highlight w:val="none"/>
        </w:rPr>
        <w:t>开支财政拨款的公务用车保有量为</w:t>
      </w:r>
      <w:r>
        <w:rPr>
          <w:rFonts w:ascii="仿宋" w:hAnsi="仿宋" w:eastAsia="仿宋" w:cs="仿宋"/>
          <w:sz w:val="32"/>
          <w:u w:color="auto"/>
        </w:rPr>
        <w:t>0</w:t>
      </w:r>
      <w:r>
        <w:rPr>
          <w:rFonts w:hint="eastAsia" w:ascii="仿宋" w:hAnsi="仿宋" w:eastAsia="仿宋" w:cs="仿宋"/>
          <w:sz w:val="32"/>
          <w:szCs w:val="32"/>
          <w:highlight w:val="none"/>
        </w:rPr>
        <w:t>辆，全年运行费支出</w:t>
      </w:r>
      <w:r>
        <w:rPr>
          <w:rFonts w:ascii="仿宋" w:hAnsi="仿宋" w:eastAsia="仿宋" w:cs="仿宋"/>
          <w:sz w:val="32"/>
          <w:u w:color="auto"/>
        </w:rPr>
        <w:t>0.00</w:t>
      </w:r>
      <w:r>
        <w:rPr>
          <w:rFonts w:hint="eastAsia" w:ascii="仿宋" w:hAnsi="仿宋" w:eastAsia="仿宋" w:cs="仿宋"/>
          <w:sz w:val="32"/>
          <w:szCs w:val="32"/>
          <w:highlight w:val="none"/>
        </w:rPr>
        <w:t>万元</w:t>
      </w:r>
      <w:r>
        <w:rPr>
          <w:rFonts w:hint="eastAsia" w:ascii="仿宋" w:hAnsi="仿宋" w:eastAsia="仿宋" w:cs="仿宋"/>
          <w:sz w:val="32"/>
          <w:szCs w:val="32"/>
          <w:highlight w:val="none"/>
          <w:lang w:eastAsia="zh-CN"/>
        </w:rPr>
        <w:t>。</w:t>
      </w:r>
    </w:p>
    <w:p>
      <w:pPr>
        <w:keepNext w:val="0"/>
        <w:keepLines w:val="0"/>
        <w:widowControl w:val="0"/>
        <w:suppressLineNumbers w:val="0"/>
        <w:spacing w:before="0" w:beforeAutospacing="0" w:after="0" w:afterAutospacing="0"/>
        <w:ind w:left="0" w:right="0" w:firstLine="640" w:firstLineChars="200"/>
        <w:jc w:val="left"/>
        <w:rPr>
          <w:rFonts w:ascii="仿宋" w:hAnsi="仿宋" w:eastAsia="仿宋" w:cs="仿宋"/>
          <w:sz w:val="32"/>
          <w:szCs w:val="32"/>
          <w:highlight w:val="none"/>
        </w:rPr>
      </w:pPr>
      <w:r>
        <w:rPr>
          <w:rFonts w:hint="eastAsia" w:ascii="仿宋" w:hAnsi="仿宋" w:eastAsia="仿宋" w:cs="仿宋"/>
          <w:sz w:val="32"/>
          <w:szCs w:val="32"/>
          <w:highlight w:val="none"/>
        </w:rPr>
        <w:t>（三）公务接待费支出</w:t>
      </w:r>
      <w:r>
        <w:rPr>
          <w:rFonts w:ascii="仿宋" w:hAnsi="仿宋" w:eastAsia="仿宋" w:cs="仿宋"/>
          <w:sz w:val="32"/>
          <w:szCs w:val="32"/>
          <w:highlight w:val="none"/>
        </w:rPr>
        <w:t>0.00</w:t>
      </w:r>
      <w:r>
        <w:rPr>
          <w:rFonts w:hint="eastAsia" w:ascii="仿宋" w:hAnsi="仿宋" w:eastAsia="仿宋" w:cs="仿宋"/>
          <w:sz w:val="32"/>
          <w:szCs w:val="32"/>
          <w:highlight w:val="none"/>
        </w:rPr>
        <w:t>万元，完成年初预算的</w:t>
      </w:r>
      <w:r>
        <w:rPr>
          <w:rFonts w:ascii="仿宋" w:hAnsi="仿宋" w:eastAsia="仿宋" w:cs="仿宋"/>
          <w:sz w:val="32"/>
          <w:szCs w:val="32"/>
          <w:highlight w:val="none"/>
        </w:rPr>
        <w:t>0%</w:t>
      </w:r>
      <w:r>
        <w:rPr>
          <w:rFonts w:hint="eastAsia" w:ascii="仿宋" w:hAnsi="仿宋" w:eastAsia="仿宋" w:cs="仿宋"/>
          <w:sz w:val="32"/>
          <w:szCs w:val="32"/>
          <w:highlight w:val="none"/>
        </w:rPr>
        <w:t>， 比上年</w:t>
      </w:r>
      <w:r>
        <w:rPr>
          <w:rFonts w:ascii="仿宋" w:hAnsi="仿宋" w:eastAsia="仿宋" w:cs="仿宋"/>
          <w:sz w:val="32"/>
          <w:szCs w:val="32"/>
          <w:highlight w:val="none"/>
        </w:rPr>
        <w:t>增加0.00</w:t>
      </w:r>
      <w:r>
        <w:rPr>
          <w:rFonts w:hint="eastAsia" w:ascii="仿宋" w:hAnsi="仿宋" w:eastAsia="仿宋" w:cs="仿宋"/>
          <w:sz w:val="32"/>
          <w:szCs w:val="32"/>
          <w:highlight w:val="none"/>
        </w:rPr>
        <w:t>万元，</w:t>
      </w:r>
      <w:r>
        <w:rPr>
          <w:rFonts w:hint="eastAsia" w:ascii="仿宋" w:hAnsi="仿宋" w:eastAsia="仿宋" w:cs="仿宋"/>
          <w:color w:val="auto"/>
          <w:kern w:val="2"/>
          <w:sz w:val="32"/>
          <w:szCs w:val="32"/>
          <w:highlight w:val="none"/>
          <w:lang w:val="en-US" w:eastAsia="zh-CN" w:bidi="ar"/>
        </w:rPr>
        <w:t>学校严格执行环江毛南族自治县“公务接待”的管理规定，严格控制“公务接待”经费支出。</w:t>
      </w:r>
      <w:r>
        <w:rPr>
          <w:rFonts w:hint="eastAsia" w:ascii="仿宋" w:hAnsi="仿宋" w:eastAsia="仿宋" w:cs="仿宋"/>
          <w:color w:val="000000" w:themeColor="text1"/>
          <w:sz w:val="32"/>
          <w:szCs w:val="32"/>
          <w:highlight w:val="none"/>
          <w14:textFill>
            <w14:solidFill>
              <w14:schemeClr w14:val="tx1"/>
            </w14:solidFill>
          </w14:textFill>
        </w:rPr>
        <w:t>国内公务接待批次</w:t>
      </w:r>
      <w:r>
        <w:rPr>
          <w:rFonts w:ascii="仿宋" w:hAnsi="仿宋" w:eastAsia="仿宋" w:cs="仿宋"/>
          <w:color w:val="000000" w:themeColor="text1"/>
          <w:sz w:val="32"/>
          <w:szCs w:val="32"/>
          <w:highlight w:val="none"/>
          <w14:textFill>
            <w14:solidFill>
              <w14:schemeClr w14:val="tx1"/>
            </w14:solidFill>
          </w14:textFill>
        </w:rPr>
        <w:t>0</w:t>
      </w:r>
      <w:r>
        <w:rPr>
          <w:rFonts w:hint="eastAsia" w:ascii="仿宋" w:hAnsi="仿宋" w:eastAsia="仿宋" w:cs="仿宋"/>
          <w:sz w:val="32"/>
          <w:szCs w:val="32"/>
          <w:highlight w:val="none"/>
        </w:rPr>
        <w:t>次，人次</w:t>
      </w:r>
      <w:r>
        <w:rPr>
          <w:rFonts w:ascii="仿宋" w:hAnsi="仿宋" w:eastAsia="仿宋" w:cs="仿宋"/>
          <w:sz w:val="32"/>
          <w:szCs w:val="32"/>
          <w:highlight w:val="none"/>
        </w:rPr>
        <w:t>0</w:t>
      </w:r>
      <w:r>
        <w:rPr>
          <w:rFonts w:hint="eastAsia" w:ascii="仿宋" w:hAnsi="仿宋" w:eastAsia="仿宋" w:cs="仿宋"/>
          <w:sz w:val="32"/>
          <w:szCs w:val="32"/>
          <w:highlight w:val="none"/>
        </w:rPr>
        <w:t>次，国（境）外公务接待批次</w:t>
      </w:r>
      <w:r>
        <w:rPr>
          <w:rFonts w:ascii="仿宋" w:hAnsi="仿宋" w:eastAsia="仿宋" w:cs="仿宋"/>
          <w:sz w:val="32"/>
          <w:szCs w:val="32"/>
          <w:highlight w:val="none"/>
        </w:rPr>
        <w:t>0</w:t>
      </w:r>
      <w:r>
        <w:rPr>
          <w:rFonts w:hint="eastAsia" w:ascii="仿宋" w:hAnsi="仿宋" w:eastAsia="仿宋" w:cs="仿宋"/>
          <w:sz w:val="32"/>
          <w:szCs w:val="32"/>
          <w:highlight w:val="none"/>
        </w:rPr>
        <w:t>次，人次</w:t>
      </w:r>
      <w:r>
        <w:rPr>
          <w:rFonts w:ascii="仿宋" w:hAnsi="仿宋" w:eastAsia="仿宋" w:cs="仿宋"/>
          <w:sz w:val="32"/>
          <w:szCs w:val="32"/>
          <w:highlight w:val="none"/>
        </w:rPr>
        <w:t>0</w:t>
      </w:r>
      <w:r>
        <w:rPr>
          <w:rFonts w:hint="eastAsia" w:ascii="仿宋" w:hAnsi="仿宋" w:eastAsia="仿宋" w:cs="仿宋"/>
          <w:sz w:val="32"/>
          <w:szCs w:val="32"/>
          <w:highlight w:val="none"/>
        </w:rPr>
        <w:t>次。</w:t>
      </w:r>
    </w:p>
    <w:p>
      <w:pPr>
        <w:jc w:val="left"/>
        <w:rPr>
          <w:rFonts w:ascii="仿宋" w:hAnsi="仿宋" w:eastAsia="仿宋" w:cs="仿宋"/>
          <w:sz w:val="32"/>
          <w:szCs w:val="32"/>
          <w:highlight w:val="none"/>
        </w:rPr>
      </w:pPr>
      <w:r>
        <w:rPr>
          <w:rFonts w:hint="eastAsia" w:ascii="黑体" w:hAnsi="黑体" w:eastAsia="黑体" w:cs="黑体"/>
          <w:sz w:val="32"/>
          <w:szCs w:val="32"/>
          <w:highlight w:val="none"/>
        </w:rPr>
        <w:t>七、其他重要事项情况说明</w:t>
      </w:r>
    </w:p>
    <w:p>
      <w:pPr>
        <w:jc w:val="left"/>
        <w:rPr>
          <w:rFonts w:ascii="黑体" w:hAnsi="黑体" w:eastAsia="黑体" w:cs="黑体"/>
          <w:sz w:val="32"/>
          <w:szCs w:val="32"/>
          <w:highlight w:val="none"/>
        </w:rPr>
      </w:pPr>
      <w:r>
        <w:rPr>
          <w:rFonts w:hint="eastAsia" w:ascii="黑体" w:hAnsi="黑体" w:eastAsia="黑体" w:cs="黑体"/>
          <w:sz w:val="32"/>
          <w:szCs w:val="32"/>
          <w:highlight w:val="none"/>
        </w:rPr>
        <w:t>（一） 机关运行经费支出情况说明</w:t>
      </w:r>
    </w:p>
    <w:p>
      <w:pPr>
        <w:ind w:firstLine="640" w:firstLineChars="200"/>
        <w:jc w:val="left"/>
        <w:rPr>
          <w:rFonts w:hint="eastAsia" w:ascii="仿宋" w:hAnsi="仿宋" w:eastAsia="仿宋" w:cs="仿宋"/>
          <w:sz w:val="32"/>
          <w:szCs w:val="32"/>
          <w:highlight w:val="none"/>
          <w:lang w:val="en-US" w:eastAsia="zh-CN"/>
        </w:rPr>
      </w:pPr>
      <w:r>
        <w:rPr>
          <w:rFonts w:hint="eastAsia" w:ascii="仿宋" w:hAnsi="仿宋" w:eastAsia="仿宋" w:cs="仿宋"/>
          <w:sz w:val="32"/>
          <w:szCs w:val="32"/>
          <w:highlight w:val="none"/>
        </w:rPr>
        <w:t>本部门2022年度机关运行经费支出</w:t>
      </w:r>
      <w:r>
        <w:rPr>
          <w:rFonts w:ascii="仿宋" w:hAnsi="仿宋" w:eastAsia="仿宋" w:cs="仿宋"/>
          <w:sz w:val="32"/>
          <w:szCs w:val="32"/>
          <w:highlight w:val="none"/>
        </w:rPr>
        <w:t>0.00</w:t>
      </w:r>
      <w:r>
        <w:rPr>
          <w:rFonts w:hint="eastAsia" w:ascii="仿宋" w:hAnsi="仿宋" w:eastAsia="仿宋" w:cs="仿宋"/>
          <w:sz w:val="32"/>
          <w:szCs w:val="32"/>
          <w:highlight w:val="none"/>
        </w:rPr>
        <w:t>万元，</w:t>
      </w:r>
      <w:r>
        <w:rPr>
          <w:rFonts w:hint="eastAsia" w:ascii="仿宋" w:hAnsi="仿宋" w:eastAsia="仿宋" w:cs="仿宋"/>
          <w:sz w:val="32"/>
          <w:szCs w:val="32"/>
          <w:highlight w:val="none"/>
          <w:lang w:eastAsia="zh-CN"/>
        </w:rPr>
        <w:t>比</w:t>
      </w:r>
      <w:r>
        <w:rPr>
          <w:rFonts w:hint="eastAsia" w:ascii="仿宋" w:hAnsi="仿宋" w:eastAsia="仿宋" w:cs="仿宋"/>
          <w:sz w:val="32"/>
          <w:szCs w:val="32"/>
          <w:highlight w:val="none"/>
          <w:lang w:val="en-US" w:eastAsia="zh-CN"/>
        </w:rPr>
        <w:t>2021年度减少了0万元，降低0%。减少的主要原因是：学校严格执行贯彻中央八项规定精神，减少行政运行成本。</w:t>
      </w:r>
    </w:p>
    <w:p>
      <w:pPr>
        <w:ind w:firstLine="640" w:firstLineChars="200"/>
        <w:jc w:val="left"/>
        <w:rPr>
          <w:rFonts w:hint="default" w:ascii="仿宋" w:hAnsi="仿宋" w:eastAsia="仿宋" w:cs="仿宋"/>
          <w:sz w:val="32"/>
          <w:szCs w:val="32"/>
          <w:highlight w:val="none"/>
          <w:lang w:val="en-US" w:eastAsia="zh-CN"/>
        </w:rPr>
      </w:pPr>
      <w:r>
        <w:rPr>
          <w:rFonts w:hint="eastAsia" w:ascii="仿宋" w:hAnsi="仿宋" w:eastAsia="仿宋" w:cs="仿宋"/>
          <w:sz w:val="32"/>
          <w:szCs w:val="32"/>
          <w:highlight w:val="none"/>
          <w:lang w:val="en-US" w:eastAsia="zh-CN"/>
        </w:rPr>
        <w:t>本部门无机关运行经费支出。</w:t>
      </w:r>
    </w:p>
    <w:p>
      <w:pPr>
        <w:jc w:val="left"/>
        <w:rPr>
          <w:rFonts w:ascii="黑体" w:hAnsi="黑体" w:eastAsia="黑体" w:cs="黑体"/>
          <w:sz w:val="32"/>
          <w:szCs w:val="32"/>
          <w:highlight w:val="none"/>
        </w:rPr>
      </w:pPr>
      <w:r>
        <w:rPr>
          <w:rFonts w:hint="eastAsia" w:ascii="黑体" w:hAnsi="黑体" w:eastAsia="黑体" w:cs="黑体"/>
          <w:sz w:val="32"/>
          <w:szCs w:val="32"/>
          <w:highlight w:val="none"/>
        </w:rPr>
        <w:t>（二）政府采购支出情况说明</w:t>
      </w:r>
    </w:p>
    <w:p>
      <w:pPr>
        <w:ind w:firstLine="640" w:firstLineChars="200"/>
        <w:jc w:val="left"/>
        <w:rPr>
          <w:rFonts w:ascii="仿宋" w:hAnsi="仿宋" w:eastAsia="仿宋" w:cs="仿宋"/>
          <w:sz w:val="32"/>
          <w:szCs w:val="32"/>
          <w:highlight w:val="none"/>
        </w:rPr>
      </w:pPr>
      <w:r>
        <w:rPr>
          <w:rFonts w:hint="eastAsia" w:ascii="仿宋" w:hAnsi="仿宋" w:eastAsia="仿宋" w:cs="仿宋"/>
          <w:sz w:val="32"/>
          <w:szCs w:val="32"/>
          <w:highlight w:val="none"/>
        </w:rPr>
        <w:t>本部门2022年度政府采购支出总额</w:t>
      </w:r>
      <w:r>
        <w:rPr>
          <w:rFonts w:ascii="仿宋" w:hAnsi="仿宋" w:eastAsia="仿宋" w:cs="仿宋"/>
          <w:sz w:val="32"/>
          <w:szCs w:val="32"/>
          <w:highlight w:val="none"/>
        </w:rPr>
        <w:t>0.00</w:t>
      </w:r>
      <w:r>
        <w:rPr>
          <w:rFonts w:hint="eastAsia" w:ascii="仿宋" w:hAnsi="仿宋" w:eastAsia="仿宋" w:cs="仿宋"/>
          <w:sz w:val="32"/>
          <w:szCs w:val="32"/>
          <w:highlight w:val="none"/>
        </w:rPr>
        <w:t>万元，其中：政府采购货物支出</w:t>
      </w:r>
      <w:r>
        <w:rPr>
          <w:rFonts w:ascii="仿宋" w:hAnsi="仿宋" w:eastAsia="仿宋" w:cs="仿宋"/>
          <w:sz w:val="32"/>
          <w:szCs w:val="32"/>
          <w:highlight w:val="none"/>
        </w:rPr>
        <w:t>0.00</w:t>
      </w:r>
      <w:r>
        <w:rPr>
          <w:rFonts w:hint="eastAsia" w:ascii="仿宋" w:hAnsi="仿宋" w:eastAsia="仿宋" w:cs="仿宋"/>
          <w:sz w:val="32"/>
          <w:szCs w:val="32"/>
          <w:highlight w:val="none"/>
        </w:rPr>
        <w:t>万元、政府采购工程支出</w:t>
      </w:r>
      <w:r>
        <w:rPr>
          <w:rFonts w:ascii="仿宋" w:hAnsi="仿宋" w:eastAsia="仿宋" w:cs="仿宋"/>
          <w:sz w:val="32"/>
          <w:szCs w:val="32"/>
          <w:highlight w:val="none"/>
        </w:rPr>
        <w:t>0.00</w:t>
      </w:r>
      <w:r>
        <w:rPr>
          <w:rFonts w:hint="eastAsia" w:ascii="仿宋" w:hAnsi="仿宋" w:eastAsia="仿宋" w:cs="仿宋"/>
          <w:sz w:val="32"/>
          <w:szCs w:val="32"/>
          <w:highlight w:val="none"/>
        </w:rPr>
        <w:t>万元、政府采购服务支出</w:t>
      </w:r>
      <w:r>
        <w:rPr>
          <w:rFonts w:ascii="仿宋" w:hAnsi="仿宋" w:eastAsia="仿宋" w:cs="仿宋"/>
          <w:sz w:val="32"/>
          <w:szCs w:val="32"/>
          <w:highlight w:val="none"/>
        </w:rPr>
        <w:t>0.00</w:t>
      </w:r>
      <w:r>
        <w:rPr>
          <w:rFonts w:hint="eastAsia" w:ascii="仿宋" w:hAnsi="仿宋" w:eastAsia="仿宋" w:cs="仿宋"/>
          <w:sz w:val="32"/>
          <w:szCs w:val="32"/>
          <w:highlight w:val="none"/>
        </w:rPr>
        <w:t>万元。授予中小企业合同金额</w:t>
      </w:r>
      <w:r>
        <w:rPr>
          <w:rFonts w:ascii="仿宋" w:hAnsi="仿宋" w:eastAsia="仿宋" w:cs="仿宋"/>
          <w:sz w:val="32"/>
          <w:szCs w:val="32"/>
          <w:highlight w:val="none"/>
        </w:rPr>
        <w:t>0.00</w:t>
      </w:r>
      <w:r>
        <w:rPr>
          <w:rFonts w:hint="eastAsia" w:ascii="仿宋" w:hAnsi="仿宋" w:eastAsia="仿宋" w:cs="仿宋"/>
          <w:sz w:val="32"/>
          <w:szCs w:val="32"/>
          <w:highlight w:val="none"/>
        </w:rPr>
        <w:t>万元，占政府采购支出总额的</w:t>
      </w:r>
      <w:r>
        <w:rPr>
          <w:rFonts w:ascii="仿宋" w:hAnsi="仿宋" w:eastAsia="仿宋" w:cs="仿宋"/>
          <w:sz w:val="32"/>
          <w:szCs w:val="32"/>
          <w:highlight w:val="none"/>
        </w:rPr>
        <w:t>0%</w:t>
      </w:r>
      <w:r>
        <w:rPr>
          <w:rFonts w:hint="eastAsia" w:ascii="仿宋" w:hAnsi="仿宋" w:eastAsia="仿宋" w:cs="仿宋"/>
          <w:sz w:val="32"/>
          <w:szCs w:val="32"/>
          <w:highlight w:val="none"/>
        </w:rPr>
        <w:t>，其中：授予小微企业合同金额</w:t>
      </w:r>
      <w:r>
        <w:rPr>
          <w:rFonts w:ascii="仿宋" w:hAnsi="仿宋" w:eastAsia="仿宋" w:cs="仿宋"/>
          <w:sz w:val="32"/>
          <w:szCs w:val="32"/>
          <w:highlight w:val="none"/>
        </w:rPr>
        <w:t>0.00</w:t>
      </w:r>
      <w:r>
        <w:rPr>
          <w:rFonts w:hint="eastAsia" w:ascii="仿宋" w:hAnsi="仿宋" w:eastAsia="仿宋" w:cs="仿宋"/>
          <w:sz w:val="32"/>
          <w:szCs w:val="32"/>
          <w:highlight w:val="none"/>
        </w:rPr>
        <w:t>万元，占授予中小企业合同金额的</w:t>
      </w:r>
      <w:r>
        <w:rPr>
          <w:rFonts w:ascii="仿宋" w:hAnsi="仿宋" w:eastAsia="仿宋" w:cs="仿宋"/>
          <w:sz w:val="32"/>
          <w:szCs w:val="32"/>
          <w:highlight w:val="none"/>
        </w:rPr>
        <w:t>0%</w:t>
      </w:r>
      <w:r>
        <w:rPr>
          <w:rFonts w:hint="eastAsia" w:ascii="仿宋" w:hAnsi="仿宋" w:eastAsia="仿宋" w:cs="仿宋"/>
          <w:sz w:val="32"/>
          <w:szCs w:val="32"/>
          <w:highlight w:val="none"/>
        </w:rPr>
        <w:t>。</w:t>
      </w:r>
    </w:p>
    <w:p>
      <w:pPr>
        <w:jc w:val="left"/>
        <w:rPr>
          <w:rFonts w:ascii="仿宋" w:hAnsi="仿宋" w:eastAsia="仿宋" w:cs="仿宋"/>
          <w:sz w:val="32"/>
          <w:szCs w:val="32"/>
          <w:highlight w:val="none"/>
        </w:rPr>
      </w:pPr>
      <w:r>
        <w:rPr>
          <w:rFonts w:hint="eastAsia" w:ascii="黑体" w:hAnsi="黑体" w:eastAsia="黑体" w:cs="黑体"/>
          <w:sz w:val="32"/>
          <w:szCs w:val="32"/>
          <w:highlight w:val="none"/>
        </w:rPr>
        <w:t>（三）国有资产占用情况说明</w:t>
      </w:r>
    </w:p>
    <w:p>
      <w:pPr>
        <w:ind w:firstLine="640" w:firstLineChars="200"/>
        <w:jc w:val="left"/>
        <w:rPr>
          <w:rFonts w:ascii="仿宋" w:hAnsi="仿宋" w:eastAsia="仿宋" w:cs="仿宋"/>
          <w:sz w:val="32"/>
          <w:szCs w:val="32"/>
          <w:highlight w:val="none"/>
        </w:rPr>
      </w:pPr>
      <w:r>
        <w:rPr>
          <w:rFonts w:hint="eastAsia" w:ascii="仿宋" w:hAnsi="仿宋" w:eastAsia="仿宋" w:cs="仿宋"/>
          <w:sz w:val="32"/>
          <w:szCs w:val="32"/>
          <w:highlight w:val="none"/>
        </w:rPr>
        <w:t>截至2022年12月31日，本部门共有车辆</w:t>
      </w:r>
      <w:r>
        <w:rPr>
          <w:rFonts w:ascii="仿宋" w:hAnsi="仿宋" w:eastAsia="仿宋" w:cs="仿宋"/>
          <w:sz w:val="32"/>
          <w:szCs w:val="32"/>
          <w:highlight w:val="none"/>
        </w:rPr>
        <w:t>0</w:t>
      </w:r>
      <w:r>
        <w:rPr>
          <w:rFonts w:hint="eastAsia" w:ascii="仿宋" w:hAnsi="仿宋" w:eastAsia="仿宋" w:cs="仿宋"/>
          <w:sz w:val="32"/>
          <w:szCs w:val="32"/>
          <w:highlight w:val="none"/>
        </w:rPr>
        <w:t>辆，其中：副部（省）级领导干部用车</w:t>
      </w:r>
      <w:r>
        <w:rPr>
          <w:rFonts w:ascii="仿宋" w:hAnsi="仿宋" w:eastAsia="仿宋" w:cs="仿宋"/>
          <w:sz w:val="32"/>
          <w:szCs w:val="32"/>
          <w:highlight w:val="none"/>
        </w:rPr>
        <w:t>0</w:t>
      </w:r>
      <w:r>
        <w:rPr>
          <w:rFonts w:hint="eastAsia" w:ascii="仿宋" w:hAnsi="仿宋" w:eastAsia="仿宋" w:cs="仿宋"/>
          <w:sz w:val="32"/>
          <w:szCs w:val="32"/>
          <w:highlight w:val="none"/>
        </w:rPr>
        <w:t>辆、机要通信用车</w:t>
      </w:r>
      <w:r>
        <w:rPr>
          <w:rFonts w:ascii="仿宋" w:hAnsi="仿宋" w:eastAsia="仿宋" w:cs="仿宋"/>
          <w:sz w:val="32"/>
          <w:szCs w:val="32"/>
          <w:highlight w:val="none"/>
        </w:rPr>
        <w:t>0</w:t>
      </w:r>
      <w:r>
        <w:rPr>
          <w:rFonts w:hint="eastAsia" w:ascii="仿宋" w:hAnsi="仿宋" w:eastAsia="仿宋" w:cs="仿宋"/>
          <w:sz w:val="32"/>
          <w:szCs w:val="32"/>
          <w:highlight w:val="none"/>
        </w:rPr>
        <w:t>辆、应急保障用车</w:t>
      </w:r>
      <w:r>
        <w:rPr>
          <w:rFonts w:ascii="仿宋" w:hAnsi="仿宋" w:eastAsia="仿宋" w:cs="仿宋"/>
          <w:sz w:val="32"/>
          <w:szCs w:val="32"/>
          <w:highlight w:val="none"/>
        </w:rPr>
        <w:t>0</w:t>
      </w:r>
      <w:r>
        <w:rPr>
          <w:rFonts w:hint="eastAsia" w:ascii="仿宋" w:hAnsi="仿宋" w:eastAsia="仿宋" w:cs="仿宋"/>
          <w:sz w:val="32"/>
          <w:szCs w:val="32"/>
          <w:highlight w:val="none"/>
        </w:rPr>
        <w:t>辆、执法执勤用车</w:t>
      </w:r>
      <w:r>
        <w:rPr>
          <w:rFonts w:ascii="仿宋" w:hAnsi="仿宋" w:eastAsia="仿宋" w:cs="仿宋"/>
          <w:sz w:val="32"/>
          <w:szCs w:val="32"/>
          <w:highlight w:val="none"/>
        </w:rPr>
        <w:t>0</w:t>
      </w:r>
      <w:r>
        <w:rPr>
          <w:rFonts w:hint="eastAsia" w:ascii="仿宋" w:hAnsi="仿宋" w:eastAsia="仿宋" w:cs="仿宋"/>
          <w:sz w:val="32"/>
          <w:szCs w:val="32"/>
          <w:highlight w:val="none"/>
        </w:rPr>
        <w:t>辆、特种专业技术用车</w:t>
      </w:r>
      <w:r>
        <w:rPr>
          <w:rFonts w:ascii="仿宋" w:hAnsi="仿宋" w:eastAsia="仿宋" w:cs="仿宋"/>
          <w:sz w:val="32"/>
          <w:szCs w:val="32"/>
          <w:highlight w:val="none"/>
        </w:rPr>
        <w:t>0</w:t>
      </w:r>
      <w:r>
        <w:rPr>
          <w:rFonts w:hint="eastAsia" w:ascii="仿宋" w:hAnsi="仿宋" w:eastAsia="仿宋" w:cs="仿宋"/>
          <w:sz w:val="32"/>
          <w:szCs w:val="32"/>
          <w:highlight w:val="none"/>
        </w:rPr>
        <w:t>辆、其他用车</w:t>
      </w:r>
      <w:r>
        <w:rPr>
          <w:rFonts w:ascii="仿宋" w:hAnsi="仿宋" w:eastAsia="仿宋" w:cs="仿宋"/>
          <w:sz w:val="32"/>
          <w:szCs w:val="32"/>
          <w:highlight w:val="none"/>
        </w:rPr>
        <w:t>0</w:t>
      </w:r>
      <w:r>
        <w:rPr>
          <w:rFonts w:hint="eastAsia" w:ascii="仿宋" w:hAnsi="仿宋" w:eastAsia="仿宋" w:cs="仿宋"/>
          <w:sz w:val="32"/>
          <w:szCs w:val="32"/>
          <w:highlight w:val="none"/>
        </w:rPr>
        <w:t>辆；单位价值50万元以上通用设备</w:t>
      </w:r>
      <w:r>
        <w:rPr>
          <w:rFonts w:ascii="仿宋" w:hAnsi="仿宋" w:eastAsia="仿宋" w:cs="仿宋"/>
          <w:sz w:val="32"/>
          <w:szCs w:val="32"/>
          <w:highlight w:val="none"/>
        </w:rPr>
        <w:t>0</w:t>
      </w:r>
      <w:r>
        <w:rPr>
          <w:rFonts w:hint="eastAsia" w:ascii="仿宋" w:hAnsi="仿宋" w:eastAsia="仿宋" w:cs="仿宋"/>
          <w:sz w:val="32"/>
          <w:szCs w:val="32"/>
          <w:highlight w:val="none"/>
        </w:rPr>
        <w:t>台（套）；单位价值</w:t>
      </w:r>
      <w:r>
        <w:rPr>
          <w:rFonts w:hint="eastAsia" w:ascii="仿宋" w:hAnsi="仿宋" w:eastAsia="仿宋" w:cs="仿宋"/>
          <w:sz w:val="32"/>
          <w:szCs w:val="32"/>
          <w:highlight w:val="none"/>
          <w:lang w:val="en-US" w:eastAsia="zh-CN"/>
        </w:rPr>
        <w:t>100万</w:t>
      </w:r>
      <w:r>
        <w:rPr>
          <w:rFonts w:hint="eastAsia" w:ascii="仿宋" w:hAnsi="仿宋" w:eastAsia="仿宋" w:cs="仿宋"/>
          <w:sz w:val="32"/>
          <w:szCs w:val="32"/>
          <w:highlight w:val="none"/>
        </w:rPr>
        <w:t>元以上专用设备台（套）。</w:t>
      </w:r>
    </w:p>
    <w:p>
      <w:pPr>
        <w:jc w:val="left"/>
        <w:rPr>
          <w:rFonts w:ascii="仿宋" w:hAnsi="仿宋" w:eastAsia="仿宋" w:cs="仿宋"/>
          <w:sz w:val="32"/>
          <w:szCs w:val="32"/>
          <w:highlight w:val="none"/>
        </w:rPr>
      </w:pPr>
      <w:r>
        <w:rPr>
          <w:rFonts w:hint="eastAsia" w:ascii="黑体" w:hAnsi="黑体" w:eastAsia="黑体" w:cs="黑体"/>
          <w:sz w:val="32"/>
          <w:szCs w:val="32"/>
          <w:highlight w:val="none"/>
        </w:rPr>
        <w:t>（四）预算绩效管理工作开展情况</w:t>
      </w:r>
    </w:p>
    <w:p>
      <w:pPr>
        <w:ind w:firstLine="640" w:firstLineChars="200"/>
        <w:jc w:val="left"/>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1.绩效管理工作开展情况。</w:t>
      </w:r>
    </w:p>
    <w:p>
      <w:pPr>
        <w:ind w:firstLine="640" w:firstLineChars="200"/>
        <w:jc w:val="left"/>
        <w:rPr>
          <w:rFonts w:hint="eastAsia" w:ascii="仿宋" w:hAnsi="仿宋" w:eastAsia="仿宋" w:cs="仿宋"/>
          <w:color w:val="000000" w:themeColor="text1"/>
          <w:sz w:val="32"/>
          <w:szCs w:val="32"/>
          <w:lang w:eastAsia="zh-CN"/>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根据财政预算管理要求，本部门组织对</w:t>
      </w:r>
      <w:r>
        <w:rPr>
          <w:rFonts w:hint="eastAsia" w:ascii="仿宋" w:hAnsi="仿宋" w:eastAsia="仿宋" w:cs="仿宋"/>
          <w:color w:val="000000" w:themeColor="text1"/>
          <w:sz w:val="32"/>
          <w:szCs w:val="32"/>
          <w:lang w:eastAsia="zh-CN"/>
          <w14:textFill>
            <w14:solidFill>
              <w14:schemeClr w14:val="tx1"/>
            </w14:solidFill>
          </w14:textFill>
        </w:rPr>
        <w:t>2022年</w:t>
      </w:r>
      <w:r>
        <w:rPr>
          <w:rFonts w:hint="eastAsia" w:ascii="仿宋" w:hAnsi="仿宋" w:eastAsia="仿宋" w:cs="仿宋"/>
          <w:color w:val="000000" w:themeColor="text1"/>
          <w:sz w:val="32"/>
          <w:szCs w:val="32"/>
          <w14:textFill>
            <w14:solidFill>
              <w14:schemeClr w14:val="tx1"/>
            </w14:solidFill>
          </w14:textFill>
        </w:rPr>
        <w:t>度一般公共预算项目支出全面开展绩效自评。其中，一</w:t>
      </w:r>
      <w:r>
        <w:rPr>
          <w:rFonts w:hint="eastAsia" w:ascii="仿宋" w:hAnsi="仿宋" w:eastAsia="仿宋" w:cs="仿宋"/>
          <w:color w:val="000000" w:themeColor="text1"/>
          <w:sz w:val="32"/>
          <w:szCs w:val="32"/>
          <w:lang w:val="en-US" w:eastAsia="zh-CN"/>
          <w14:textFill>
            <w14:solidFill>
              <w14:schemeClr w14:val="tx1"/>
            </w14:solidFill>
          </w14:textFill>
        </w:rPr>
        <w:t>等</w:t>
      </w:r>
      <w:r>
        <w:rPr>
          <w:rFonts w:hint="eastAsia" w:ascii="仿宋" w:hAnsi="仿宋" w:eastAsia="仿宋" w:cs="仿宋"/>
          <w:color w:val="000000" w:themeColor="text1"/>
          <w:sz w:val="32"/>
          <w:szCs w:val="32"/>
          <w14:textFill>
            <w14:solidFill>
              <w14:schemeClr w14:val="tx1"/>
            </w14:solidFill>
          </w14:textFill>
        </w:rPr>
        <w:t>项目</w:t>
      </w:r>
      <w:r>
        <w:rPr>
          <w:rFonts w:hint="eastAsia" w:ascii="仿宋" w:hAnsi="仿宋" w:eastAsia="仿宋" w:cs="仿宋"/>
          <w:color w:val="000000" w:themeColor="text1"/>
          <w:sz w:val="32"/>
          <w:szCs w:val="32"/>
          <w:lang w:val="en-US" w:eastAsia="zh-CN"/>
          <w14:textFill>
            <w14:solidFill>
              <w14:schemeClr w14:val="tx1"/>
            </w14:solidFill>
          </w14:textFill>
        </w:rPr>
        <w:t>14</w:t>
      </w:r>
      <w:r>
        <w:rPr>
          <w:rFonts w:hint="eastAsia" w:ascii="仿宋" w:hAnsi="仿宋" w:eastAsia="仿宋" w:cs="仿宋"/>
          <w:color w:val="000000" w:themeColor="text1"/>
          <w:sz w:val="32"/>
          <w:szCs w:val="32"/>
          <w14:textFill>
            <w14:solidFill>
              <w14:schemeClr w14:val="tx1"/>
            </w14:solidFill>
          </w14:textFill>
        </w:rPr>
        <w:t>个，二</w:t>
      </w:r>
      <w:r>
        <w:rPr>
          <w:rFonts w:hint="eastAsia" w:ascii="仿宋" w:hAnsi="仿宋" w:eastAsia="仿宋" w:cs="仿宋"/>
          <w:color w:val="000000" w:themeColor="text1"/>
          <w:sz w:val="32"/>
          <w:szCs w:val="32"/>
          <w:lang w:val="en-US" w:eastAsia="zh-CN"/>
          <w14:textFill>
            <w14:solidFill>
              <w14:schemeClr w14:val="tx1"/>
            </w14:solidFill>
          </w14:textFill>
        </w:rPr>
        <w:t>等</w:t>
      </w:r>
      <w:r>
        <w:rPr>
          <w:rFonts w:hint="eastAsia" w:ascii="仿宋" w:hAnsi="仿宋" w:eastAsia="仿宋" w:cs="仿宋"/>
          <w:color w:val="000000" w:themeColor="text1"/>
          <w:sz w:val="32"/>
          <w:szCs w:val="32"/>
          <w14:textFill>
            <w14:solidFill>
              <w14:schemeClr w14:val="tx1"/>
            </w14:solidFill>
          </w14:textFill>
        </w:rPr>
        <w:t>项目</w:t>
      </w:r>
      <w:r>
        <w:rPr>
          <w:rFonts w:hint="eastAsia" w:ascii="仿宋" w:hAnsi="仿宋" w:eastAsia="仿宋" w:cs="仿宋"/>
          <w:color w:val="000000" w:themeColor="text1"/>
          <w:sz w:val="32"/>
          <w:szCs w:val="32"/>
          <w:lang w:val="en-US" w:eastAsia="zh-CN"/>
          <w14:textFill>
            <w14:solidFill>
              <w14:schemeClr w14:val="tx1"/>
            </w14:solidFill>
          </w14:textFill>
        </w:rPr>
        <w:t>0</w:t>
      </w:r>
      <w:r>
        <w:rPr>
          <w:rFonts w:hint="eastAsia" w:ascii="仿宋" w:hAnsi="仿宋" w:eastAsia="仿宋" w:cs="仿宋"/>
          <w:color w:val="000000" w:themeColor="text1"/>
          <w:sz w:val="32"/>
          <w:szCs w:val="32"/>
          <w14:textFill>
            <w14:solidFill>
              <w14:schemeClr w14:val="tx1"/>
            </w14:solidFill>
          </w14:textFill>
        </w:rPr>
        <w:t>个，共涉及资金</w:t>
      </w:r>
      <w:r>
        <w:rPr>
          <w:rFonts w:hint="eastAsia" w:ascii="仿宋" w:hAnsi="仿宋" w:eastAsia="仿宋" w:cs="仿宋"/>
          <w:color w:val="000000" w:themeColor="text1"/>
          <w:sz w:val="32"/>
          <w:szCs w:val="32"/>
          <w:lang w:val="en-US" w:eastAsia="zh-CN"/>
          <w14:textFill>
            <w14:solidFill>
              <w14:schemeClr w14:val="tx1"/>
            </w14:solidFill>
          </w14:textFill>
        </w:rPr>
        <w:t>2195.79</w:t>
      </w:r>
      <w:r>
        <w:rPr>
          <w:rFonts w:hint="eastAsia" w:ascii="仿宋" w:hAnsi="仿宋" w:eastAsia="仿宋" w:cs="仿宋"/>
          <w:color w:val="000000" w:themeColor="text1"/>
          <w:sz w:val="32"/>
          <w:szCs w:val="32"/>
          <w14:textFill>
            <w14:solidFill>
              <w14:schemeClr w14:val="tx1"/>
            </w14:solidFill>
          </w14:textFill>
        </w:rPr>
        <w:t>万元，占一般公共预算项目支出总额的</w:t>
      </w:r>
      <w:r>
        <w:rPr>
          <w:rFonts w:hint="eastAsia" w:ascii="仿宋" w:hAnsi="仿宋" w:eastAsia="仿宋" w:cs="仿宋"/>
          <w:color w:val="000000" w:themeColor="text1"/>
          <w:sz w:val="32"/>
          <w:szCs w:val="32"/>
          <w:lang w:val="en-US" w:eastAsia="zh-CN"/>
          <w14:textFill>
            <w14:solidFill>
              <w14:schemeClr w14:val="tx1"/>
            </w14:solidFill>
          </w14:textFill>
        </w:rPr>
        <w:t>100</w:t>
      </w:r>
      <w:r>
        <w:rPr>
          <w:rFonts w:hint="eastAsia" w:ascii="仿宋" w:hAnsi="仿宋" w:eastAsia="仿宋" w:cs="仿宋"/>
          <w:color w:val="000000" w:themeColor="text1"/>
          <w:sz w:val="32"/>
          <w:szCs w:val="32"/>
          <w14:textFill>
            <w14:solidFill>
              <w14:schemeClr w14:val="tx1"/>
            </w14:solidFill>
          </w14:textFill>
        </w:rPr>
        <w:t>%。组织对“</w:t>
      </w:r>
      <w:r>
        <w:rPr>
          <w:rFonts w:hint="eastAsia" w:ascii="仿宋" w:hAnsi="仿宋" w:eastAsia="仿宋" w:cs="仿宋"/>
          <w:color w:val="000000" w:themeColor="text1"/>
          <w:sz w:val="32"/>
          <w:szCs w:val="32"/>
          <w:lang w:eastAsia="zh-CN"/>
          <w14:textFill>
            <w14:solidFill>
              <w14:schemeClr w14:val="tx1"/>
            </w14:solidFill>
          </w14:textFill>
        </w:rPr>
        <w:t>一般公共服务支出</w:t>
      </w:r>
      <w:r>
        <w:rPr>
          <w:rFonts w:hint="eastAsia" w:ascii="仿宋" w:hAnsi="仿宋" w:eastAsia="仿宋" w:cs="仿宋"/>
          <w:color w:val="000000" w:themeColor="text1"/>
          <w:sz w:val="32"/>
          <w:szCs w:val="32"/>
          <w14:textFill>
            <w14:solidFill>
              <w14:schemeClr w14:val="tx1"/>
            </w14:solidFill>
          </w14:textFill>
        </w:rPr>
        <w:t>”等</w:t>
      </w:r>
      <w:r>
        <w:rPr>
          <w:rFonts w:hint="eastAsia" w:ascii="仿宋" w:hAnsi="仿宋" w:eastAsia="仿宋" w:cs="仿宋"/>
          <w:color w:val="000000" w:themeColor="text1"/>
          <w:sz w:val="32"/>
          <w:szCs w:val="32"/>
          <w:lang w:val="en-US" w:eastAsia="zh-CN"/>
          <w14:textFill>
            <w14:solidFill>
              <w14:schemeClr w14:val="tx1"/>
            </w14:solidFill>
          </w14:textFill>
        </w:rPr>
        <w:t>14</w:t>
      </w:r>
      <w:r>
        <w:rPr>
          <w:rFonts w:hint="eastAsia" w:ascii="仿宋" w:hAnsi="仿宋" w:eastAsia="仿宋" w:cs="仿宋"/>
          <w:color w:val="000000" w:themeColor="text1"/>
          <w:sz w:val="32"/>
          <w:szCs w:val="32"/>
          <w14:textFill>
            <w14:solidFill>
              <w14:schemeClr w14:val="tx1"/>
            </w14:solidFill>
          </w14:textFill>
        </w:rPr>
        <w:t>个项目进行了部门评价，涉及一般公共预算支出</w:t>
      </w:r>
      <w:r>
        <w:rPr>
          <w:rFonts w:hint="eastAsia" w:ascii="仿宋" w:hAnsi="仿宋" w:eastAsia="仿宋" w:cs="仿宋"/>
          <w:color w:val="000000" w:themeColor="text1"/>
          <w:sz w:val="32"/>
          <w:szCs w:val="32"/>
          <w:lang w:val="en-US" w:eastAsia="zh-CN"/>
          <w14:textFill>
            <w14:solidFill>
              <w14:schemeClr w14:val="tx1"/>
            </w14:solidFill>
          </w14:textFill>
        </w:rPr>
        <w:t>2195.79</w:t>
      </w:r>
      <w:r>
        <w:rPr>
          <w:rFonts w:hint="eastAsia" w:ascii="仿宋" w:hAnsi="仿宋" w:eastAsia="仿宋" w:cs="仿宋"/>
          <w:color w:val="000000" w:themeColor="text1"/>
          <w:sz w:val="32"/>
          <w:szCs w:val="32"/>
          <w14:textFill>
            <w14:solidFill>
              <w14:schemeClr w14:val="tx1"/>
            </w14:solidFill>
          </w14:textFill>
        </w:rPr>
        <w:t>万元，政府性基金预算支出</w:t>
      </w:r>
      <w:r>
        <w:rPr>
          <w:rFonts w:hint="eastAsia" w:ascii="仿宋" w:hAnsi="仿宋" w:eastAsia="仿宋" w:cs="仿宋"/>
          <w:color w:val="000000" w:themeColor="text1"/>
          <w:sz w:val="32"/>
          <w:szCs w:val="32"/>
          <w:lang w:val="en-US" w:eastAsia="zh-CN"/>
          <w14:textFill>
            <w14:solidFill>
              <w14:schemeClr w14:val="tx1"/>
            </w14:solidFill>
          </w14:textFill>
        </w:rPr>
        <w:t>0</w:t>
      </w:r>
      <w:r>
        <w:rPr>
          <w:rFonts w:hint="eastAsia" w:ascii="仿宋" w:hAnsi="仿宋" w:eastAsia="仿宋" w:cs="仿宋"/>
          <w:color w:val="000000" w:themeColor="text1"/>
          <w:sz w:val="32"/>
          <w:szCs w:val="32"/>
          <w14:textFill>
            <w14:solidFill>
              <w14:schemeClr w14:val="tx1"/>
            </w14:solidFill>
          </w14:textFill>
        </w:rPr>
        <w:t>万元，国有资本经营预算支出</w:t>
      </w:r>
      <w:r>
        <w:rPr>
          <w:rFonts w:hint="eastAsia" w:ascii="仿宋" w:hAnsi="仿宋" w:eastAsia="仿宋" w:cs="仿宋"/>
          <w:color w:val="000000" w:themeColor="text1"/>
          <w:sz w:val="32"/>
          <w:szCs w:val="32"/>
          <w:lang w:val="en-US" w:eastAsia="zh-CN"/>
          <w14:textFill>
            <w14:solidFill>
              <w14:schemeClr w14:val="tx1"/>
            </w14:solidFill>
          </w14:textFill>
        </w:rPr>
        <w:t>0</w:t>
      </w:r>
      <w:r>
        <w:rPr>
          <w:rFonts w:hint="eastAsia" w:ascii="仿宋" w:hAnsi="仿宋" w:eastAsia="仿宋" w:cs="仿宋"/>
          <w:color w:val="000000" w:themeColor="text1"/>
          <w:sz w:val="32"/>
          <w:szCs w:val="32"/>
          <w14:textFill>
            <w14:solidFill>
              <w14:schemeClr w14:val="tx1"/>
            </w14:solidFill>
          </w14:textFill>
        </w:rPr>
        <w:t>万元。从评价情况来看</w:t>
      </w:r>
      <w:r>
        <w:rPr>
          <w:rFonts w:hint="eastAsia" w:ascii="仿宋" w:hAnsi="仿宋" w:eastAsia="仿宋" w:cs="仿宋"/>
          <w:color w:val="000000" w:themeColor="text1"/>
          <w:sz w:val="32"/>
          <w:szCs w:val="32"/>
          <w:lang w:eastAsia="zh-CN"/>
          <w14:textFill>
            <w14:solidFill>
              <w14:schemeClr w14:val="tx1"/>
            </w14:solidFill>
          </w14:textFill>
        </w:rPr>
        <w:t>：</w:t>
      </w:r>
    </w:p>
    <w:p>
      <w:pPr>
        <w:ind w:firstLine="640" w:firstLineChars="200"/>
        <w:jc w:val="left"/>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1</w:t>
      </w:r>
      <w:r>
        <w:rPr>
          <w:rFonts w:hint="eastAsia" w:ascii="仿宋" w:hAnsi="仿宋" w:eastAsia="仿宋" w:cs="仿宋"/>
          <w:color w:val="auto"/>
          <w:sz w:val="32"/>
          <w:szCs w:val="32"/>
          <w:lang w:eastAsia="zh-CN"/>
        </w:rPr>
        <w:t>）根据财政预算管理要求，</w:t>
      </w:r>
      <w:r>
        <w:rPr>
          <w:rFonts w:hint="eastAsia" w:ascii="仿宋" w:hAnsi="仿宋" w:eastAsia="仿宋" w:cs="仿宋"/>
          <w:color w:val="auto"/>
          <w:sz w:val="32"/>
          <w:szCs w:val="32"/>
          <w:lang w:val="en-US" w:eastAsia="zh-CN"/>
        </w:rPr>
        <w:t>2022年我校预算绩效评价达到了项目申请时的各项绩效目标。</w:t>
      </w:r>
    </w:p>
    <w:p>
      <w:pPr>
        <w:ind w:firstLine="640" w:firstLineChars="200"/>
        <w:jc w:val="left"/>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lang w:eastAsia="zh-CN"/>
          <w14:textFill>
            <w14:solidFill>
              <w14:schemeClr w14:val="tx1"/>
            </w14:solidFill>
          </w14:textFill>
        </w:rPr>
        <w:t>（</w:t>
      </w:r>
      <w:r>
        <w:rPr>
          <w:rFonts w:hint="eastAsia" w:ascii="仿宋" w:hAnsi="仿宋" w:eastAsia="仿宋" w:cs="仿宋"/>
          <w:color w:val="000000" w:themeColor="text1"/>
          <w:sz w:val="32"/>
          <w:szCs w:val="32"/>
          <w:lang w:val="en-US" w:eastAsia="zh-CN"/>
          <w14:textFill>
            <w14:solidFill>
              <w14:schemeClr w14:val="tx1"/>
            </w14:solidFill>
          </w14:textFill>
        </w:rPr>
        <w:t>2</w:t>
      </w:r>
      <w:r>
        <w:rPr>
          <w:rFonts w:hint="eastAsia" w:ascii="仿宋" w:hAnsi="仿宋" w:eastAsia="仿宋" w:cs="仿宋"/>
          <w:color w:val="000000" w:themeColor="text1"/>
          <w:sz w:val="32"/>
          <w:szCs w:val="32"/>
          <w:lang w:eastAsia="zh-CN"/>
          <w14:textFill>
            <w14:solidFill>
              <w14:schemeClr w14:val="tx1"/>
            </w14:solidFill>
          </w14:textFill>
        </w:rPr>
        <w:t>）本部门尚未开展部门整体支出绩效评价试点工作。</w:t>
      </w:r>
    </w:p>
    <w:p>
      <w:pPr>
        <w:ind w:firstLine="640" w:firstLineChars="200"/>
        <w:jc w:val="left"/>
        <w:rPr>
          <w:rFonts w:hint="eastAsia" w:ascii="仿宋" w:hAnsi="仿宋" w:eastAsia="仿宋" w:cs="仿宋"/>
          <w:color w:val="FF0000"/>
          <w:sz w:val="32"/>
          <w:szCs w:val="32"/>
        </w:rPr>
      </w:pPr>
      <w:r>
        <w:rPr>
          <w:rFonts w:hint="eastAsia" w:ascii="仿宋" w:hAnsi="仿宋" w:eastAsia="仿宋" w:cs="仿宋"/>
          <w:color w:val="000000" w:themeColor="text1"/>
          <w:sz w:val="32"/>
          <w:szCs w:val="32"/>
          <w14:textFill>
            <w14:solidFill>
              <w14:schemeClr w14:val="tx1"/>
            </w14:solidFill>
          </w14:textFill>
        </w:rPr>
        <w:t>2.部门决算中项目绩效自评结果</w:t>
      </w:r>
    </w:p>
    <w:p>
      <w:pPr>
        <w:ind w:firstLine="640" w:firstLineChars="200"/>
        <w:jc w:val="left"/>
        <w:rPr>
          <w:rFonts w:hint="eastAsia" w:ascii="仿宋" w:hAnsi="仿宋" w:eastAsia="仿宋" w:cs="仿宋"/>
          <w:color w:val="FF0000"/>
          <w:sz w:val="32"/>
          <w:szCs w:val="32"/>
        </w:rPr>
      </w:pPr>
      <w:r>
        <w:rPr>
          <w:rFonts w:hint="eastAsia" w:ascii="仿宋" w:hAnsi="仿宋" w:eastAsia="仿宋" w:cs="仿宋"/>
          <w:color w:val="000000" w:themeColor="text1"/>
          <w:sz w:val="32"/>
          <w:szCs w:val="32"/>
          <w14:textFill>
            <w14:solidFill>
              <w14:schemeClr w14:val="tx1"/>
            </w14:solidFill>
          </w14:textFill>
        </w:rPr>
        <w:t>我部门根据年初设定的绩效目标，</w:t>
      </w:r>
      <w:r>
        <w:rPr>
          <w:rFonts w:hint="eastAsia" w:ascii="仿宋" w:hAnsi="仿宋" w:eastAsia="仿宋" w:cs="仿宋"/>
          <w:color w:val="000000" w:themeColor="text1"/>
          <w:sz w:val="32"/>
          <w:szCs w:val="32"/>
          <w:lang w:eastAsia="zh-CN"/>
          <w14:textFill>
            <w14:solidFill>
              <w14:schemeClr w14:val="tx1"/>
            </w14:solidFill>
          </w14:textFill>
        </w:rPr>
        <w:t>对年初预算经费、班主任津贴、城乡义务教育公用经费县级配套资金、顶岗教师工资、环江县教育局2021-2022学年度招聘初级中学顶岗教师经费(150万)(2021年底收回指标)、伙食补助、奖励性补贴、教师节经费、民族班及壮文经费、全县校长绩效工资、思源实验学校2021年年初预算经费(追加小卖部租金)(2021年底收回指标)、义务教育阶段家庭经济困难学生生活自治区补助资金、义务教育中央级公用经费、营养改善计划膳食补助资金、自治区公用经费等</w:t>
      </w:r>
      <w:r>
        <w:rPr>
          <w:rFonts w:hint="eastAsia" w:ascii="仿宋" w:hAnsi="仿宋" w:eastAsia="仿宋" w:cs="仿宋"/>
          <w:color w:val="000000" w:themeColor="text1"/>
          <w:sz w:val="32"/>
          <w:szCs w:val="32"/>
          <w:lang w:val="en-US" w:eastAsia="zh-CN"/>
          <w14:textFill>
            <w14:solidFill>
              <w14:schemeClr w14:val="tx1"/>
            </w14:solidFill>
          </w14:textFill>
        </w:rPr>
        <w:t>14个</w:t>
      </w:r>
      <w:r>
        <w:rPr>
          <w:rFonts w:hint="eastAsia" w:ascii="仿宋" w:hAnsi="仿宋" w:eastAsia="仿宋" w:cs="仿宋"/>
          <w:color w:val="000000" w:themeColor="text1"/>
          <w:sz w:val="32"/>
          <w:szCs w:val="32"/>
          <w14:textFill>
            <w14:solidFill>
              <w14:schemeClr w14:val="tx1"/>
            </w14:solidFill>
          </w14:textFill>
        </w:rPr>
        <w:t>项目自评得分</w:t>
      </w:r>
      <w:r>
        <w:rPr>
          <w:rFonts w:hint="eastAsia" w:ascii="仿宋" w:hAnsi="仿宋" w:eastAsia="仿宋" w:cs="仿宋"/>
          <w:color w:val="000000" w:themeColor="text1"/>
          <w:sz w:val="32"/>
          <w:szCs w:val="32"/>
          <w:lang w:eastAsia="zh-CN"/>
          <w14:textFill>
            <w14:solidFill>
              <w14:schemeClr w14:val="tx1"/>
            </w14:solidFill>
          </w14:textFill>
        </w:rPr>
        <w:t>均</w:t>
      </w:r>
      <w:r>
        <w:rPr>
          <w:rFonts w:hint="eastAsia" w:ascii="仿宋" w:hAnsi="仿宋" w:eastAsia="仿宋" w:cs="仿宋"/>
          <w:color w:val="000000" w:themeColor="text1"/>
          <w:sz w:val="32"/>
          <w:szCs w:val="32"/>
          <w14:textFill>
            <w14:solidFill>
              <w14:schemeClr w14:val="tx1"/>
            </w14:solidFill>
          </w14:textFill>
        </w:rPr>
        <w:t>为</w:t>
      </w:r>
      <w:r>
        <w:rPr>
          <w:rFonts w:hint="eastAsia" w:ascii="仿宋" w:hAnsi="仿宋" w:eastAsia="仿宋" w:cs="仿宋"/>
          <w:color w:val="000000" w:themeColor="text1"/>
          <w:sz w:val="32"/>
          <w:szCs w:val="32"/>
          <w:lang w:val="en-US" w:eastAsia="zh-CN"/>
          <w14:textFill>
            <w14:solidFill>
              <w14:schemeClr w14:val="tx1"/>
            </w14:solidFill>
          </w14:textFill>
        </w:rPr>
        <w:t>100</w:t>
      </w:r>
      <w:r>
        <w:rPr>
          <w:rFonts w:hint="eastAsia" w:ascii="仿宋" w:hAnsi="仿宋" w:eastAsia="仿宋" w:cs="仿宋"/>
          <w:color w:val="000000" w:themeColor="text1"/>
          <w:sz w:val="32"/>
          <w:szCs w:val="32"/>
          <w14:textFill>
            <w14:solidFill>
              <w14:schemeClr w14:val="tx1"/>
            </w14:solidFill>
          </w14:textFill>
        </w:rPr>
        <w:t>分。</w:t>
      </w:r>
      <w:r>
        <w:rPr>
          <w:rFonts w:hint="eastAsia" w:ascii="仿宋" w:hAnsi="仿宋" w:eastAsia="仿宋" w:cs="仿宋"/>
          <w:color w:val="000000" w:themeColor="text1"/>
          <w:sz w:val="32"/>
          <w:szCs w:val="32"/>
          <w:lang w:eastAsia="zh-CN"/>
          <w14:textFill>
            <w14:solidFill>
              <w14:schemeClr w14:val="tx1"/>
            </w14:solidFill>
          </w14:textFill>
        </w:rPr>
        <w:t>没有</w:t>
      </w:r>
      <w:r>
        <w:rPr>
          <w:rFonts w:hint="eastAsia" w:ascii="仿宋" w:hAnsi="仿宋" w:eastAsia="仿宋" w:cs="仿宋"/>
          <w:color w:val="000000" w:themeColor="text1"/>
          <w:sz w:val="32"/>
          <w:szCs w:val="32"/>
          <w14:textFill>
            <w14:solidFill>
              <w14:schemeClr w14:val="tx1"/>
            </w14:solidFill>
          </w14:textFill>
        </w:rPr>
        <w:t>发现</w:t>
      </w:r>
      <w:r>
        <w:rPr>
          <w:rFonts w:hint="eastAsia" w:ascii="仿宋" w:hAnsi="仿宋" w:eastAsia="仿宋" w:cs="仿宋"/>
          <w:color w:val="000000" w:themeColor="text1"/>
          <w:sz w:val="32"/>
          <w:szCs w:val="32"/>
          <w:lang w:eastAsia="zh-CN"/>
          <w14:textFill>
            <w14:solidFill>
              <w14:schemeClr w14:val="tx1"/>
            </w14:solidFill>
          </w14:textFill>
        </w:rPr>
        <w:t>什么</w:t>
      </w:r>
      <w:r>
        <w:rPr>
          <w:rFonts w:hint="eastAsia" w:ascii="仿宋" w:hAnsi="仿宋" w:eastAsia="仿宋" w:cs="仿宋"/>
          <w:color w:val="000000" w:themeColor="text1"/>
          <w:sz w:val="32"/>
          <w:szCs w:val="32"/>
          <w14:textFill>
            <w14:solidFill>
              <w14:schemeClr w14:val="tx1"/>
            </w14:solidFill>
          </w14:textFill>
        </w:rPr>
        <w:t>主要问题</w:t>
      </w:r>
      <w:r>
        <w:rPr>
          <w:rFonts w:hint="eastAsia" w:ascii="仿宋" w:hAnsi="仿宋" w:eastAsia="仿宋" w:cs="仿宋"/>
          <w:color w:val="000000" w:themeColor="text1"/>
          <w:sz w:val="32"/>
          <w:szCs w:val="32"/>
          <w:lang w:eastAsia="zh-CN"/>
          <w14:textFill>
            <w14:solidFill>
              <w14:schemeClr w14:val="tx1"/>
            </w14:solidFill>
          </w14:textFill>
        </w:rPr>
        <w:t>。</w:t>
      </w:r>
    </w:p>
    <w:p>
      <w:pPr>
        <w:jc w:val="center"/>
        <w:rPr>
          <w:rFonts w:ascii="黑体" w:hAnsi="黑体" w:eastAsia="黑体" w:cs="黑体"/>
          <w:sz w:val="32"/>
          <w:szCs w:val="32"/>
          <w:highlight w:val="none"/>
        </w:rPr>
      </w:pPr>
      <w:r>
        <w:rPr>
          <w:rFonts w:hint="eastAsia" w:ascii="黑体" w:hAnsi="黑体" w:eastAsia="黑体" w:cs="黑体"/>
          <w:sz w:val="32"/>
          <w:szCs w:val="32"/>
          <w:highlight w:val="none"/>
        </w:rPr>
        <w:t>第四部分  名词解释</w:t>
      </w:r>
    </w:p>
    <w:p>
      <w:pPr>
        <w:ind w:firstLine="640" w:firstLineChars="200"/>
        <w:jc w:val="left"/>
        <w:rPr>
          <w:rFonts w:ascii="仿宋" w:hAnsi="仿宋" w:eastAsia="仿宋" w:cs="仿宋"/>
          <w:sz w:val="32"/>
          <w:szCs w:val="32"/>
          <w:highlight w:val="none"/>
        </w:rPr>
      </w:pPr>
      <w:r>
        <w:rPr>
          <w:rFonts w:hint="eastAsia" w:ascii="仿宋" w:hAnsi="仿宋" w:eastAsia="仿宋" w:cs="仿宋"/>
          <w:sz w:val="32"/>
          <w:szCs w:val="32"/>
          <w:highlight w:val="none"/>
        </w:rPr>
        <w:t>一、财政拨款收入：指</w:t>
      </w:r>
      <w:r>
        <w:rPr>
          <w:rFonts w:ascii="仿宋" w:hAnsi="仿宋" w:eastAsia="仿宋" w:cs="仿宋"/>
          <w:sz w:val="32"/>
          <w:u w:color="auto"/>
        </w:rPr>
        <w:t>环江毛南族自治县财政部门当年拨付的资金。</w:t>
      </w:r>
    </w:p>
    <w:p>
      <w:pPr>
        <w:ind w:firstLine="640" w:firstLineChars="200"/>
        <w:jc w:val="left"/>
        <w:rPr>
          <w:rFonts w:ascii="仿宋" w:hAnsi="仿宋" w:eastAsia="仿宋" w:cs="仿宋"/>
          <w:sz w:val="32"/>
          <w:szCs w:val="32"/>
          <w:highlight w:val="none"/>
        </w:rPr>
      </w:pPr>
      <w:r>
        <w:rPr>
          <w:rFonts w:hint="eastAsia" w:ascii="仿宋" w:hAnsi="仿宋" w:eastAsia="仿宋" w:cs="仿宋"/>
          <w:sz w:val="32"/>
          <w:szCs w:val="32"/>
          <w:highlight w:val="none"/>
        </w:rPr>
        <w:t>二、事业收入：指事业单位开展专业业务活动及辅助活动所取得的收入。</w:t>
      </w:r>
    </w:p>
    <w:p>
      <w:pPr>
        <w:ind w:firstLine="640" w:firstLineChars="200"/>
        <w:jc w:val="left"/>
        <w:rPr>
          <w:rFonts w:ascii="仿宋" w:hAnsi="仿宋" w:eastAsia="仿宋" w:cs="仿宋"/>
          <w:sz w:val="32"/>
          <w:szCs w:val="32"/>
          <w:highlight w:val="none"/>
        </w:rPr>
      </w:pPr>
      <w:r>
        <w:rPr>
          <w:rFonts w:hint="eastAsia" w:ascii="仿宋" w:hAnsi="仿宋" w:eastAsia="仿宋" w:cs="仿宋"/>
          <w:sz w:val="32"/>
          <w:szCs w:val="32"/>
          <w:highlight w:val="none"/>
        </w:rPr>
        <w:t>三、经营收入：指事业单位在专业业务活动及其辅助活动之外开展非独立核算经营活动取得的收入。</w:t>
      </w:r>
    </w:p>
    <w:p>
      <w:pPr>
        <w:ind w:firstLine="640" w:firstLineChars="200"/>
        <w:jc w:val="left"/>
        <w:rPr>
          <w:rFonts w:ascii="仿宋" w:hAnsi="仿宋" w:eastAsia="仿宋" w:cs="仿宋"/>
          <w:sz w:val="32"/>
          <w:szCs w:val="32"/>
          <w:highlight w:val="none"/>
        </w:rPr>
      </w:pPr>
      <w:r>
        <w:rPr>
          <w:rFonts w:hint="eastAsia" w:ascii="仿宋" w:hAnsi="仿宋" w:eastAsia="仿宋" w:cs="仿宋"/>
          <w:sz w:val="32"/>
          <w:szCs w:val="32"/>
          <w:highlight w:val="none"/>
        </w:rPr>
        <w:t>四、其他收入：指除上述“财政拨款收入”“事业收入”“经营收入”等以外的收入。</w:t>
      </w:r>
    </w:p>
    <w:p>
      <w:pPr>
        <w:ind w:firstLine="640" w:firstLineChars="200"/>
        <w:jc w:val="left"/>
        <w:rPr>
          <w:rFonts w:ascii="仿宋" w:hAnsi="仿宋" w:eastAsia="仿宋" w:cs="仿宋"/>
          <w:sz w:val="32"/>
          <w:szCs w:val="32"/>
          <w:highlight w:val="none"/>
        </w:rPr>
      </w:pPr>
      <w:r>
        <w:rPr>
          <w:rFonts w:hint="eastAsia" w:ascii="仿宋" w:hAnsi="仿宋" w:eastAsia="仿宋" w:cs="仿宋"/>
          <w:sz w:val="32"/>
          <w:szCs w:val="32"/>
          <w:highlight w:val="none"/>
        </w:rPr>
        <w:t>五、用事业基金弥补收支差额指事业单位在当年的“财政拨款收入”“事业收入”“经营收入”“其他收入”不足以安排当年支出的情况下，使用非财政拨款结余弥补本年度收支缺口的资金。 </w:t>
      </w:r>
    </w:p>
    <w:p>
      <w:pPr>
        <w:ind w:firstLine="640" w:firstLineChars="200"/>
        <w:jc w:val="left"/>
        <w:rPr>
          <w:rFonts w:hint="eastAsia" w:ascii="仿宋" w:hAnsi="仿宋" w:eastAsia="仿宋" w:cs="仿宋"/>
          <w:sz w:val="32"/>
          <w:szCs w:val="32"/>
          <w:highlight w:val="none"/>
          <w:lang w:val="en-US" w:eastAsia="zh-CN"/>
        </w:rPr>
      </w:pPr>
      <w:r>
        <w:rPr>
          <w:rFonts w:hint="eastAsia" w:ascii="仿宋" w:hAnsi="仿宋" w:eastAsia="仿宋" w:cs="仿宋"/>
          <w:sz w:val="32"/>
          <w:szCs w:val="32"/>
          <w:highlight w:val="none"/>
        </w:rPr>
        <w:t>六、年初结转和结余：指以前年度尚未完成、结转到本年 按有关规定继续使用的资金</w:t>
      </w:r>
      <w:r>
        <w:rPr>
          <w:rFonts w:hint="eastAsia" w:ascii="仿宋" w:hAnsi="仿宋" w:eastAsia="仿宋" w:cs="仿宋"/>
          <w:sz w:val="32"/>
          <w:szCs w:val="32"/>
          <w:highlight w:val="none"/>
          <w:lang w:eastAsia="zh-CN"/>
        </w:rPr>
        <w:t>。</w:t>
      </w:r>
    </w:p>
    <w:p>
      <w:pPr>
        <w:ind w:firstLine="640" w:firstLineChars="200"/>
        <w:jc w:val="left"/>
        <w:rPr>
          <w:rFonts w:ascii="仿宋" w:hAnsi="仿宋" w:eastAsia="仿宋" w:cs="仿宋"/>
          <w:sz w:val="32"/>
          <w:szCs w:val="32"/>
          <w:highlight w:val="none"/>
        </w:rPr>
      </w:pPr>
      <w:r>
        <w:rPr>
          <w:rFonts w:hint="eastAsia" w:ascii="仿宋" w:hAnsi="仿宋" w:eastAsia="仿宋" w:cs="仿宋"/>
          <w:sz w:val="32"/>
          <w:szCs w:val="32"/>
          <w:highlight w:val="none"/>
        </w:rPr>
        <w:t>七、结余分配：指事业单位按规定提取的职工福利基金、事业基金和缴纳的所得税，以及建设单位按规定应交回的基本建设竣工项目结余资金。 </w:t>
      </w:r>
    </w:p>
    <w:p>
      <w:pPr>
        <w:ind w:firstLine="640" w:firstLineChars="200"/>
        <w:jc w:val="left"/>
        <w:rPr>
          <w:rFonts w:ascii="仿宋" w:hAnsi="仿宋" w:eastAsia="仿宋" w:cs="仿宋"/>
          <w:sz w:val="32"/>
          <w:szCs w:val="32"/>
          <w:highlight w:val="none"/>
        </w:rPr>
      </w:pPr>
      <w:r>
        <w:rPr>
          <w:rFonts w:hint="eastAsia" w:ascii="仿宋" w:hAnsi="仿宋" w:eastAsia="仿宋" w:cs="仿宋"/>
          <w:sz w:val="32"/>
          <w:szCs w:val="32"/>
          <w:highlight w:val="none"/>
        </w:rPr>
        <w:t>八、年末结转和结余：指本年度或以前年度预算安排、因客观条件发生变化无法按原计划实施，需要延迟到以后年度按有关规定继续使用的资金。 </w:t>
      </w:r>
    </w:p>
    <w:p>
      <w:pPr>
        <w:ind w:firstLine="640" w:firstLineChars="200"/>
        <w:jc w:val="left"/>
        <w:rPr>
          <w:rFonts w:ascii="仿宋" w:hAnsi="仿宋" w:eastAsia="仿宋" w:cs="仿宋"/>
          <w:sz w:val="32"/>
          <w:szCs w:val="32"/>
          <w:highlight w:val="none"/>
        </w:rPr>
      </w:pPr>
      <w:r>
        <w:rPr>
          <w:rFonts w:hint="eastAsia" w:ascii="仿宋" w:hAnsi="仿宋" w:eastAsia="仿宋" w:cs="仿宋"/>
          <w:sz w:val="32"/>
          <w:szCs w:val="32"/>
          <w:highlight w:val="none"/>
        </w:rPr>
        <w:t>九、基本支出：指为保障机构正常运转、完成日常工作任务而发生的人员支出和公用支出。 </w:t>
      </w:r>
    </w:p>
    <w:p>
      <w:pPr>
        <w:ind w:firstLine="640" w:firstLineChars="200"/>
        <w:jc w:val="left"/>
        <w:rPr>
          <w:rFonts w:ascii="仿宋" w:hAnsi="仿宋" w:eastAsia="仿宋" w:cs="仿宋"/>
          <w:sz w:val="32"/>
          <w:szCs w:val="32"/>
          <w:highlight w:val="none"/>
        </w:rPr>
      </w:pPr>
      <w:r>
        <w:rPr>
          <w:rFonts w:hint="eastAsia" w:ascii="仿宋" w:hAnsi="仿宋" w:eastAsia="仿宋" w:cs="仿宋"/>
          <w:sz w:val="32"/>
          <w:szCs w:val="32"/>
          <w:highlight w:val="none"/>
        </w:rPr>
        <w:t>十、项目支出：指在基本支出之外为完成特定行政任务和事业发展目标所发生的支出。 </w:t>
      </w:r>
    </w:p>
    <w:p>
      <w:pPr>
        <w:ind w:firstLine="640" w:firstLineChars="200"/>
        <w:jc w:val="left"/>
        <w:rPr>
          <w:rFonts w:ascii="仿宋" w:hAnsi="仿宋" w:eastAsia="仿宋" w:cs="仿宋"/>
          <w:sz w:val="32"/>
          <w:szCs w:val="32"/>
          <w:highlight w:val="none"/>
        </w:rPr>
      </w:pPr>
      <w:r>
        <w:rPr>
          <w:rFonts w:hint="eastAsia" w:ascii="仿宋" w:hAnsi="仿宋" w:eastAsia="仿宋" w:cs="仿宋"/>
          <w:sz w:val="32"/>
          <w:szCs w:val="32"/>
          <w:highlight w:val="none"/>
        </w:rPr>
        <w:t>十一、经营支出：指事业单位在专业业务活动及其辅助活动之外开展非独立核算经营活动发生的支出。</w:t>
      </w:r>
    </w:p>
    <w:p>
      <w:pPr>
        <w:ind w:firstLine="640" w:firstLineChars="200"/>
        <w:jc w:val="left"/>
        <w:rPr>
          <w:rFonts w:ascii="仿宋" w:hAnsi="仿宋" w:eastAsia="仿宋" w:cs="仿宋"/>
          <w:sz w:val="32"/>
          <w:szCs w:val="32"/>
          <w:highlight w:val="none"/>
        </w:rPr>
      </w:pPr>
      <w:r>
        <w:rPr>
          <w:rFonts w:hint="eastAsia" w:ascii="仿宋" w:hAnsi="仿宋" w:eastAsia="仿宋" w:cs="仿宋"/>
          <w:sz w:val="32"/>
          <w:szCs w:val="32"/>
          <w:highlight w:val="none"/>
        </w:rPr>
        <w:t>十二、“三公”经费：纳入</w:t>
      </w:r>
      <w:r>
        <w:rPr>
          <w:rFonts w:ascii="仿宋" w:hAnsi="仿宋" w:eastAsia="仿宋" w:cs="仿宋"/>
          <w:sz w:val="32"/>
          <w:u w:color="auto"/>
        </w:rPr>
        <w:t>环江毛南族自治县财政预决算管理的“三公”经费，是指环江毛南族自治县部门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安全奖励费用等支出；公务接待费反映单位按规定开支的各类公务接待（含外宾接待）支出。 </w:t>
      </w:r>
    </w:p>
    <w:p>
      <w:pPr>
        <w:ind w:firstLine="640" w:firstLineChars="200"/>
        <w:jc w:val="left"/>
        <w:rPr>
          <w:rFonts w:hint="eastAsia" w:ascii="仿宋" w:hAnsi="仿宋" w:eastAsia="仿宋" w:cs="仿宋"/>
          <w:sz w:val="32"/>
          <w:szCs w:val="32"/>
          <w:highlight w:val="none"/>
        </w:rPr>
      </w:pPr>
      <w:r>
        <w:rPr>
          <w:rFonts w:hint="eastAsia" w:ascii="仿宋" w:hAnsi="仿宋" w:eastAsia="仿宋" w:cs="仿宋"/>
          <w:sz w:val="32"/>
          <w:szCs w:val="32"/>
          <w:highlight w:val="none"/>
        </w:rPr>
        <w:t>十三、机关运行经费：为保障行政单位（含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p>
      <w:pPr>
        <w:ind w:firstLine="640" w:firstLineChars="200"/>
        <w:jc w:val="left"/>
        <w:rPr>
          <w:rFonts w:hint="eastAsia" w:ascii="仿宋" w:hAnsi="仿宋" w:eastAsia="仿宋" w:cs="仿宋"/>
          <w:sz w:val="32"/>
          <w:szCs w:val="32"/>
          <w:highlight w:val="none"/>
        </w:rPr>
      </w:pPr>
    </w:p>
    <w:p>
      <w:pPr>
        <w:jc w:val="left"/>
        <w:rPr>
          <w:rFonts w:hint="default" w:ascii="仿宋" w:hAnsi="仿宋" w:eastAsia="仿宋" w:cs="仿宋"/>
          <w:b/>
          <w:bCs/>
          <w:sz w:val="32"/>
          <w:szCs w:val="32"/>
          <w:highlight w:val="none"/>
          <w:lang w:val="en-US" w:eastAsia="zh-CN"/>
        </w:rPr>
      </w:pPr>
    </w:p>
    <w:sectPr>
      <w:pgSz w:w="11906" w:h="16838"/>
      <w:pgMar w:top="1440" w:right="1800" w:bottom="1440" w:left="1800" w:header="851" w:footer="992" w:gutter="0"/>
      <w:cols w:space="0"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endnote>
  <w:endnote w:type="continuationSeparator" w:id="1">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仿宋_GB2312">
    <w:panose1 w:val="02010609030101010101"/>
    <w:charset w:val="86"/>
    <w:family w:val="decorative"/>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footnote>
  <w:footnote w:type="continuationSeparator" w:id="1">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BF86D39"/>
    <w:multiLevelType w:val="singleLevel"/>
    <w:tmpl w:val="9BF86D39"/>
    <w:lvl w:ilvl="0" w:tentative="0">
      <w:start w:val="1"/>
      <w:numFmt w:val="chineseCounting"/>
      <w:suff w:val="nothing"/>
      <w:lvlText w:val="（%1）"/>
      <w:lvlJc w:val="left"/>
      <w:pPr>
        <w:ind w:left="0" w:firstLine="420"/>
      </w:pPr>
      <w:rPr>
        <w:rFonts w:hint="eastAsia"/>
        <w:color w:val="auto"/>
        <w:sz w:val="32"/>
        <w:szCs w:val="32"/>
      </w:rPr>
    </w:lvl>
  </w:abstractNum>
  <w:abstractNum w:abstractNumId="1">
    <w:nsid w:val="DB743884"/>
    <w:multiLevelType w:val="singleLevel"/>
    <w:tmpl w:val="DB743884"/>
    <w:lvl w:ilvl="0" w:tentative="0">
      <w:start w:val="1"/>
      <w:numFmt w:val="chineseCounting"/>
      <w:suff w:val="nothing"/>
      <w:lvlText w:val="（%1）"/>
      <w:lvlJc w:val="left"/>
      <w:pPr>
        <w:ind w:left="0" w:firstLine="420"/>
      </w:pPr>
      <w:rPr>
        <w:rFonts w:hint="eastAsia"/>
        <w:color w:val="auto"/>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TllOWE3ZjE1NzMyZjljZDYzN2ZlOGZiOTY2YjBmMDgifQ=="/>
  </w:docVars>
  <w:rsids>
    <w:rsidRoot w:val="637D7558"/>
    <w:rsid w:val="00002C84"/>
    <w:rsid w:val="00022149"/>
    <w:rsid w:val="00047F6C"/>
    <w:rsid w:val="00093C26"/>
    <w:rsid w:val="00094B91"/>
    <w:rsid w:val="000B06D8"/>
    <w:rsid w:val="000E5855"/>
    <w:rsid w:val="001418A5"/>
    <w:rsid w:val="00147D40"/>
    <w:rsid w:val="00156EF2"/>
    <w:rsid w:val="001D7B97"/>
    <w:rsid w:val="00210E20"/>
    <w:rsid w:val="00223F38"/>
    <w:rsid w:val="00233613"/>
    <w:rsid w:val="00254DBE"/>
    <w:rsid w:val="00275CAB"/>
    <w:rsid w:val="0028709C"/>
    <w:rsid w:val="0029328F"/>
    <w:rsid w:val="002B2731"/>
    <w:rsid w:val="00382867"/>
    <w:rsid w:val="003A4973"/>
    <w:rsid w:val="003C1C96"/>
    <w:rsid w:val="003C69F8"/>
    <w:rsid w:val="003E40BA"/>
    <w:rsid w:val="003E7165"/>
    <w:rsid w:val="0041579D"/>
    <w:rsid w:val="00427074"/>
    <w:rsid w:val="00434D04"/>
    <w:rsid w:val="004C4D73"/>
    <w:rsid w:val="004D7D0E"/>
    <w:rsid w:val="005234F5"/>
    <w:rsid w:val="00531745"/>
    <w:rsid w:val="00574196"/>
    <w:rsid w:val="006123AD"/>
    <w:rsid w:val="00645B83"/>
    <w:rsid w:val="0066173C"/>
    <w:rsid w:val="006D677A"/>
    <w:rsid w:val="007640BB"/>
    <w:rsid w:val="00771953"/>
    <w:rsid w:val="00776E0B"/>
    <w:rsid w:val="007A0641"/>
    <w:rsid w:val="007C52E7"/>
    <w:rsid w:val="007C54EA"/>
    <w:rsid w:val="007C776D"/>
    <w:rsid w:val="007D7CE3"/>
    <w:rsid w:val="007E2F6C"/>
    <w:rsid w:val="00817C69"/>
    <w:rsid w:val="00823A94"/>
    <w:rsid w:val="00824151"/>
    <w:rsid w:val="008315A9"/>
    <w:rsid w:val="00834354"/>
    <w:rsid w:val="008F1B95"/>
    <w:rsid w:val="008F4AE2"/>
    <w:rsid w:val="008F6882"/>
    <w:rsid w:val="00934C72"/>
    <w:rsid w:val="00946CCF"/>
    <w:rsid w:val="0097721B"/>
    <w:rsid w:val="009831F8"/>
    <w:rsid w:val="009B3E00"/>
    <w:rsid w:val="009D1667"/>
    <w:rsid w:val="00A07CCE"/>
    <w:rsid w:val="00A27624"/>
    <w:rsid w:val="00A358E6"/>
    <w:rsid w:val="00AA78EE"/>
    <w:rsid w:val="00AB53E1"/>
    <w:rsid w:val="00AE5F66"/>
    <w:rsid w:val="00B07A0B"/>
    <w:rsid w:val="00B22F28"/>
    <w:rsid w:val="00B37453"/>
    <w:rsid w:val="00B45479"/>
    <w:rsid w:val="00B60171"/>
    <w:rsid w:val="00B837AC"/>
    <w:rsid w:val="00BB4FB8"/>
    <w:rsid w:val="00BD315D"/>
    <w:rsid w:val="00C3279E"/>
    <w:rsid w:val="00C34857"/>
    <w:rsid w:val="00CA2E26"/>
    <w:rsid w:val="00D00918"/>
    <w:rsid w:val="00D14326"/>
    <w:rsid w:val="00D772CC"/>
    <w:rsid w:val="00D84F30"/>
    <w:rsid w:val="00D878A6"/>
    <w:rsid w:val="00DE74BD"/>
    <w:rsid w:val="00DE7D07"/>
    <w:rsid w:val="00EB7822"/>
    <w:rsid w:val="00EC50A9"/>
    <w:rsid w:val="00ED04DB"/>
    <w:rsid w:val="00F21455"/>
    <w:rsid w:val="00F5354B"/>
    <w:rsid w:val="00F95135"/>
    <w:rsid w:val="00F9658C"/>
    <w:rsid w:val="00F978FD"/>
    <w:rsid w:val="00FA738E"/>
    <w:rsid w:val="00FC438B"/>
    <w:rsid w:val="01234E98"/>
    <w:rsid w:val="015F1951"/>
    <w:rsid w:val="020C171D"/>
    <w:rsid w:val="0216715F"/>
    <w:rsid w:val="027D0F8C"/>
    <w:rsid w:val="02C136FC"/>
    <w:rsid w:val="02E0291A"/>
    <w:rsid w:val="04CC1F13"/>
    <w:rsid w:val="04E54546"/>
    <w:rsid w:val="05992762"/>
    <w:rsid w:val="06046C5E"/>
    <w:rsid w:val="06755988"/>
    <w:rsid w:val="07B0770E"/>
    <w:rsid w:val="08BA6A96"/>
    <w:rsid w:val="08EF4AFC"/>
    <w:rsid w:val="0942143F"/>
    <w:rsid w:val="098B0C62"/>
    <w:rsid w:val="09A210E9"/>
    <w:rsid w:val="0B515613"/>
    <w:rsid w:val="0D100297"/>
    <w:rsid w:val="0D202B45"/>
    <w:rsid w:val="0D8B6C53"/>
    <w:rsid w:val="0F075642"/>
    <w:rsid w:val="0F44355D"/>
    <w:rsid w:val="0F8D4C87"/>
    <w:rsid w:val="0FC05753"/>
    <w:rsid w:val="10505FAA"/>
    <w:rsid w:val="105F7E7E"/>
    <w:rsid w:val="106B556A"/>
    <w:rsid w:val="10AF0C80"/>
    <w:rsid w:val="10B464C1"/>
    <w:rsid w:val="11BD75F7"/>
    <w:rsid w:val="11BE57B6"/>
    <w:rsid w:val="11E56B5B"/>
    <w:rsid w:val="120C0CA8"/>
    <w:rsid w:val="121865DB"/>
    <w:rsid w:val="125C77AB"/>
    <w:rsid w:val="14865BA4"/>
    <w:rsid w:val="14CB726E"/>
    <w:rsid w:val="17E92249"/>
    <w:rsid w:val="18D304F1"/>
    <w:rsid w:val="18ED431E"/>
    <w:rsid w:val="19F32577"/>
    <w:rsid w:val="19F45B80"/>
    <w:rsid w:val="1B0C078D"/>
    <w:rsid w:val="1B2B31E2"/>
    <w:rsid w:val="1B4C295A"/>
    <w:rsid w:val="1B973C63"/>
    <w:rsid w:val="1BA1001E"/>
    <w:rsid w:val="1CB533A4"/>
    <w:rsid w:val="1D317259"/>
    <w:rsid w:val="1DCF493A"/>
    <w:rsid w:val="1E664F5B"/>
    <w:rsid w:val="1E780220"/>
    <w:rsid w:val="1EB34BE1"/>
    <w:rsid w:val="211803A6"/>
    <w:rsid w:val="215E639F"/>
    <w:rsid w:val="21E40288"/>
    <w:rsid w:val="21EC3183"/>
    <w:rsid w:val="225E72CD"/>
    <w:rsid w:val="22737F8A"/>
    <w:rsid w:val="246E2F77"/>
    <w:rsid w:val="254B4E2B"/>
    <w:rsid w:val="26C50012"/>
    <w:rsid w:val="26C81D34"/>
    <w:rsid w:val="283D7C94"/>
    <w:rsid w:val="292B0FEE"/>
    <w:rsid w:val="29480E03"/>
    <w:rsid w:val="2983634D"/>
    <w:rsid w:val="29F43A2A"/>
    <w:rsid w:val="2AD7713E"/>
    <w:rsid w:val="2BB02055"/>
    <w:rsid w:val="2C575A56"/>
    <w:rsid w:val="2CB26622"/>
    <w:rsid w:val="2D0B0465"/>
    <w:rsid w:val="2D48234F"/>
    <w:rsid w:val="2D8079FF"/>
    <w:rsid w:val="2F061B92"/>
    <w:rsid w:val="2F257714"/>
    <w:rsid w:val="2F3275E5"/>
    <w:rsid w:val="2F9A23AE"/>
    <w:rsid w:val="30466CDD"/>
    <w:rsid w:val="30AA08EF"/>
    <w:rsid w:val="30D23D1C"/>
    <w:rsid w:val="30E958BB"/>
    <w:rsid w:val="31221CF5"/>
    <w:rsid w:val="31400178"/>
    <w:rsid w:val="31E16592"/>
    <w:rsid w:val="321E3342"/>
    <w:rsid w:val="327759C8"/>
    <w:rsid w:val="330306F8"/>
    <w:rsid w:val="33185FE3"/>
    <w:rsid w:val="335E0002"/>
    <w:rsid w:val="345B6AD0"/>
    <w:rsid w:val="34B2081D"/>
    <w:rsid w:val="34EE2E36"/>
    <w:rsid w:val="352E1899"/>
    <w:rsid w:val="35DE3514"/>
    <w:rsid w:val="36777241"/>
    <w:rsid w:val="369A5D50"/>
    <w:rsid w:val="36D90920"/>
    <w:rsid w:val="371E78D5"/>
    <w:rsid w:val="37E414FC"/>
    <w:rsid w:val="38433B03"/>
    <w:rsid w:val="38A951DB"/>
    <w:rsid w:val="38B31605"/>
    <w:rsid w:val="38D5691A"/>
    <w:rsid w:val="38EF3C8A"/>
    <w:rsid w:val="39003F4F"/>
    <w:rsid w:val="3C07002B"/>
    <w:rsid w:val="3D0D152A"/>
    <w:rsid w:val="3DB539B2"/>
    <w:rsid w:val="3DF62756"/>
    <w:rsid w:val="3E801694"/>
    <w:rsid w:val="3F1B7587"/>
    <w:rsid w:val="3F7C3F52"/>
    <w:rsid w:val="40664F28"/>
    <w:rsid w:val="416E21EB"/>
    <w:rsid w:val="41997E32"/>
    <w:rsid w:val="41E57B4F"/>
    <w:rsid w:val="423E2F0A"/>
    <w:rsid w:val="432F26F6"/>
    <w:rsid w:val="43880F63"/>
    <w:rsid w:val="441C5A6F"/>
    <w:rsid w:val="44C44FCC"/>
    <w:rsid w:val="44CC7369"/>
    <w:rsid w:val="457F5108"/>
    <w:rsid w:val="45C85BE6"/>
    <w:rsid w:val="45F76F34"/>
    <w:rsid w:val="46951B6B"/>
    <w:rsid w:val="474B4782"/>
    <w:rsid w:val="493E02D2"/>
    <w:rsid w:val="49A34401"/>
    <w:rsid w:val="4A3E30AB"/>
    <w:rsid w:val="4AC14DAC"/>
    <w:rsid w:val="4B047E79"/>
    <w:rsid w:val="4B5F25AA"/>
    <w:rsid w:val="4D154C85"/>
    <w:rsid w:val="4D46378C"/>
    <w:rsid w:val="4DDC6134"/>
    <w:rsid w:val="4DDD3C5A"/>
    <w:rsid w:val="4E0659E0"/>
    <w:rsid w:val="4EB35ECE"/>
    <w:rsid w:val="4F38383D"/>
    <w:rsid w:val="50487AB0"/>
    <w:rsid w:val="508F4E24"/>
    <w:rsid w:val="51461E90"/>
    <w:rsid w:val="51463753"/>
    <w:rsid w:val="51D63F96"/>
    <w:rsid w:val="52466271"/>
    <w:rsid w:val="52553A93"/>
    <w:rsid w:val="530374BA"/>
    <w:rsid w:val="53521F8B"/>
    <w:rsid w:val="53E22F47"/>
    <w:rsid w:val="53F561A1"/>
    <w:rsid w:val="54522FF8"/>
    <w:rsid w:val="55450629"/>
    <w:rsid w:val="561D378D"/>
    <w:rsid w:val="56692963"/>
    <w:rsid w:val="568B0F48"/>
    <w:rsid w:val="5786217B"/>
    <w:rsid w:val="591A2E7E"/>
    <w:rsid w:val="591E3AA4"/>
    <w:rsid w:val="59337A15"/>
    <w:rsid w:val="59810274"/>
    <w:rsid w:val="59BA66BC"/>
    <w:rsid w:val="5A48519F"/>
    <w:rsid w:val="5A5D05FC"/>
    <w:rsid w:val="5B064D8F"/>
    <w:rsid w:val="5B463441"/>
    <w:rsid w:val="5CA96A00"/>
    <w:rsid w:val="5CF730BC"/>
    <w:rsid w:val="5E5F0DCE"/>
    <w:rsid w:val="5EAA5DDA"/>
    <w:rsid w:val="5F0E0117"/>
    <w:rsid w:val="5F7F61D2"/>
    <w:rsid w:val="5FA40A7B"/>
    <w:rsid w:val="5FAF36A8"/>
    <w:rsid w:val="5FD56D29"/>
    <w:rsid w:val="5FEC7F3F"/>
    <w:rsid w:val="606F1089"/>
    <w:rsid w:val="60F74BC3"/>
    <w:rsid w:val="61702EF6"/>
    <w:rsid w:val="617D3BF8"/>
    <w:rsid w:val="61841F6A"/>
    <w:rsid w:val="61C70794"/>
    <w:rsid w:val="623007A9"/>
    <w:rsid w:val="62A274F4"/>
    <w:rsid w:val="637D7558"/>
    <w:rsid w:val="63E1404C"/>
    <w:rsid w:val="644F19AC"/>
    <w:rsid w:val="65AA4920"/>
    <w:rsid w:val="65E31D0B"/>
    <w:rsid w:val="668F7603"/>
    <w:rsid w:val="67551ABB"/>
    <w:rsid w:val="67694F1E"/>
    <w:rsid w:val="69597934"/>
    <w:rsid w:val="699D0A15"/>
    <w:rsid w:val="6A876FCF"/>
    <w:rsid w:val="6B964DDC"/>
    <w:rsid w:val="6C783074"/>
    <w:rsid w:val="6D1E3C1B"/>
    <w:rsid w:val="6D9E65C6"/>
    <w:rsid w:val="6DA81947"/>
    <w:rsid w:val="6E7B1309"/>
    <w:rsid w:val="6EB66DE2"/>
    <w:rsid w:val="6ED3075F"/>
    <w:rsid w:val="6F2A2D4B"/>
    <w:rsid w:val="6F8A0C1E"/>
    <w:rsid w:val="703F45D4"/>
    <w:rsid w:val="70DD3DED"/>
    <w:rsid w:val="713A7A58"/>
    <w:rsid w:val="715D6546"/>
    <w:rsid w:val="71BE069E"/>
    <w:rsid w:val="729445D6"/>
    <w:rsid w:val="736B3504"/>
    <w:rsid w:val="73953409"/>
    <w:rsid w:val="73E069A3"/>
    <w:rsid w:val="74E41BEE"/>
    <w:rsid w:val="75CD4430"/>
    <w:rsid w:val="76E9EA5D"/>
    <w:rsid w:val="77152EE5"/>
    <w:rsid w:val="78104AA8"/>
    <w:rsid w:val="78446C36"/>
    <w:rsid w:val="78D37FAF"/>
    <w:rsid w:val="78E257C5"/>
    <w:rsid w:val="794B35BE"/>
    <w:rsid w:val="79AB6836"/>
    <w:rsid w:val="7A700C4D"/>
    <w:rsid w:val="7B0A3A31"/>
    <w:rsid w:val="7B3360ED"/>
    <w:rsid w:val="7BDF037E"/>
    <w:rsid w:val="7BEE3BA1"/>
    <w:rsid w:val="7BF50948"/>
    <w:rsid w:val="7CE66A78"/>
    <w:rsid w:val="7D081A47"/>
    <w:rsid w:val="7D23564C"/>
    <w:rsid w:val="7D5E062D"/>
    <w:rsid w:val="7DD02D0F"/>
    <w:rsid w:val="7DF76CD8"/>
    <w:rsid w:val="7E851D4C"/>
    <w:rsid w:val="7F5931D8"/>
    <w:rsid w:val="7F695C26"/>
    <w:rsid w:val="7FCF62D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iPriority="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Autospacing="1" w:afterAutospacing="1"/>
      <w:jc w:val="left"/>
      <w:outlineLvl w:val="0"/>
    </w:pPr>
    <w:rPr>
      <w:rFonts w:hint="eastAsia" w:ascii="宋体" w:hAnsi="宋体" w:eastAsia="宋体" w:cs="Times New Roman"/>
      <w:b/>
      <w:bCs/>
      <w:kern w:val="44"/>
      <w:sz w:val="48"/>
      <w:szCs w:val="48"/>
    </w:rPr>
  </w:style>
  <w:style w:type="character" w:default="1" w:styleId="7">
    <w:name w:val="Default Paragraph Font"/>
    <w:semiHidden/>
    <w:unhideWhenUsed/>
    <w:qFormat/>
    <w:uiPriority w:val="1"/>
  </w:style>
  <w:style w:type="table" w:default="1" w:styleId="6">
    <w:name w:val="Normal Table"/>
    <w:semiHidden/>
    <w:unhideWhenUsed/>
    <w:qFormat/>
    <w:uiPriority w:val="99"/>
    <w:pPr>
      <w:keepNext w:val="0"/>
      <w:keepLines w:val="0"/>
      <w:widowControl/>
      <w:suppressLineNumbers w:val="0"/>
      <w:spacing w:before="0" w:beforeAutospacing="0" w:after="0" w:afterAutospacing="0"/>
      <w:ind w:left="0" w:right="0"/>
    </w:pPr>
    <w:rPr>
      <w:rFonts w:hint="default" w:ascii="Times New Roman" w:hAnsi="Times New Roman" w:cs="Times New Roman"/>
      <w:sz w:val="20"/>
      <w:szCs w:val="20"/>
    </w:rPr>
    <w:tblPr>
      <w:tblCellMar>
        <w:top w:w="0" w:type="dxa"/>
        <w:left w:w="108" w:type="dxa"/>
        <w:bottom w:w="0" w:type="dxa"/>
        <w:right w:w="108" w:type="dxa"/>
      </w:tblCellMar>
    </w:tblPr>
  </w:style>
  <w:style w:type="paragraph" w:styleId="3">
    <w:name w:val="footer"/>
    <w:basedOn w:val="1"/>
    <w:link w:val="10"/>
    <w:qFormat/>
    <w:uiPriority w:val="0"/>
    <w:pPr>
      <w:tabs>
        <w:tab w:val="center" w:pos="4153"/>
        <w:tab w:val="right" w:pos="8306"/>
      </w:tabs>
      <w:snapToGrid w:val="0"/>
      <w:jc w:val="left"/>
    </w:pPr>
    <w:rPr>
      <w:sz w:val="18"/>
      <w:szCs w:val="18"/>
    </w:rPr>
  </w:style>
  <w:style w:type="paragraph" w:styleId="4">
    <w:name w:val="header"/>
    <w:basedOn w:val="1"/>
    <w:link w:val="9"/>
    <w:qFormat/>
    <w:uiPriority w:val="0"/>
    <w:pPr>
      <w:pBdr>
        <w:bottom w:val="single" w:color="auto" w:sz="6" w:space="1"/>
      </w:pBdr>
      <w:tabs>
        <w:tab w:val="center" w:pos="4153"/>
        <w:tab w:val="right" w:pos="8306"/>
      </w:tabs>
      <w:snapToGrid w:val="0"/>
      <w:jc w:val="center"/>
    </w:pPr>
    <w:rPr>
      <w:sz w:val="18"/>
      <w:szCs w:val="18"/>
    </w:rPr>
  </w:style>
  <w:style w:type="paragraph" w:styleId="5">
    <w:name w:val="Normal (Web)"/>
    <w:basedOn w:val="1"/>
    <w:qFormat/>
    <w:uiPriority w:val="0"/>
    <w:pPr>
      <w:spacing w:beforeAutospacing="1" w:afterAutospacing="1"/>
      <w:jc w:val="left"/>
    </w:pPr>
    <w:rPr>
      <w:rFonts w:cs="Times New Roman"/>
      <w:kern w:val="0"/>
      <w:sz w:val="24"/>
    </w:rPr>
  </w:style>
  <w:style w:type="character" w:styleId="8">
    <w:name w:val="Emphasis"/>
    <w:basedOn w:val="7"/>
    <w:qFormat/>
    <w:uiPriority w:val="0"/>
    <w:rPr>
      <w:i/>
    </w:rPr>
  </w:style>
  <w:style w:type="character" w:customStyle="1" w:styleId="9">
    <w:name w:val="页眉 Char"/>
    <w:basedOn w:val="7"/>
    <w:link w:val="4"/>
    <w:qFormat/>
    <w:uiPriority w:val="0"/>
    <w:rPr>
      <w:rFonts w:asciiTheme="minorHAnsi" w:hAnsiTheme="minorHAnsi" w:eastAsiaTheme="minorEastAsia" w:cstheme="minorBidi"/>
      <w:kern w:val="2"/>
      <w:sz w:val="18"/>
      <w:szCs w:val="18"/>
    </w:rPr>
  </w:style>
  <w:style w:type="character" w:customStyle="1" w:styleId="10">
    <w:name w:val="页脚 Char"/>
    <w:basedOn w:val="7"/>
    <w:link w:val="3"/>
    <w:qFormat/>
    <w:uiPriority w:val="0"/>
    <w:rPr>
      <w:rFonts w:asciiTheme="minorHAnsi" w:hAnsiTheme="minorHAnsi" w:eastAsiaTheme="minorEastAsia" w:cstheme="minorBidi"/>
      <w:kern w:val="2"/>
      <w:sz w:val="18"/>
      <w:szCs w:val="18"/>
    </w:rPr>
  </w:style>
  <w:style w:type="paragraph" w:styleId="11">
    <w:name w:val="List Paragraph"/>
    <w:basedOn w:val="1"/>
    <w:qFormat/>
    <w:uiPriority w:val="99"/>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chart" Target="charts/chart4.xml"/><Relationship Id="rId8" Type="http://schemas.openxmlformats.org/officeDocument/2006/relationships/chart" Target="charts/chart3.xml"/><Relationship Id="rId7" Type="http://schemas.openxmlformats.org/officeDocument/2006/relationships/chart" Target="charts/chart2.xml"/><Relationship Id="rId6" Type="http://schemas.openxmlformats.org/officeDocument/2006/relationships/chart" Target="charts/chart1.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0" Type="http://schemas.openxmlformats.org/officeDocument/2006/relationships/fontTable" Target="fontTable.xml"/><Relationship Id="rId2" Type="http://schemas.openxmlformats.org/officeDocument/2006/relationships/settings" Target="settings.xml"/><Relationship Id="rId19" Type="http://schemas.openxmlformats.org/officeDocument/2006/relationships/numbering" Target="numbering.xml"/><Relationship Id="rId18" Type="http://schemas.openxmlformats.org/officeDocument/2006/relationships/chart" Target="charts/chart13.xml"/><Relationship Id="rId17" Type="http://schemas.openxmlformats.org/officeDocument/2006/relationships/chart" Target="charts/chart12.xml"/><Relationship Id="rId16" Type="http://schemas.openxmlformats.org/officeDocument/2006/relationships/chart" Target="charts/chart11.xml"/><Relationship Id="rId15" Type="http://schemas.openxmlformats.org/officeDocument/2006/relationships/chart" Target="charts/chart10.xml"/><Relationship Id="rId14" Type="http://schemas.openxmlformats.org/officeDocument/2006/relationships/chart" Target="charts/chart9.xml"/><Relationship Id="rId13" Type="http://schemas.openxmlformats.org/officeDocument/2006/relationships/chart" Target="charts/chart8.xml"/><Relationship Id="rId12" Type="http://schemas.openxmlformats.org/officeDocument/2006/relationships/chart" Target="charts/chart7.xml"/><Relationship Id="rId11" Type="http://schemas.openxmlformats.org/officeDocument/2006/relationships/chart" Target="charts/chart6.xml"/><Relationship Id="rId10" Type="http://schemas.openxmlformats.org/officeDocument/2006/relationships/chart" Target="charts/chart5.xml"/><Relationship Id="rId1" Type="http://schemas.openxmlformats.org/officeDocument/2006/relationships/styles" Target="styles.xml"/></Relationships>
</file>

<file path=word/charts/_rels/chart1.xml.rels><?xml version="1.0" encoding="UTF-8" standalone="yes"?>
<Relationships xmlns="http://schemas.openxmlformats.org/package/2006/relationships"><Relationship Id="rId3" Type="http://schemas.microsoft.com/office/2011/relationships/chartColorStyle" Target="colors1.xml"/><Relationship Id="rId2" Type="http://schemas.microsoft.com/office/2011/relationships/chartStyle" Target="style1.xml"/><Relationship Id="rId1" Type="http://schemas.openxmlformats.org/officeDocument/2006/relationships/package" Target="../embeddings/Workbook5.xlsx"/></Relationships>
</file>

<file path=word/charts/_rels/chart10.xml.rels><?xml version="1.0" encoding="UTF-8" standalone="yes"?>
<Relationships xmlns="http://schemas.openxmlformats.org/package/2006/relationships"><Relationship Id="rId1" Type="http://schemas.openxmlformats.org/officeDocument/2006/relationships/package" Target="../embeddings/Workbook11.xlsx"/></Relationships>
</file>

<file path=word/charts/_rels/chart11.xml.rels><?xml version="1.0" encoding="UTF-8" standalone="yes"?>
<Relationships xmlns="http://schemas.openxmlformats.org/package/2006/relationships"><Relationship Id="rId1" Type="http://schemas.openxmlformats.org/officeDocument/2006/relationships/package" Target="../embeddings/Workbook10.xlsx"/></Relationships>
</file>

<file path=word/charts/_rels/chart12.xml.rels><?xml version="1.0" encoding="UTF-8" standalone="yes"?>
<Relationships xmlns="http://schemas.openxmlformats.org/package/2006/relationships"><Relationship Id="rId1" Type="http://schemas.openxmlformats.org/officeDocument/2006/relationships/package" Target="../embeddings/Workbook13.xlsx"/></Relationships>
</file>

<file path=word/charts/_rels/chart13.xml.rels><?xml version="1.0" encoding="UTF-8" standalone="yes"?>
<Relationships xmlns="http://schemas.openxmlformats.org/package/2006/relationships"><Relationship Id="rId1" Type="http://schemas.openxmlformats.org/officeDocument/2006/relationships/package" Target="../embeddings/Workbook12.xlsx"/></Relationships>
</file>

<file path=word/charts/_rels/chart2.xml.rels><?xml version="1.0" encoding="UTF-8" standalone="yes"?>
<Relationships xmlns="http://schemas.openxmlformats.org/package/2006/relationships"><Relationship Id="rId3" Type="http://schemas.microsoft.com/office/2011/relationships/chartColorStyle" Target="colors2.xml"/><Relationship Id="rId2" Type="http://schemas.microsoft.com/office/2011/relationships/chartStyle" Target="style2.xml"/><Relationship Id="rId1" Type="http://schemas.openxmlformats.org/officeDocument/2006/relationships/package" Target="../embeddings/Workbook6.xlsx"/></Relationships>
</file>

<file path=word/charts/_rels/chart3.xml.rels><?xml version="1.0" encoding="UTF-8" standalone="yes"?>
<Relationships xmlns="http://schemas.openxmlformats.org/package/2006/relationships"><Relationship Id="rId1" Type="http://schemas.openxmlformats.org/officeDocument/2006/relationships/package" Target="../embeddings/Workbook7.xlsx"/></Relationships>
</file>

<file path=word/charts/_rels/chart4.xml.rels><?xml version="1.0" encoding="UTF-8" standalone="yes"?>
<Relationships xmlns="http://schemas.openxmlformats.org/package/2006/relationships"><Relationship Id="rId1" Type="http://schemas.openxmlformats.org/officeDocument/2006/relationships/package" Target="../embeddings/Workbook8.xlsx"/></Relationships>
</file>

<file path=word/charts/_rels/chart5.xml.rels><?xml version="1.0" encoding="UTF-8" standalone="yes"?>
<Relationships xmlns="http://schemas.openxmlformats.org/package/2006/relationships"><Relationship Id="rId1" Type="http://schemas.openxmlformats.org/officeDocument/2006/relationships/package" Target="../embeddings/Workbook9.xlsx"/></Relationships>
</file>

<file path=word/charts/_rels/chart6.xml.rels><?xml version="1.0" encoding="UTF-8" standalone="yes"?>
<Relationships xmlns="http://schemas.openxmlformats.org/package/2006/relationships"><Relationship Id="rId1" Type="http://schemas.openxmlformats.org/officeDocument/2006/relationships/package" Target="../embeddings/Workbook3.xlsx"/></Relationships>
</file>

<file path=word/charts/_rels/chart7.xml.rels><?xml version="1.0" encoding="UTF-8" standalone="yes"?>
<Relationships xmlns="http://schemas.openxmlformats.org/package/2006/relationships"><Relationship Id="rId1" Type="http://schemas.openxmlformats.org/officeDocument/2006/relationships/package" Target="../embeddings/Workbook4.xlsx"/></Relationships>
</file>

<file path=word/charts/_rels/chart8.xml.rels><?xml version="1.0" encoding="UTF-8" standalone="yes"?>
<Relationships xmlns="http://schemas.openxmlformats.org/package/2006/relationships"><Relationship Id="rId1" Type="http://schemas.openxmlformats.org/officeDocument/2006/relationships/package" Target="../embeddings/Workbook1.xlsx"/></Relationships>
</file>

<file path=word/charts/_rels/chart9.xml.rels><?xml version="1.0" encoding="UTF-8" standalone="yes"?>
<Relationships xmlns="http://schemas.openxmlformats.org/package/2006/relationships"><Relationship Id="rId1" Type="http://schemas.openxmlformats.org/officeDocument/2006/relationships/package" Target="../embeddings/Workbook2.xlsx"/></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0" i="0" u="none" strike="noStrike" kern="1200" spc="0" baseline="0">
                <a:solidFill>
                  <a:schemeClr val="tx1">
                    <a:lumMod val="65000"/>
                    <a:lumOff val="35000"/>
                  </a:schemeClr>
                </a:solidFill>
                <a:latin typeface="+mn-lt"/>
                <a:ea typeface="+mn-ea"/>
                <a:cs typeface="+mn-cs"/>
              </a:defRPr>
            </a:pPr>
            <a:r>
              <a:rPr lang="en-US" altLang="zh-CN"/>
              <a:t>决算收入支出图表</a:t>
            </a:r>
            <a:endParaRPr lang="zh-CN" altLang="en-US"/>
          </a:p>
        </c:rich>
      </c:tx>
      <c:layout/>
      <c:overlay val="0"/>
      <c:spPr>
        <a:noFill/>
        <a:ln>
          <a:noFill/>
        </a:ln>
        <a:effectLst/>
      </c:spPr>
    </c:title>
    <c:autoTitleDeleted val="0"/>
    <c:plotArea>
      <c:layout/>
      <c:pieChart>
        <c:varyColors val="1"/>
        <c:ser>
          <c:idx val="0"/>
          <c:order val="0"/>
          <c:tx>
            <c:strRef>
              <c:f>Sheet1!$B$1</c:f>
              <c:strCache>
                <c:ptCount val="1"/>
                <c:pt idx="0">
                  <c:v>countries</c:v>
                </c:pt>
              </c:strCache>
            </c:strRef>
          </c:tx>
          <c:spPr/>
          <c:explosion val="0"/>
          <c:dPt>
            <c:idx val="0"/>
            <c:bubble3D val="0"/>
            <c:spPr>
              <a:solidFill>
                <a:schemeClr val="accent1"/>
              </a:solidFill>
              <a:ln w="19050">
                <a:solidFill>
                  <a:schemeClr val="lt1"/>
                </a:solidFill>
              </a:ln>
              <a:effectLst/>
            </c:spPr>
          </c:dPt>
          <c:dLbls>
            <c:delete val="1"/>
          </c:dLbls>
          <c:cat>
            <c:strRef>
              <c:f>Sheet1!$A$2</c:f>
              <c:strCache>
                <c:ptCount val="1"/>
                <c:pt idx="0">
                  <c:v>一般公共预算财政拨款收入</c:v>
                </c:pt>
              </c:strCache>
            </c:strRef>
          </c:cat>
          <c:val>
            <c:numRef>
              <c:f>Sheet1!$B$2</c:f>
              <c:numCache>
                <c:formatCode>General</c:formatCode>
                <c:ptCount val="1"/>
                <c:pt idx="0">
                  <c:v>2195.79</c:v>
                </c:pt>
              </c:numCache>
            </c:numRef>
          </c:val>
        </c:ser>
        <c:dLbls>
          <c:showLegendKey val="0"/>
          <c:showVal val="0"/>
          <c:showCatName val="0"/>
          <c:showSerName val="0"/>
          <c:showPercent val="0"/>
          <c:showBubbleSize val="0"/>
          <c:showLeaderLines val="1"/>
        </c:dLbls>
        <c:firstSliceAng val="0"/>
      </c:pieChart>
      <c:spPr>
        <a:noFill/>
        <a:ln>
          <a:noFill/>
        </a:ln>
        <a:effectLst/>
      </c:spPr>
    </c:plotArea>
    <c:legend>
      <c:legendPos val="b"/>
      <c:layout/>
      <c:overlay val="0"/>
      <c:spPr>
        <a:noFill/>
        <a:ln>
          <a:noFill/>
        </a:ln>
        <a:effectLst/>
      </c:spPr>
      <c:txPr>
        <a:bodyPr rot="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10.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rtlCol="0" anchor="t" anchorCtr="1"/>
          <a:lstStyle/>
          <a:p>
            <a:pPr algn="l">
              <a:defRPr lang="zh-CN" sz="1800" b="1" i="0" u="none" strike="noStrike" kern="1200" baseline="0">
                <a:solidFill>
                  <a:schemeClr val="tx1"/>
                </a:solidFill>
                <a:latin typeface="+mn-lt"/>
                <a:ea typeface="+mn-ea"/>
                <a:cs typeface="+mn-cs"/>
              </a:defRPr>
            </a:pPr>
            <a:r>
              <a:rPr lang="zh-CN"/>
              <a:t>对个人和家庭的补助</a:t>
            </a:r>
            <a:endParaRPr lang="en-US" sz="1100"/>
          </a:p>
        </c:rich>
      </c:tx>
      <c:layout/>
      <c:overlay val="0"/>
      <c:spPr>
        <a:noFill/>
        <a:ln>
          <a:noFill/>
        </a:ln>
        <a:effectLst/>
      </c:spPr>
    </c:title>
    <c:autoTitleDeleted val="0"/>
    <c:plotArea>
      <c:layout/>
      <c:barChart>
        <c:barDir val="col"/>
        <c:grouping val="clustered"/>
        <c:varyColors val="0"/>
        <c:ser>
          <c:idx val="0"/>
          <c:order val="0"/>
          <c:tx>
            <c:strRef>
              <c:f>Sheet1!$B$1</c:f>
              <c:strCache>
                <c:ptCount val="1"/>
                <c:pt idx="0">
                  <c:v>科目代码</c:v>
                </c:pt>
              </c:strCache>
            </c:strRef>
          </c:tx>
          <c:spPr>
            <a:solidFill>
              <a:schemeClr val="accent1"/>
            </a:solidFill>
            <a:ln>
              <a:noFill/>
            </a:ln>
            <a:effectLst/>
          </c:spPr>
          <c:invertIfNegative val="0"/>
          <c:dLbls>
            <c:delete val="1"/>
          </c:dLbls>
          <c:cat>
            <c:numRef>
              <c:f>Sheet1!$A$2:$A$13</c:f>
              <c:numCache>
                <c:formatCode>General</c:formatCode>
                <c:ptCount val="12"/>
                <c:pt idx="0">
                  <c:v>30301</c:v>
                </c:pt>
                <c:pt idx="1">
                  <c:v>30302</c:v>
                </c:pt>
                <c:pt idx="2">
                  <c:v>30303</c:v>
                </c:pt>
                <c:pt idx="3">
                  <c:v>30304</c:v>
                </c:pt>
                <c:pt idx="4">
                  <c:v>30305</c:v>
                </c:pt>
                <c:pt idx="5">
                  <c:v>30306</c:v>
                </c:pt>
                <c:pt idx="6">
                  <c:v>30307</c:v>
                </c:pt>
                <c:pt idx="7">
                  <c:v>30308</c:v>
                </c:pt>
                <c:pt idx="8">
                  <c:v>30309</c:v>
                </c:pt>
                <c:pt idx="9">
                  <c:v>30310</c:v>
                </c:pt>
                <c:pt idx="10">
                  <c:v>30311</c:v>
                </c:pt>
                <c:pt idx="11">
                  <c:v>30399</c:v>
                </c:pt>
              </c:numCache>
            </c:numRef>
          </c:cat>
          <c:val>
            <c:numRef>
              <c:f>Sheet1!$B$2:$B$13</c:f>
              <c:numCache>
                <c:formatCode>General</c:formatCode>
                <c:ptCount val="12"/>
                <c:pt idx="0">
                  <c:v>0</c:v>
                </c:pt>
                <c:pt idx="1">
                  <c:v>0</c:v>
                </c:pt>
                <c:pt idx="2">
                  <c:v>0</c:v>
                </c:pt>
                <c:pt idx="3">
                  <c:v>0</c:v>
                </c:pt>
                <c:pt idx="4">
                  <c:v>25.48</c:v>
                </c:pt>
                <c:pt idx="5">
                  <c:v>0</c:v>
                </c:pt>
                <c:pt idx="6">
                  <c:v>0</c:v>
                </c:pt>
                <c:pt idx="7">
                  <c:v>424.12</c:v>
                </c:pt>
                <c:pt idx="8">
                  <c:v>0.08</c:v>
                </c:pt>
                <c:pt idx="9">
                  <c:v>0</c:v>
                </c:pt>
                <c:pt idx="10">
                  <c:v>0</c:v>
                </c:pt>
                <c:pt idx="11">
                  <c:v>25.81</c:v>
                </c:pt>
              </c:numCache>
            </c:numRef>
          </c:val>
        </c:ser>
        <c:dLbls>
          <c:showLegendKey val="0"/>
          <c:showVal val="0"/>
          <c:showCatName val="0"/>
          <c:showSerName val="0"/>
          <c:showPercent val="0"/>
          <c:showBubbleSize val="0"/>
        </c:dLbls>
        <c:gapWidth val="219"/>
        <c:overlap val="-27"/>
        <c:axId val="-172441920"/>
        <c:axId val="-172441376"/>
      </c:barChart>
      <c:catAx>
        <c:axId val="-172441920"/>
        <c:scaling>
          <c:orientation val="minMax"/>
        </c:scaling>
        <c:delete val="0"/>
        <c:axPos val="b"/>
        <c:numFmt formatCode="General" sourceLinked="0"/>
        <c:majorTickMark val="none"/>
        <c:minorTickMark val="none"/>
        <c:tickLblPos val="nextTo"/>
        <c:spPr>
          <a:noFill/>
          <a:ln w="9525" cap="flat" cmpd="sng" algn="ctr">
            <a:solidFill>
              <a:schemeClr val="tx1">
                <a:lumMod val="15000"/>
                <a:lumOff val="85000"/>
              </a:schemeClr>
            </a:solidFill>
            <a:prstDash val="solid"/>
            <a:round/>
          </a:ln>
          <a:effectLst/>
        </c:spPr>
        <c:txPr>
          <a:bodyPr rot="0" spcFirstLastPara="1" vertOverflow="ellipsis" vert="eaVert"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72441376"/>
        <c:crosses val="autoZero"/>
        <c:auto val="1"/>
        <c:lblAlgn val="ctr"/>
        <c:lblOffset val="100"/>
        <c:noMultiLvlLbl val="0"/>
      </c:catAx>
      <c:valAx>
        <c:axId val="-172441376"/>
        <c:scaling>
          <c:orientation val="minMax"/>
        </c:scaling>
        <c:delete val="0"/>
        <c:axPos val="l"/>
        <c:majorGridlines>
          <c:spPr>
            <a:ln w="9525" cap="flat" cmpd="sng" algn="ctr">
              <a:solidFill>
                <a:schemeClr val="tx1">
                  <a:lumMod val="15000"/>
                  <a:lumOff val="85000"/>
                </a:schemeClr>
              </a:solidFill>
              <a:prstDash val="solid"/>
              <a:round/>
            </a:ln>
            <a:effectLst/>
          </c:spPr>
        </c:majorGridlines>
        <c:numFmt formatCode="General" sourceLinked="1"/>
        <c:majorTickMark val="none"/>
        <c:minorTickMark val="none"/>
        <c:tickLblPos val="nextTo"/>
        <c:spPr>
          <a:noFill/>
          <a:ln w="6350" cap="flat" cmpd="sng" algn="ctr">
            <a:noFill/>
            <a:prstDash val="solid"/>
            <a:round/>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72441920"/>
        <c:crosses val="autoZero"/>
        <c:crossBetween val="between"/>
      </c:valAx>
      <c:spPr>
        <a:noFill/>
        <a:ln>
          <a:noFill/>
        </a:ln>
        <a:effectLst/>
      </c:spPr>
    </c:plotArea>
    <c:legend>
      <c:legendPos val="b"/>
      <c:layout/>
      <c:overlay val="0"/>
      <c:spPr>
        <a:noFill/>
        <a:ln>
          <a:noFill/>
        </a:ln>
        <a:effectLst/>
      </c:spPr>
      <c:txPr>
        <a:bodyPr rot="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0"/>
  </c:externalData>
</c:chartSpace>
</file>

<file path=word/charts/chart1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rtlCol="0" anchor="t" anchorCtr="1"/>
          <a:lstStyle/>
          <a:p>
            <a:pPr algn="l">
              <a:defRPr lang="zh-CN" sz="1800" b="1" i="0" u="none" strike="noStrike" kern="1200" baseline="0">
                <a:solidFill>
                  <a:schemeClr val="tx1"/>
                </a:solidFill>
                <a:latin typeface="+mn-lt"/>
                <a:ea typeface="+mn-ea"/>
                <a:cs typeface="+mn-cs"/>
              </a:defRPr>
            </a:pPr>
            <a:r>
              <a:rPr lang="zh-CN"/>
              <a:t>债务利息及费用支出</a:t>
            </a:r>
            <a:endParaRPr lang="en-US" sz="1100"/>
          </a:p>
        </c:rich>
      </c:tx>
      <c:layout/>
      <c:overlay val="0"/>
      <c:spPr>
        <a:noFill/>
        <a:ln>
          <a:noFill/>
        </a:ln>
        <a:effectLst/>
      </c:spPr>
    </c:title>
    <c:autoTitleDeleted val="0"/>
    <c:plotArea>
      <c:layout/>
      <c:barChart>
        <c:barDir val="col"/>
        <c:grouping val="clustered"/>
        <c:varyColors val="0"/>
        <c:ser>
          <c:idx val="0"/>
          <c:order val="0"/>
          <c:tx>
            <c:strRef>
              <c:f>Sheet1!$B$1</c:f>
              <c:strCache>
                <c:ptCount val="1"/>
                <c:pt idx="0">
                  <c:v>科目代码</c:v>
                </c:pt>
              </c:strCache>
            </c:strRef>
          </c:tx>
          <c:spPr>
            <a:solidFill>
              <a:schemeClr val="accent1"/>
            </a:solidFill>
            <a:ln>
              <a:noFill/>
            </a:ln>
            <a:effectLst/>
          </c:spPr>
          <c:invertIfNegative val="0"/>
          <c:dLbls>
            <c:delete val="1"/>
          </c:dLbls>
          <c:cat>
            <c:numRef>
              <c:f>Sheet1!$A$2:$A$3</c:f>
              <c:numCache>
                <c:formatCode>General</c:formatCode>
                <c:ptCount val="2"/>
                <c:pt idx="0">
                  <c:v>30701</c:v>
                </c:pt>
                <c:pt idx="1">
                  <c:v>30702</c:v>
                </c:pt>
              </c:numCache>
            </c:numRef>
          </c:cat>
          <c:val>
            <c:numRef>
              <c:f>Sheet1!$B$2:$B$3</c:f>
              <c:numCache>
                <c:formatCode>General</c:formatCode>
                <c:ptCount val="2"/>
                <c:pt idx="0">
                  <c:v>0</c:v>
                </c:pt>
                <c:pt idx="1">
                  <c:v>0</c:v>
                </c:pt>
              </c:numCache>
            </c:numRef>
          </c:val>
        </c:ser>
        <c:dLbls>
          <c:showLegendKey val="0"/>
          <c:showVal val="0"/>
          <c:showCatName val="0"/>
          <c:showSerName val="0"/>
          <c:showPercent val="0"/>
          <c:showBubbleSize val="0"/>
        </c:dLbls>
        <c:gapWidth val="219"/>
        <c:overlap val="-27"/>
        <c:axId val="-172441920"/>
        <c:axId val="-172441376"/>
      </c:barChart>
      <c:catAx>
        <c:axId val="-172441920"/>
        <c:scaling>
          <c:orientation val="minMax"/>
        </c:scaling>
        <c:delete val="0"/>
        <c:axPos val="b"/>
        <c:numFmt formatCode="General" sourceLinked="0"/>
        <c:majorTickMark val="none"/>
        <c:minorTickMark val="none"/>
        <c:tickLblPos val="nextTo"/>
        <c:spPr>
          <a:noFill/>
          <a:ln w="9525" cap="flat" cmpd="sng" algn="ctr">
            <a:solidFill>
              <a:schemeClr val="tx1">
                <a:lumMod val="15000"/>
                <a:lumOff val="85000"/>
              </a:schemeClr>
            </a:solidFill>
            <a:prstDash val="solid"/>
            <a:round/>
          </a:ln>
          <a:effectLst/>
        </c:spPr>
        <c:txPr>
          <a:bodyPr rot="0" spcFirstLastPara="1" vertOverflow="ellipsis" vert="eaVert"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72441376"/>
        <c:crosses val="autoZero"/>
        <c:auto val="1"/>
        <c:lblAlgn val="ctr"/>
        <c:lblOffset val="100"/>
        <c:noMultiLvlLbl val="0"/>
      </c:catAx>
      <c:valAx>
        <c:axId val="-172441376"/>
        <c:scaling>
          <c:orientation val="minMax"/>
        </c:scaling>
        <c:delete val="0"/>
        <c:axPos val="l"/>
        <c:majorGridlines>
          <c:spPr>
            <a:ln w="9525" cap="flat" cmpd="sng" algn="ctr">
              <a:solidFill>
                <a:schemeClr val="tx1">
                  <a:lumMod val="15000"/>
                  <a:lumOff val="85000"/>
                </a:schemeClr>
              </a:solidFill>
              <a:prstDash val="solid"/>
              <a:round/>
            </a:ln>
            <a:effectLst/>
          </c:spPr>
        </c:majorGridlines>
        <c:numFmt formatCode="General" sourceLinked="1"/>
        <c:majorTickMark val="none"/>
        <c:minorTickMark val="none"/>
        <c:tickLblPos val="nextTo"/>
        <c:spPr>
          <a:noFill/>
          <a:ln w="6350" cap="flat" cmpd="sng" algn="ctr">
            <a:noFill/>
            <a:prstDash val="solid"/>
            <a:round/>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72441920"/>
        <c:crosses val="autoZero"/>
        <c:crossBetween val="between"/>
      </c:valAx>
      <c:spPr>
        <a:noFill/>
        <a:ln>
          <a:noFill/>
        </a:ln>
        <a:effectLst/>
      </c:spPr>
    </c:plotArea>
    <c:legend>
      <c:legendPos val="b"/>
      <c:layout/>
      <c:overlay val="0"/>
      <c:spPr>
        <a:noFill/>
        <a:ln>
          <a:noFill/>
        </a:ln>
        <a:effectLst/>
      </c:spPr>
      <c:txPr>
        <a:bodyPr rot="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0"/>
  </c:externalData>
</c:chartSpace>
</file>

<file path=word/charts/chart12.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rtlCol="0" anchor="t" anchorCtr="1"/>
          <a:lstStyle/>
          <a:p>
            <a:pPr algn="l">
              <a:defRPr lang="zh-CN" sz="1800" b="1" i="0" u="none" strike="noStrike" kern="1200" baseline="0">
                <a:solidFill>
                  <a:schemeClr val="tx1"/>
                </a:solidFill>
                <a:latin typeface="+mn-lt"/>
                <a:ea typeface="+mn-ea"/>
                <a:cs typeface="+mn-cs"/>
              </a:defRPr>
            </a:pPr>
            <a:r>
              <a:rPr lang="zh-CN"/>
              <a:t>资本性支出</a:t>
            </a:r>
            <a:endParaRPr lang="en-US" sz="1100"/>
          </a:p>
        </c:rich>
      </c:tx>
      <c:layout/>
      <c:overlay val="0"/>
      <c:spPr>
        <a:noFill/>
        <a:ln>
          <a:noFill/>
        </a:ln>
        <a:effectLst/>
      </c:spPr>
    </c:title>
    <c:autoTitleDeleted val="0"/>
    <c:plotArea>
      <c:layout/>
      <c:barChart>
        <c:barDir val="col"/>
        <c:grouping val="clustered"/>
        <c:varyColors val="0"/>
        <c:ser>
          <c:idx val="0"/>
          <c:order val="0"/>
          <c:tx>
            <c:strRef>
              <c:f>Sheet1!$B$1</c:f>
              <c:strCache>
                <c:ptCount val="1"/>
                <c:pt idx="0">
                  <c:v>科目代码</c:v>
                </c:pt>
              </c:strCache>
            </c:strRef>
          </c:tx>
          <c:spPr>
            <a:solidFill>
              <a:schemeClr val="accent1"/>
            </a:solidFill>
            <a:ln>
              <a:noFill/>
            </a:ln>
            <a:effectLst/>
          </c:spPr>
          <c:invertIfNegative val="0"/>
          <c:dLbls>
            <c:delete val="1"/>
          </c:dLbls>
          <c:cat>
            <c:numRef>
              <c:f>Sheet1!$A$2:$A$17</c:f>
              <c:numCache>
                <c:formatCode>General</c:formatCode>
                <c:ptCount val="16"/>
                <c:pt idx="0">
                  <c:v>31001</c:v>
                </c:pt>
                <c:pt idx="1">
                  <c:v>31002</c:v>
                </c:pt>
                <c:pt idx="2">
                  <c:v>31003</c:v>
                </c:pt>
                <c:pt idx="3">
                  <c:v>31005</c:v>
                </c:pt>
                <c:pt idx="4">
                  <c:v>31006</c:v>
                </c:pt>
                <c:pt idx="5">
                  <c:v>31007</c:v>
                </c:pt>
                <c:pt idx="6">
                  <c:v>31008</c:v>
                </c:pt>
                <c:pt idx="7">
                  <c:v>31009</c:v>
                </c:pt>
                <c:pt idx="8">
                  <c:v>31010</c:v>
                </c:pt>
                <c:pt idx="9">
                  <c:v>31011</c:v>
                </c:pt>
                <c:pt idx="10">
                  <c:v>31012</c:v>
                </c:pt>
                <c:pt idx="11">
                  <c:v>31013</c:v>
                </c:pt>
                <c:pt idx="12">
                  <c:v>31019</c:v>
                </c:pt>
                <c:pt idx="13">
                  <c:v>31021</c:v>
                </c:pt>
                <c:pt idx="14">
                  <c:v>31022</c:v>
                </c:pt>
                <c:pt idx="15">
                  <c:v>31099</c:v>
                </c:pt>
              </c:numCache>
            </c:numRef>
          </c:cat>
          <c:val>
            <c:numRef>
              <c:f>Sheet1!$B$2:$B$17</c:f>
              <c:numCache>
                <c:formatCode>General</c:formatCode>
                <c:ptCount val="16"/>
                <c:pt idx="0">
                  <c:v>0</c:v>
                </c:pt>
                <c:pt idx="1">
                  <c:v>23.93</c:v>
                </c:pt>
                <c:pt idx="2">
                  <c:v>3.88</c:v>
                </c:pt>
                <c:pt idx="3">
                  <c:v>0</c:v>
                </c:pt>
                <c:pt idx="4">
                  <c:v>0</c:v>
                </c:pt>
                <c:pt idx="5">
                  <c:v>0</c:v>
                </c:pt>
                <c:pt idx="6">
                  <c:v>0</c:v>
                </c:pt>
                <c:pt idx="7">
                  <c:v>0</c:v>
                </c:pt>
                <c:pt idx="8">
                  <c:v>0</c:v>
                </c:pt>
                <c:pt idx="9">
                  <c:v>0</c:v>
                </c:pt>
                <c:pt idx="10">
                  <c:v>0</c:v>
                </c:pt>
                <c:pt idx="11">
                  <c:v>0</c:v>
                </c:pt>
                <c:pt idx="12">
                  <c:v>0</c:v>
                </c:pt>
                <c:pt idx="13">
                  <c:v>0</c:v>
                </c:pt>
                <c:pt idx="14">
                  <c:v>0</c:v>
                </c:pt>
                <c:pt idx="15">
                  <c:v>0</c:v>
                </c:pt>
              </c:numCache>
            </c:numRef>
          </c:val>
        </c:ser>
        <c:dLbls>
          <c:showLegendKey val="0"/>
          <c:showVal val="0"/>
          <c:showCatName val="0"/>
          <c:showSerName val="0"/>
          <c:showPercent val="0"/>
          <c:showBubbleSize val="0"/>
        </c:dLbls>
        <c:gapWidth val="219"/>
        <c:overlap val="-27"/>
        <c:axId val="-172441920"/>
        <c:axId val="-172441376"/>
      </c:barChart>
      <c:catAx>
        <c:axId val="-172441920"/>
        <c:scaling>
          <c:orientation val="minMax"/>
        </c:scaling>
        <c:delete val="0"/>
        <c:axPos val="b"/>
        <c:numFmt formatCode="General" sourceLinked="0"/>
        <c:majorTickMark val="none"/>
        <c:minorTickMark val="none"/>
        <c:tickLblPos val="nextTo"/>
        <c:spPr>
          <a:noFill/>
          <a:ln w="9525" cap="flat" cmpd="sng" algn="ctr">
            <a:solidFill>
              <a:schemeClr val="tx1">
                <a:lumMod val="15000"/>
                <a:lumOff val="85000"/>
              </a:schemeClr>
            </a:solidFill>
            <a:prstDash val="solid"/>
            <a:round/>
          </a:ln>
          <a:effectLst/>
        </c:spPr>
        <c:txPr>
          <a:bodyPr rot="0" spcFirstLastPara="1" vertOverflow="ellipsis" vert="eaVert"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72441376"/>
        <c:crosses val="autoZero"/>
        <c:auto val="1"/>
        <c:lblAlgn val="ctr"/>
        <c:lblOffset val="100"/>
        <c:noMultiLvlLbl val="0"/>
      </c:catAx>
      <c:valAx>
        <c:axId val="-172441376"/>
        <c:scaling>
          <c:orientation val="minMax"/>
        </c:scaling>
        <c:delete val="0"/>
        <c:axPos val="l"/>
        <c:majorGridlines>
          <c:spPr>
            <a:ln w="9525" cap="flat" cmpd="sng" algn="ctr">
              <a:solidFill>
                <a:schemeClr val="tx1">
                  <a:lumMod val="15000"/>
                  <a:lumOff val="85000"/>
                </a:schemeClr>
              </a:solidFill>
              <a:prstDash val="solid"/>
              <a:round/>
            </a:ln>
            <a:effectLst/>
          </c:spPr>
        </c:majorGridlines>
        <c:numFmt formatCode="General" sourceLinked="1"/>
        <c:majorTickMark val="none"/>
        <c:minorTickMark val="none"/>
        <c:tickLblPos val="nextTo"/>
        <c:spPr>
          <a:noFill/>
          <a:ln w="6350" cap="flat" cmpd="sng" algn="ctr">
            <a:noFill/>
            <a:prstDash val="solid"/>
            <a:round/>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72441920"/>
        <c:crosses val="autoZero"/>
        <c:crossBetween val="between"/>
      </c:valAx>
      <c:spPr>
        <a:noFill/>
        <a:ln>
          <a:noFill/>
        </a:ln>
        <a:effectLst/>
      </c:spPr>
    </c:plotArea>
    <c:legend>
      <c:legendPos val="b"/>
      <c:layout/>
      <c:overlay val="0"/>
      <c:spPr>
        <a:noFill/>
        <a:ln>
          <a:noFill/>
        </a:ln>
        <a:effectLst/>
      </c:spPr>
      <c:txPr>
        <a:bodyPr rot="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0"/>
  </c:externalData>
</c:chartSpace>
</file>

<file path=word/charts/chart13.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rtlCol="0" anchor="t" anchorCtr="1"/>
          <a:lstStyle/>
          <a:p>
            <a:pPr algn="l">
              <a:defRPr lang="zh-CN" sz="1800" b="1" i="0" u="none" strike="noStrike" kern="1200" baseline="0">
                <a:solidFill>
                  <a:schemeClr val="tx1"/>
                </a:solidFill>
                <a:latin typeface="+mn-lt"/>
                <a:ea typeface="+mn-ea"/>
                <a:cs typeface="+mn-cs"/>
              </a:defRPr>
            </a:pPr>
            <a:r>
              <a:rPr lang="zh-CN"/>
              <a:t>其他支出</a:t>
            </a:r>
            <a:endParaRPr lang="en-US" sz="1100"/>
          </a:p>
        </c:rich>
      </c:tx>
      <c:layout/>
      <c:overlay val="0"/>
      <c:spPr>
        <a:noFill/>
        <a:ln>
          <a:noFill/>
        </a:ln>
        <a:effectLst/>
      </c:spPr>
    </c:title>
    <c:autoTitleDeleted val="0"/>
    <c:plotArea>
      <c:layout/>
      <c:barChart>
        <c:barDir val="col"/>
        <c:grouping val="clustered"/>
        <c:varyColors val="0"/>
        <c:ser>
          <c:idx val="0"/>
          <c:order val="0"/>
          <c:tx>
            <c:strRef>
              <c:f>Sheet1!$B$1</c:f>
              <c:strCache>
                <c:ptCount val="1"/>
                <c:pt idx="0">
                  <c:v>科目代码</c:v>
                </c:pt>
              </c:strCache>
            </c:strRef>
          </c:tx>
          <c:spPr>
            <a:solidFill>
              <a:schemeClr val="accent1"/>
            </a:solidFill>
            <a:ln>
              <a:noFill/>
            </a:ln>
            <a:effectLst/>
          </c:spPr>
          <c:invertIfNegative val="0"/>
          <c:dLbls>
            <c:delete val="1"/>
          </c:dLbls>
          <c:cat>
            <c:numRef>
              <c:f>Sheet1!$A$2:$A$6</c:f>
              <c:numCache>
                <c:formatCode>General</c:formatCode>
                <c:ptCount val="5"/>
                <c:pt idx="0">
                  <c:v>39907</c:v>
                </c:pt>
                <c:pt idx="1">
                  <c:v>39908</c:v>
                </c:pt>
                <c:pt idx="2">
                  <c:v>39909</c:v>
                </c:pt>
                <c:pt idx="3">
                  <c:v>39910</c:v>
                </c:pt>
                <c:pt idx="4">
                  <c:v>39999</c:v>
                </c:pt>
              </c:numCache>
            </c:numRef>
          </c:cat>
          <c:val>
            <c:numRef>
              <c:f>Sheet1!$B$2:$B$6</c:f>
              <c:numCache>
                <c:formatCode>General</c:formatCode>
                <c:ptCount val="5"/>
                <c:pt idx="0">
                  <c:v>0</c:v>
                </c:pt>
                <c:pt idx="1">
                  <c:v>0</c:v>
                </c:pt>
                <c:pt idx="2">
                  <c:v>0</c:v>
                </c:pt>
                <c:pt idx="3">
                  <c:v>0</c:v>
                </c:pt>
                <c:pt idx="4">
                  <c:v>0</c:v>
                </c:pt>
              </c:numCache>
            </c:numRef>
          </c:val>
        </c:ser>
        <c:dLbls>
          <c:showLegendKey val="0"/>
          <c:showVal val="0"/>
          <c:showCatName val="0"/>
          <c:showSerName val="0"/>
          <c:showPercent val="0"/>
          <c:showBubbleSize val="0"/>
        </c:dLbls>
        <c:gapWidth val="219"/>
        <c:overlap val="-27"/>
        <c:axId val="-172441920"/>
        <c:axId val="-172441376"/>
      </c:barChart>
      <c:catAx>
        <c:axId val="-172441920"/>
        <c:scaling>
          <c:orientation val="minMax"/>
        </c:scaling>
        <c:delete val="0"/>
        <c:axPos val="b"/>
        <c:numFmt formatCode="General" sourceLinked="0"/>
        <c:majorTickMark val="none"/>
        <c:minorTickMark val="none"/>
        <c:tickLblPos val="nextTo"/>
        <c:spPr>
          <a:noFill/>
          <a:ln w="9525" cap="flat" cmpd="sng" algn="ctr">
            <a:solidFill>
              <a:schemeClr val="tx1">
                <a:lumMod val="15000"/>
                <a:lumOff val="85000"/>
              </a:schemeClr>
            </a:solidFill>
            <a:prstDash val="solid"/>
            <a:round/>
          </a:ln>
          <a:effectLst/>
        </c:spPr>
        <c:txPr>
          <a:bodyPr rot="0" spcFirstLastPara="1" vertOverflow="ellipsis" vert="eaVert"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72441376"/>
        <c:crosses val="autoZero"/>
        <c:auto val="1"/>
        <c:lblAlgn val="ctr"/>
        <c:lblOffset val="100"/>
        <c:noMultiLvlLbl val="0"/>
      </c:catAx>
      <c:valAx>
        <c:axId val="-172441376"/>
        <c:scaling>
          <c:orientation val="minMax"/>
        </c:scaling>
        <c:delete val="0"/>
        <c:axPos val="l"/>
        <c:majorGridlines>
          <c:spPr>
            <a:ln w="9525" cap="flat" cmpd="sng" algn="ctr">
              <a:solidFill>
                <a:schemeClr val="tx1">
                  <a:lumMod val="15000"/>
                  <a:lumOff val="85000"/>
                </a:schemeClr>
              </a:solidFill>
              <a:prstDash val="solid"/>
              <a:round/>
            </a:ln>
            <a:effectLst/>
          </c:spPr>
        </c:majorGridlines>
        <c:numFmt formatCode="General" sourceLinked="1"/>
        <c:majorTickMark val="none"/>
        <c:minorTickMark val="none"/>
        <c:tickLblPos val="nextTo"/>
        <c:spPr>
          <a:noFill/>
          <a:ln w="6350" cap="flat" cmpd="sng" algn="ctr">
            <a:noFill/>
            <a:prstDash val="solid"/>
            <a:round/>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72441920"/>
        <c:crosses val="autoZero"/>
        <c:crossBetween val="between"/>
      </c:valAx>
      <c:spPr>
        <a:noFill/>
        <a:ln>
          <a:noFill/>
        </a:ln>
        <a:effectLst/>
      </c:spPr>
    </c:plotArea>
    <c:legend>
      <c:legendPos val="b"/>
      <c:layout/>
      <c:overlay val="0"/>
      <c:spPr>
        <a:noFill/>
        <a:ln>
          <a:noFill/>
        </a:ln>
        <a:effectLst/>
      </c:spPr>
      <c:txPr>
        <a:bodyPr rot="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0" i="0" u="none" strike="noStrike" kern="1200" spc="0" baseline="0">
                <a:solidFill>
                  <a:schemeClr val="tx1">
                    <a:lumMod val="65000"/>
                    <a:lumOff val="35000"/>
                  </a:schemeClr>
                </a:solidFill>
                <a:latin typeface="+mn-lt"/>
                <a:ea typeface="+mn-ea"/>
                <a:cs typeface="+mn-cs"/>
              </a:defRPr>
            </a:pPr>
            <a:r>
              <a:rPr lang="en-US" altLang="zh-CN"/>
              <a:t>支出决算图表</a:t>
            </a:r>
            <a:endParaRPr lang="zh-CN" altLang="en-US"/>
          </a:p>
        </c:rich>
      </c:tx>
      <c:layout/>
      <c:overlay val="0"/>
      <c:spPr>
        <a:noFill/>
        <a:ln>
          <a:noFill/>
        </a:ln>
        <a:effectLst/>
      </c:spPr>
    </c:title>
    <c:autoTitleDeleted val="0"/>
    <c:plotArea>
      <c:layout/>
      <c:barChart>
        <c:barDir val="col"/>
        <c:grouping val="clustered"/>
        <c:varyColors val="0"/>
        <c:ser>
          <c:idx val="0"/>
          <c:order val="0"/>
          <c:tx>
            <c:strRef>
              <c:f>Sheet1!$B$1</c:f>
              <c:strCache>
                <c:ptCount val="1"/>
                <c:pt idx="0">
                  <c:v>2021年</c:v>
                </c:pt>
              </c:strCache>
            </c:strRef>
          </c:tx>
          <c:spPr>
            <a:solidFill>
              <a:schemeClr val="accent1"/>
            </a:solidFill>
            <a:ln>
              <a:noFill/>
            </a:ln>
            <a:effectLst/>
          </c:spPr>
          <c:invertIfNegative val="0"/>
          <c:dLbls>
            <c:delete val="1"/>
          </c:dLbls>
          <c:cat>
            <c:strRef>
              <c:f>Sheet1!$A$2:$A$6</c:f>
              <c:strCache>
                <c:ptCount val="5"/>
                <c:pt idx="0">
                  <c:v>一般公共服务支出</c:v>
                </c:pt>
                <c:pt idx="1">
                  <c:v>教育支出</c:v>
                </c:pt>
                <c:pt idx="2">
                  <c:v>社会保障和就业支出</c:v>
                </c:pt>
                <c:pt idx="3">
                  <c:v>住房保障支出</c:v>
                </c:pt>
                <c:pt idx="4">
                  <c:v>其他支出</c:v>
                </c:pt>
              </c:strCache>
            </c:strRef>
          </c:cat>
          <c:val>
            <c:numRef>
              <c:f>Sheet1!$B$2:$B$6</c:f>
              <c:numCache>
                <c:formatCode>General</c:formatCode>
                <c:ptCount val="5"/>
                <c:pt idx="0">
                  <c:v>0</c:v>
                </c:pt>
                <c:pt idx="1">
                  <c:v>1530.38</c:v>
                </c:pt>
                <c:pt idx="2">
                  <c:v>125.03</c:v>
                </c:pt>
                <c:pt idx="3">
                  <c:v>65.88</c:v>
                </c:pt>
                <c:pt idx="4">
                  <c:v>189.54</c:v>
                </c:pt>
              </c:numCache>
            </c:numRef>
          </c:val>
        </c:ser>
        <c:ser>
          <c:idx val="1"/>
          <c:order val="1"/>
          <c:tx>
            <c:strRef>
              <c:f>Sheet1!$C$1</c:f>
              <c:strCache>
                <c:ptCount val="1"/>
                <c:pt idx="0">
                  <c:v>2022年</c:v>
                </c:pt>
              </c:strCache>
            </c:strRef>
          </c:tx>
          <c:spPr>
            <a:solidFill>
              <a:schemeClr val="accent2"/>
            </a:solidFill>
            <a:ln>
              <a:noFill/>
            </a:ln>
            <a:effectLst/>
          </c:spPr>
          <c:invertIfNegative val="0"/>
          <c:dLbls>
            <c:delete val="1"/>
          </c:dLbls>
          <c:cat>
            <c:strRef>
              <c:f>Sheet1!$A$2:$A$6</c:f>
              <c:strCache>
                <c:ptCount val="5"/>
                <c:pt idx="0">
                  <c:v>一般公共服务支出</c:v>
                </c:pt>
                <c:pt idx="1">
                  <c:v>教育支出</c:v>
                </c:pt>
                <c:pt idx="2">
                  <c:v>社会保障和就业支出</c:v>
                </c:pt>
                <c:pt idx="3">
                  <c:v>住房保障支出</c:v>
                </c:pt>
                <c:pt idx="4">
                  <c:v>其他支出</c:v>
                </c:pt>
              </c:strCache>
            </c:strRef>
          </c:cat>
          <c:val>
            <c:numRef>
              <c:f>Sheet1!$C$2:$C$6</c:f>
              <c:numCache>
                <c:formatCode>General</c:formatCode>
                <c:ptCount val="5"/>
                <c:pt idx="0">
                  <c:v>18.19</c:v>
                </c:pt>
                <c:pt idx="1">
                  <c:v>1747.36</c:v>
                </c:pt>
                <c:pt idx="2">
                  <c:v>140.66</c:v>
                </c:pt>
                <c:pt idx="3">
                  <c:v>106.46</c:v>
                </c:pt>
                <c:pt idx="4">
                  <c:v>183.12</c:v>
                </c:pt>
              </c:numCache>
            </c:numRef>
          </c:val>
        </c:ser>
        <c:dLbls>
          <c:showLegendKey val="0"/>
          <c:showVal val="0"/>
          <c:showCatName val="0"/>
          <c:showSerName val="0"/>
          <c:showPercent val="0"/>
          <c:showBubbleSize val="0"/>
        </c:dLbls>
        <c:gapWidth val="219"/>
        <c:overlap val="-27"/>
        <c:axId val="-172443552"/>
        <c:axId val="-172442464"/>
      </c:barChart>
      <c:catAx>
        <c:axId val="-172443552"/>
        <c:scaling>
          <c:orientation val="minMax"/>
        </c:scaling>
        <c:delete val="0"/>
        <c:axPos val="b"/>
        <c:numFmt formatCode="General" sourceLinked="0"/>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72442464"/>
        <c:crosses val="autoZero"/>
        <c:auto val="1"/>
        <c:lblAlgn val="ctr"/>
        <c:lblOffset val="100"/>
        <c:noMultiLvlLbl val="0"/>
      </c:catAx>
      <c:valAx>
        <c:axId val="-172442464"/>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72443552"/>
        <c:crosses val="autoZero"/>
        <c:crossBetween val="between"/>
      </c:valAx>
      <c:spPr>
        <a:noFill/>
        <a:ln>
          <a:noFill/>
        </a:ln>
        <a:effectLst/>
      </c:spPr>
    </c:plotArea>
    <c:legend>
      <c:legendPos val="b"/>
      <c:layout/>
      <c:overlay val="0"/>
      <c:spPr>
        <a:noFill/>
        <a:ln>
          <a:noFill/>
        </a:ln>
        <a:effectLst/>
      </c:spPr>
      <c:txPr>
        <a:bodyPr rot="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rtlCol="0" anchor="t" anchorCtr="1"/>
          <a:lstStyle/>
          <a:p>
            <a:pPr algn="l">
              <a:defRPr lang="zh-CN" sz="1800" b="1" i="0" u="none" strike="noStrike" kern="1200" baseline="0">
                <a:solidFill>
                  <a:schemeClr val="tx1"/>
                </a:solidFill>
                <a:latin typeface="+mn-lt"/>
                <a:ea typeface="+mn-ea"/>
                <a:cs typeface="+mn-cs"/>
              </a:defRPr>
            </a:pPr>
            <a:r>
              <a:rPr lang="zh-CN"/>
              <a:t>一般公共服务支出</a:t>
            </a:r>
            <a:endParaRPr lang="en-US" sz="1100"/>
          </a:p>
        </c:rich>
      </c:tx>
      <c:layout/>
      <c:overlay val="0"/>
      <c:spPr>
        <a:noFill/>
        <a:ln>
          <a:noFill/>
        </a:ln>
        <a:effectLst/>
      </c:spPr>
    </c:title>
    <c:autoTitleDeleted val="0"/>
    <c:plotArea>
      <c:layout/>
      <c:barChart>
        <c:barDir val="col"/>
        <c:grouping val="clustered"/>
        <c:varyColors val="0"/>
        <c:ser>
          <c:idx val="0"/>
          <c:order val="0"/>
          <c:tx>
            <c:strRef>
              <c:f>Sheet1!$B$1</c:f>
              <c:strCache>
                <c:ptCount val="1"/>
                <c:pt idx="0">
                  <c:v>科目代码</c:v>
                </c:pt>
              </c:strCache>
            </c:strRef>
          </c:tx>
          <c:spPr>
            <a:solidFill>
              <a:schemeClr val="accent1"/>
            </a:solidFill>
            <a:ln>
              <a:noFill/>
            </a:ln>
            <a:effectLst/>
          </c:spPr>
          <c:invertIfNegative val="0"/>
          <c:dLbls>
            <c:delete val="1"/>
          </c:dLbls>
          <c:cat>
            <c:strRef>
              <c:f>Sheet1!$A$2:$A$3</c:f>
              <c:strCache>
                <c:ptCount val="2"/>
                <c:pt idx="0">
                  <c:v>2012999</c:v>
                </c:pt>
                <c:pt idx="1">
                  <c:v>201x</c:v>
                </c:pt>
              </c:strCache>
            </c:strRef>
          </c:cat>
          <c:val>
            <c:numRef>
              <c:f>Sheet1!$B$2:$B$3</c:f>
              <c:numCache>
                <c:formatCode>General</c:formatCode>
                <c:ptCount val="2"/>
                <c:pt idx="0">
                  <c:v>18.19</c:v>
                </c:pt>
                <c:pt idx="1">
                  <c:v>18.19</c:v>
                </c:pt>
              </c:numCache>
            </c:numRef>
          </c:val>
        </c:ser>
        <c:dLbls>
          <c:showLegendKey val="0"/>
          <c:showVal val="0"/>
          <c:showCatName val="0"/>
          <c:showSerName val="0"/>
          <c:showPercent val="0"/>
          <c:showBubbleSize val="0"/>
        </c:dLbls>
        <c:gapWidth val="219"/>
        <c:overlap val="-27"/>
        <c:axId val="-172443008"/>
        <c:axId val="-172445728"/>
      </c:barChart>
      <c:catAx>
        <c:axId val="-172443008"/>
        <c:scaling>
          <c:orientation val="minMax"/>
        </c:scaling>
        <c:delete val="0"/>
        <c:axPos val="b"/>
        <c:numFmt formatCode="General" sourceLinked="0"/>
        <c:majorTickMark val="none"/>
        <c:minorTickMark val="none"/>
        <c:tickLblPos val="nextTo"/>
        <c:spPr>
          <a:noFill/>
          <a:ln w="9525" cap="flat" cmpd="sng" algn="ctr">
            <a:solidFill>
              <a:schemeClr val="tx1">
                <a:lumMod val="15000"/>
                <a:lumOff val="85000"/>
              </a:schemeClr>
            </a:solidFill>
            <a:prstDash val="solid"/>
            <a:round/>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72445728"/>
        <c:crosses val="autoZero"/>
        <c:auto val="1"/>
        <c:lblAlgn val="ctr"/>
        <c:lblOffset val="100"/>
        <c:noMultiLvlLbl val="0"/>
      </c:catAx>
      <c:valAx>
        <c:axId val="-172445728"/>
        <c:scaling>
          <c:orientation val="minMax"/>
        </c:scaling>
        <c:delete val="0"/>
        <c:axPos val="l"/>
        <c:majorGridlines>
          <c:spPr>
            <a:ln w="9525" cap="flat" cmpd="sng" algn="ctr">
              <a:solidFill>
                <a:schemeClr val="tx1">
                  <a:lumMod val="15000"/>
                  <a:lumOff val="85000"/>
                </a:schemeClr>
              </a:solidFill>
              <a:prstDash val="solid"/>
              <a:round/>
            </a:ln>
            <a:effectLst/>
          </c:spPr>
        </c:majorGridlines>
        <c:numFmt formatCode="General" sourceLinked="1"/>
        <c:majorTickMark val="none"/>
        <c:minorTickMark val="none"/>
        <c:tickLblPos val="nextTo"/>
        <c:spPr>
          <a:noFill/>
          <a:ln w="6350" cap="flat" cmpd="sng" algn="ctr">
            <a:noFill/>
            <a:prstDash val="solid"/>
            <a:round/>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72443008"/>
        <c:crosses val="autoZero"/>
        <c:crossBetween val="between"/>
      </c:valAx>
      <c:spPr>
        <a:noFill/>
        <a:ln>
          <a:noFill/>
        </a:ln>
        <a:effectLst/>
      </c:spPr>
    </c:plotArea>
    <c:legend>
      <c:legendPos val="b"/>
      <c:layout/>
      <c:overlay val="0"/>
      <c:spPr>
        <a:noFill/>
        <a:ln>
          <a:noFill/>
        </a:ln>
        <a:effectLst/>
      </c:spPr>
      <c:txPr>
        <a:bodyPr rot="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rtlCol="0" anchor="t" anchorCtr="1"/>
          <a:lstStyle/>
          <a:p>
            <a:pPr algn="l">
              <a:defRPr lang="zh-CN" sz="1800" b="1" i="0" u="none" strike="noStrike" kern="1200" baseline="0">
                <a:solidFill>
                  <a:schemeClr val="tx1"/>
                </a:solidFill>
                <a:latin typeface="+mn-lt"/>
                <a:ea typeface="+mn-ea"/>
                <a:cs typeface="+mn-cs"/>
              </a:defRPr>
            </a:pPr>
            <a:r>
              <a:rPr lang="zh-CN"/>
              <a:t>教育支出</a:t>
            </a:r>
            <a:endParaRPr lang="en-US" sz="1100"/>
          </a:p>
        </c:rich>
      </c:tx>
      <c:layout/>
      <c:overlay val="0"/>
      <c:spPr>
        <a:noFill/>
        <a:ln>
          <a:noFill/>
        </a:ln>
        <a:effectLst/>
      </c:spPr>
    </c:title>
    <c:autoTitleDeleted val="0"/>
    <c:plotArea>
      <c:layout/>
      <c:barChart>
        <c:barDir val="col"/>
        <c:grouping val="clustered"/>
        <c:varyColors val="0"/>
        <c:ser>
          <c:idx val="0"/>
          <c:order val="0"/>
          <c:tx>
            <c:strRef>
              <c:f>Sheet1!$B$1</c:f>
              <c:strCache>
                <c:ptCount val="1"/>
                <c:pt idx="0">
                  <c:v>科目代码</c:v>
                </c:pt>
              </c:strCache>
            </c:strRef>
          </c:tx>
          <c:spPr>
            <a:solidFill>
              <a:schemeClr val="accent1"/>
            </a:solidFill>
            <a:ln>
              <a:noFill/>
            </a:ln>
            <a:effectLst/>
          </c:spPr>
          <c:invertIfNegative val="0"/>
          <c:dLbls>
            <c:delete val="1"/>
          </c:dLbls>
          <c:cat>
            <c:strRef>
              <c:f>Sheet1!$A$2:$A$4</c:f>
              <c:strCache>
                <c:ptCount val="3"/>
                <c:pt idx="0">
                  <c:v>2050203</c:v>
                </c:pt>
                <c:pt idx="1">
                  <c:v>2050299</c:v>
                </c:pt>
                <c:pt idx="2">
                  <c:v>205x</c:v>
                </c:pt>
              </c:strCache>
            </c:strRef>
          </c:cat>
          <c:val>
            <c:numRef>
              <c:f>Sheet1!$B$2:$B$4</c:f>
              <c:numCache>
                <c:formatCode>General</c:formatCode>
                <c:ptCount val="3"/>
                <c:pt idx="0">
                  <c:v>1732.18</c:v>
                </c:pt>
                <c:pt idx="1">
                  <c:v>15.18</c:v>
                </c:pt>
                <c:pt idx="2">
                  <c:v>1747.36</c:v>
                </c:pt>
              </c:numCache>
            </c:numRef>
          </c:val>
        </c:ser>
        <c:dLbls>
          <c:showLegendKey val="0"/>
          <c:showVal val="0"/>
          <c:showCatName val="0"/>
          <c:showSerName val="0"/>
          <c:showPercent val="0"/>
          <c:showBubbleSize val="0"/>
        </c:dLbls>
        <c:gapWidth val="219"/>
        <c:overlap val="-27"/>
        <c:axId val="-172443008"/>
        <c:axId val="-172445728"/>
      </c:barChart>
      <c:catAx>
        <c:axId val="-172443008"/>
        <c:scaling>
          <c:orientation val="minMax"/>
        </c:scaling>
        <c:delete val="0"/>
        <c:axPos val="b"/>
        <c:numFmt formatCode="General" sourceLinked="0"/>
        <c:majorTickMark val="none"/>
        <c:minorTickMark val="none"/>
        <c:tickLblPos val="nextTo"/>
        <c:spPr>
          <a:noFill/>
          <a:ln w="9525" cap="flat" cmpd="sng" algn="ctr">
            <a:solidFill>
              <a:schemeClr val="tx1">
                <a:lumMod val="15000"/>
                <a:lumOff val="85000"/>
              </a:schemeClr>
            </a:solidFill>
            <a:prstDash val="solid"/>
            <a:round/>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72445728"/>
        <c:crosses val="autoZero"/>
        <c:auto val="1"/>
        <c:lblAlgn val="ctr"/>
        <c:lblOffset val="100"/>
        <c:noMultiLvlLbl val="0"/>
      </c:catAx>
      <c:valAx>
        <c:axId val="-172445728"/>
        <c:scaling>
          <c:orientation val="minMax"/>
        </c:scaling>
        <c:delete val="0"/>
        <c:axPos val="l"/>
        <c:majorGridlines>
          <c:spPr>
            <a:ln w="9525" cap="flat" cmpd="sng" algn="ctr">
              <a:solidFill>
                <a:schemeClr val="tx1">
                  <a:lumMod val="15000"/>
                  <a:lumOff val="85000"/>
                </a:schemeClr>
              </a:solidFill>
              <a:prstDash val="solid"/>
              <a:round/>
            </a:ln>
            <a:effectLst/>
          </c:spPr>
        </c:majorGridlines>
        <c:numFmt formatCode="General" sourceLinked="1"/>
        <c:majorTickMark val="none"/>
        <c:minorTickMark val="none"/>
        <c:tickLblPos val="nextTo"/>
        <c:spPr>
          <a:noFill/>
          <a:ln w="6350" cap="flat" cmpd="sng" algn="ctr">
            <a:noFill/>
            <a:prstDash val="solid"/>
            <a:round/>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72443008"/>
        <c:crosses val="autoZero"/>
        <c:crossBetween val="between"/>
      </c:valAx>
      <c:spPr>
        <a:noFill/>
        <a:ln>
          <a:noFill/>
        </a:ln>
        <a:effectLst/>
      </c:spPr>
    </c:plotArea>
    <c:legend>
      <c:legendPos val="b"/>
      <c:layout/>
      <c:overlay val="0"/>
      <c:spPr>
        <a:noFill/>
        <a:ln>
          <a:noFill/>
        </a:ln>
        <a:effectLst/>
      </c:spPr>
      <c:txPr>
        <a:bodyPr rot="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rtlCol="0" anchor="t" anchorCtr="1"/>
          <a:lstStyle/>
          <a:p>
            <a:pPr algn="l">
              <a:defRPr lang="zh-CN" sz="1800" b="1" i="0" u="none" strike="noStrike" kern="1200" baseline="0">
                <a:solidFill>
                  <a:schemeClr val="tx1"/>
                </a:solidFill>
                <a:latin typeface="+mn-lt"/>
                <a:ea typeface="+mn-ea"/>
                <a:cs typeface="+mn-cs"/>
              </a:defRPr>
            </a:pPr>
            <a:r>
              <a:rPr lang="zh-CN"/>
              <a:t>社会保障和就业支出</a:t>
            </a:r>
            <a:endParaRPr lang="en-US" sz="1100"/>
          </a:p>
        </c:rich>
      </c:tx>
      <c:layout/>
      <c:overlay val="0"/>
      <c:spPr>
        <a:noFill/>
        <a:ln>
          <a:noFill/>
        </a:ln>
        <a:effectLst/>
      </c:spPr>
    </c:title>
    <c:autoTitleDeleted val="0"/>
    <c:plotArea>
      <c:layout/>
      <c:barChart>
        <c:barDir val="col"/>
        <c:grouping val="clustered"/>
        <c:varyColors val="0"/>
        <c:ser>
          <c:idx val="0"/>
          <c:order val="0"/>
          <c:tx>
            <c:strRef>
              <c:f>Sheet1!$B$1</c:f>
              <c:strCache>
                <c:ptCount val="1"/>
                <c:pt idx="0">
                  <c:v>科目代码</c:v>
                </c:pt>
              </c:strCache>
            </c:strRef>
          </c:tx>
          <c:spPr>
            <a:solidFill>
              <a:schemeClr val="accent1"/>
            </a:solidFill>
            <a:ln>
              <a:noFill/>
            </a:ln>
            <a:effectLst/>
          </c:spPr>
          <c:invertIfNegative val="0"/>
          <c:dLbls>
            <c:delete val="1"/>
          </c:dLbls>
          <c:cat>
            <c:strRef>
              <c:f>Sheet1!$A$2:$A$3</c:f>
              <c:strCache>
                <c:ptCount val="2"/>
                <c:pt idx="0">
                  <c:v>2080505</c:v>
                </c:pt>
                <c:pt idx="1">
                  <c:v>208x</c:v>
                </c:pt>
              </c:strCache>
            </c:strRef>
          </c:cat>
          <c:val>
            <c:numRef>
              <c:f>Sheet1!$B$2:$B$3</c:f>
              <c:numCache>
                <c:formatCode>General</c:formatCode>
                <c:ptCount val="2"/>
                <c:pt idx="0">
                  <c:v>140.66</c:v>
                </c:pt>
                <c:pt idx="1">
                  <c:v>140.66</c:v>
                </c:pt>
              </c:numCache>
            </c:numRef>
          </c:val>
        </c:ser>
        <c:dLbls>
          <c:showLegendKey val="0"/>
          <c:showVal val="0"/>
          <c:showCatName val="0"/>
          <c:showSerName val="0"/>
          <c:showPercent val="0"/>
          <c:showBubbleSize val="0"/>
        </c:dLbls>
        <c:gapWidth val="219"/>
        <c:overlap val="-27"/>
        <c:axId val="-172443008"/>
        <c:axId val="-172445728"/>
      </c:barChart>
      <c:catAx>
        <c:axId val="-172443008"/>
        <c:scaling>
          <c:orientation val="minMax"/>
        </c:scaling>
        <c:delete val="0"/>
        <c:axPos val="b"/>
        <c:numFmt formatCode="General" sourceLinked="0"/>
        <c:majorTickMark val="none"/>
        <c:minorTickMark val="none"/>
        <c:tickLblPos val="nextTo"/>
        <c:spPr>
          <a:noFill/>
          <a:ln w="9525" cap="flat" cmpd="sng" algn="ctr">
            <a:solidFill>
              <a:schemeClr val="tx1">
                <a:lumMod val="15000"/>
                <a:lumOff val="85000"/>
              </a:schemeClr>
            </a:solidFill>
            <a:prstDash val="solid"/>
            <a:round/>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72445728"/>
        <c:crosses val="autoZero"/>
        <c:auto val="1"/>
        <c:lblAlgn val="ctr"/>
        <c:lblOffset val="100"/>
        <c:noMultiLvlLbl val="0"/>
      </c:catAx>
      <c:valAx>
        <c:axId val="-172445728"/>
        <c:scaling>
          <c:orientation val="minMax"/>
        </c:scaling>
        <c:delete val="0"/>
        <c:axPos val="l"/>
        <c:majorGridlines>
          <c:spPr>
            <a:ln w="9525" cap="flat" cmpd="sng" algn="ctr">
              <a:solidFill>
                <a:schemeClr val="tx1">
                  <a:lumMod val="15000"/>
                  <a:lumOff val="85000"/>
                </a:schemeClr>
              </a:solidFill>
              <a:prstDash val="solid"/>
              <a:round/>
            </a:ln>
            <a:effectLst/>
          </c:spPr>
        </c:majorGridlines>
        <c:numFmt formatCode="General" sourceLinked="1"/>
        <c:majorTickMark val="none"/>
        <c:minorTickMark val="none"/>
        <c:tickLblPos val="nextTo"/>
        <c:spPr>
          <a:noFill/>
          <a:ln w="6350" cap="flat" cmpd="sng" algn="ctr">
            <a:noFill/>
            <a:prstDash val="solid"/>
            <a:round/>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72443008"/>
        <c:crosses val="autoZero"/>
        <c:crossBetween val="between"/>
      </c:valAx>
      <c:spPr>
        <a:noFill/>
        <a:ln>
          <a:noFill/>
        </a:ln>
        <a:effectLst/>
      </c:spPr>
    </c:plotArea>
    <c:legend>
      <c:legendPos val="b"/>
      <c:layout/>
      <c:overlay val="0"/>
      <c:spPr>
        <a:noFill/>
        <a:ln>
          <a:noFill/>
        </a:ln>
        <a:effectLst/>
      </c:spPr>
      <c:txPr>
        <a:bodyPr rot="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rtlCol="0" anchor="t" anchorCtr="1"/>
          <a:lstStyle/>
          <a:p>
            <a:pPr algn="l">
              <a:defRPr lang="zh-CN" sz="1800" b="1" i="0" u="none" strike="noStrike" kern="1200" baseline="0">
                <a:solidFill>
                  <a:schemeClr val="tx1"/>
                </a:solidFill>
                <a:latin typeface="+mn-lt"/>
                <a:ea typeface="+mn-ea"/>
                <a:cs typeface="+mn-cs"/>
              </a:defRPr>
            </a:pPr>
            <a:r>
              <a:rPr lang="zh-CN"/>
              <a:t>住房保障支出</a:t>
            </a:r>
            <a:endParaRPr lang="en-US" sz="1100"/>
          </a:p>
        </c:rich>
      </c:tx>
      <c:layout/>
      <c:overlay val="0"/>
      <c:spPr>
        <a:noFill/>
        <a:ln>
          <a:noFill/>
        </a:ln>
        <a:effectLst/>
      </c:spPr>
    </c:title>
    <c:autoTitleDeleted val="0"/>
    <c:plotArea>
      <c:layout/>
      <c:barChart>
        <c:barDir val="col"/>
        <c:grouping val="clustered"/>
        <c:varyColors val="0"/>
        <c:ser>
          <c:idx val="0"/>
          <c:order val="0"/>
          <c:tx>
            <c:strRef>
              <c:f>Sheet1!$B$1</c:f>
              <c:strCache>
                <c:ptCount val="1"/>
                <c:pt idx="0">
                  <c:v>科目代码</c:v>
                </c:pt>
              </c:strCache>
            </c:strRef>
          </c:tx>
          <c:spPr>
            <a:solidFill>
              <a:schemeClr val="accent1"/>
            </a:solidFill>
            <a:ln>
              <a:noFill/>
            </a:ln>
            <a:effectLst/>
          </c:spPr>
          <c:invertIfNegative val="0"/>
          <c:dLbls>
            <c:delete val="1"/>
          </c:dLbls>
          <c:cat>
            <c:strRef>
              <c:f>Sheet1!$A$2:$A$3</c:f>
              <c:strCache>
                <c:ptCount val="2"/>
                <c:pt idx="0">
                  <c:v>2210201</c:v>
                </c:pt>
                <c:pt idx="1">
                  <c:v>221x</c:v>
                </c:pt>
              </c:strCache>
            </c:strRef>
          </c:cat>
          <c:val>
            <c:numRef>
              <c:f>Sheet1!$B$2:$B$3</c:f>
              <c:numCache>
                <c:formatCode>General</c:formatCode>
                <c:ptCount val="2"/>
                <c:pt idx="0">
                  <c:v>106.46</c:v>
                </c:pt>
                <c:pt idx="1">
                  <c:v>106.46</c:v>
                </c:pt>
              </c:numCache>
            </c:numRef>
          </c:val>
        </c:ser>
        <c:dLbls>
          <c:showLegendKey val="0"/>
          <c:showVal val="0"/>
          <c:showCatName val="0"/>
          <c:showSerName val="0"/>
          <c:showPercent val="0"/>
          <c:showBubbleSize val="0"/>
        </c:dLbls>
        <c:gapWidth val="219"/>
        <c:overlap val="-27"/>
        <c:axId val="-172443008"/>
        <c:axId val="-172445728"/>
      </c:barChart>
      <c:catAx>
        <c:axId val="-172443008"/>
        <c:scaling>
          <c:orientation val="minMax"/>
        </c:scaling>
        <c:delete val="0"/>
        <c:axPos val="b"/>
        <c:numFmt formatCode="General" sourceLinked="0"/>
        <c:majorTickMark val="none"/>
        <c:minorTickMark val="none"/>
        <c:tickLblPos val="nextTo"/>
        <c:spPr>
          <a:noFill/>
          <a:ln w="9525" cap="flat" cmpd="sng" algn="ctr">
            <a:solidFill>
              <a:schemeClr val="tx1">
                <a:lumMod val="15000"/>
                <a:lumOff val="85000"/>
              </a:schemeClr>
            </a:solidFill>
            <a:prstDash val="solid"/>
            <a:round/>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72445728"/>
        <c:crosses val="autoZero"/>
        <c:auto val="1"/>
        <c:lblAlgn val="ctr"/>
        <c:lblOffset val="100"/>
        <c:noMultiLvlLbl val="0"/>
      </c:catAx>
      <c:valAx>
        <c:axId val="-172445728"/>
        <c:scaling>
          <c:orientation val="minMax"/>
        </c:scaling>
        <c:delete val="0"/>
        <c:axPos val="l"/>
        <c:majorGridlines>
          <c:spPr>
            <a:ln w="9525" cap="flat" cmpd="sng" algn="ctr">
              <a:solidFill>
                <a:schemeClr val="tx1">
                  <a:lumMod val="15000"/>
                  <a:lumOff val="85000"/>
                </a:schemeClr>
              </a:solidFill>
              <a:prstDash val="solid"/>
              <a:round/>
            </a:ln>
            <a:effectLst/>
          </c:spPr>
        </c:majorGridlines>
        <c:numFmt formatCode="General" sourceLinked="1"/>
        <c:majorTickMark val="none"/>
        <c:minorTickMark val="none"/>
        <c:tickLblPos val="nextTo"/>
        <c:spPr>
          <a:noFill/>
          <a:ln w="6350" cap="flat" cmpd="sng" algn="ctr">
            <a:noFill/>
            <a:prstDash val="solid"/>
            <a:round/>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72443008"/>
        <c:crosses val="autoZero"/>
        <c:crossBetween val="between"/>
      </c:valAx>
      <c:spPr>
        <a:noFill/>
        <a:ln>
          <a:noFill/>
        </a:ln>
        <a:effectLst/>
      </c:spPr>
    </c:plotArea>
    <c:legend>
      <c:legendPos val="b"/>
      <c:layout/>
      <c:overlay val="0"/>
      <c:spPr>
        <a:noFill/>
        <a:ln>
          <a:noFill/>
        </a:ln>
        <a:effectLst/>
      </c:spPr>
      <c:txPr>
        <a:bodyPr rot="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rtlCol="0" anchor="t" anchorCtr="1"/>
          <a:lstStyle/>
          <a:p>
            <a:pPr algn="l">
              <a:defRPr lang="zh-CN" sz="1800" b="1" i="0" u="none" strike="noStrike" kern="1200" baseline="0">
                <a:solidFill>
                  <a:schemeClr val="tx1"/>
                </a:solidFill>
                <a:latin typeface="+mn-lt"/>
                <a:ea typeface="+mn-ea"/>
                <a:cs typeface="+mn-cs"/>
              </a:defRPr>
            </a:pPr>
            <a:r>
              <a:rPr lang="zh-CN"/>
              <a:t>其他支出</a:t>
            </a:r>
            <a:endParaRPr lang="en-US" sz="1100"/>
          </a:p>
        </c:rich>
      </c:tx>
      <c:layout/>
      <c:overlay val="0"/>
      <c:spPr>
        <a:noFill/>
        <a:ln>
          <a:noFill/>
        </a:ln>
        <a:effectLst/>
      </c:spPr>
    </c:title>
    <c:autoTitleDeleted val="0"/>
    <c:plotArea>
      <c:layout/>
      <c:barChart>
        <c:barDir val="col"/>
        <c:grouping val="clustered"/>
        <c:varyColors val="0"/>
        <c:ser>
          <c:idx val="0"/>
          <c:order val="0"/>
          <c:tx>
            <c:strRef>
              <c:f>Sheet1!$B$1</c:f>
              <c:strCache>
                <c:ptCount val="1"/>
                <c:pt idx="0">
                  <c:v>科目代码</c:v>
                </c:pt>
              </c:strCache>
            </c:strRef>
          </c:tx>
          <c:spPr>
            <a:solidFill>
              <a:schemeClr val="accent1"/>
            </a:solidFill>
            <a:ln>
              <a:noFill/>
            </a:ln>
            <a:effectLst/>
          </c:spPr>
          <c:invertIfNegative val="0"/>
          <c:dLbls>
            <c:delete val="1"/>
          </c:dLbls>
          <c:cat>
            <c:strRef>
              <c:f>Sheet1!$A$2:$A$3</c:f>
              <c:strCache>
                <c:ptCount val="2"/>
                <c:pt idx="0">
                  <c:v>2299999</c:v>
                </c:pt>
                <c:pt idx="1">
                  <c:v>229x</c:v>
                </c:pt>
              </c:strCache>
            </c:strRef>
          </c:cat>
          <c:val>
            <c:numRef>
              <c:f>Sheet1!$B$2:$B$3</c:f>
              <c:numCache>
                <c:formatCode>General</c:formatCode>
                <c:ptCount val="2"/>
                <c:pt idx="0">
                  <c:v>183.12</c:v>
                </c:pt>
                <c:pt idx="1">
                  <c:v>183.12</c:v>
                </c:pt>
              </c:numCache>
            </c:numRef>
          </c:val>
        </c:ser>
        <c:dLbls>
          <c:showLegendKey val="0"/>
          <c:showVal val="0"/>
          <c:showCatName val="0"/>
          <c:showSerName val="0"/>
          <c:showPercent val="0"/>
          <c:showBubbleSize val="0"/>
        </c:dLbls>
        <c:gapWidth val="219"/>
        <c:overlap val="-27"/>
        <c:axId val="-172443008"/>
        <c:axId val="-172445728"/>
      </c:barChart>
      <c:catAx>
        <c:axId val="-172443008"/>
        <c:scaling>
          <c:orientation val="minMax"/>
        </c:scaling>
        <c:delete val="0"/>
        <c:axPos val="b"/>
        <c:numFmt formatCode="General" sourceLinked="0"/>
        <c:majorTickMark val="none"/>
        <c:minorTickMark val="none"/>
        <c:tickLblPos val="nextTo"/>
        <c:spPr>
          <a:noFill/>
          <a:ln w="9525" cap="flat" cmpd="sng" algn="ctr">
            <a:solidFill>
              <a:schemeClr val="tx1">
                <a:lumMod val="15000"/>
                <a:lumOff val="85000"/>
              </a:schemeClr>
            </a:solidFill>
            <a:prstDash val="solid"/>
            <a:round/>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72445728"/>
        <c:crosses val="autoZero"/>
        <c:auto val="1"/>
        <c:lblAlgn val="ctr"/>
        <c:lblOffset val="100"/>
        <c:noMultiLvlLbl val="0"/>
      </c:catAx>
      <c:valAx>
        <c:axId val="-172445728"/>
        <c:scaling>
          <c:orientation val="minMax"/>
        </c:scaling>
        <c:delete val="0"/>
        <c:axPos val="l"/>
        <c:majorGridlines>
          <c:spPr>
            <a:ln w="9525" cap="flat" cmpd="sng" algn="ctr">
              <a:solidFill>
                <a:schemeClr val="tx1">
                  <a:lumMod val="15000"/>
                  <a:lumOff val="85000"/>
                </a:schemeClr>
              </a:solidFill>
              <a:prstDash val="solid"/>
              <a:round/>
            </a:ln>
            <a:effectLst/>
          </c:spPr>
        </c:majorGridlines>
        <c:numFmt formatCode="General" sourceLinked="1"/>
        <c:majorTickMark val="none"/>
        <c:minorTickMark val="none"/>
        <c:tickLblPos val="nextTo"/>
        <c:spPr>
          <a:noFill/>
          <a:ln w="6350" cap="flat" cmpd="sng" algn="ctr">
            <a:noFill/>
            <a:prstDash val="solid"/>
            <a:round/>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72443008"/>
        <c:crosses val="autoZero"/>
        <c:crossBetween val="between"/>
      </c:valAx>
      <c:spPr>
        <a:noFill/>
        <a:ln>
          <a:noFill/>
        </a:ln>
        <a:effectLst/>
      </c:spPr>
    </c:plotArea>
    <c:legend>
      <c:legendPos val="b"/>
      <c:layout/>
      <c:overlay val="0"/>
      <c:spPr>
        <a:noFill/>
        <a:ln>
          <a:noFill/>
        </a:ln>
        <a:effectLst/>
      </c:spPr>
      <c:txPr>
        <a:bodyPr rot="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0"/>
  </c:externalData>
</c:chartSpace>
</file>

<file path=word/charts/chart8.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rtlCol="0" anchor="t" anchorCtr="1"/>
          <a:lstStyle/>
          <a:p>
            <a:pPr algn="l">
              <a:defRPr lang="zh-CN" sz="1800" b="1" i="0" u="none" strike="noStrike" kern="1200" baseline="0">
                <a:solidFill>
                  <a:schemeClr val="tx1"/>
                </a:solidFill>
                <a:latin typeface="+mn-lt"/>
                <a:ea typeface="+mn-ea"/>
                <a:cs typeface="+mn-cs"/>
              </a:defRPr>
            </a:pPr>
            <a:r>
              <a:rPr lang="zh-CN"/>
              <a:t>工资福利支出</a:t>
            </a:r>
            <a:endParaRPr lang="en-US" sz="1100"/>
          </a:p>
        </c:rich>
      </c:tx>
      <c:layout/>
      <c:overlay val="0"/>
      <c:spPr>
        <a:noFill/>
        <a:ln>
          <a:noFill/>
        </a:ln>
        <a:effectLst/>
      </c:spPr>
    </c:title>
    <c:autoTitleDeleted val="0"/>
    <c:plotArea>
      <c:layout/>
      <c:barChart>
        <c:barDir val="col"/>
        <c:grouping val="clustered"/>
        <c:varyColors val="0"/>
        <c:ser>
          <c:idx val="0"/>
          <c:order val="0"/>
          <c:tx>
            <c:strRef>
              <c:f>Sheet1!$B$1</c:f>
              <c:strCache>
                <c:ptCount val="1"/>
                <c:pt idx="0">
                  <c:v>科目代码</c:v>
                </c:pt>
              </c:strCache>
            </c:strRef>
          </c:tx>
          <c:spPr>
            <a:solidFill>
              <a:schemeClr val="accent1"/>
            </a:solidFill>
            <a:ln>
              <a:noFill/>
            </a:ln>
            <a:effectLst/>
          </c:spPr>
          <c:invertIfNegative val="0"/>
          <c:dLbls>
            <c:delete val="1"/>
          </c:dLbls>
          <c:cat>
            <c:numRef>
              <c:f>Sheet1!$A$2:$A$14</c:f>
              <c:numCache>
                <c:formatCode>General</c:formatCode>
                <c:ptCount val="13"/>
                <c:pt idx="0">
                  <c:v>30101</c:v>
                </c:pt>
                <c:pt idx="1">
                  <c:v>30102</c:v>
                </c:pt>
                <c:pt idx="2">
                  <c:v>30103</c:v>
                </c:pt>
                <c:pt idx="3">
                  <c:v>30106</c:v>
                </c:pt>
                <c:pt idx="4">
                  <c:v>30107</c:v>
                </c:pt>
                <c:pt idx="5">
                  <c:v>30108</c:v>
                </c:pt>
                <c:pt idx="6">
                  <c:v>30109</c:v>
                </c:pt>
                <c:pt idx="7">
                  <c:v>30110</c:v>
                </c:pt>
                <c:pt idx="8">
                  <c:v>30111</c:v>
                </c:pt>
                <c:pt idx="9">
                  <c:v>30112</c:v>
                </c:pt>
                <c:pt idx="10">
                  <c:v>30113</c:v>
                </c:pt>
                <c:pt idx="11">
                  <c:v>30114</c:v>
                </c:pt>
                <c:pt idx="12">
                  <c:v>30199</c:v>
                </c:pt>
              </c:numCache>
            </c:numRef>
          </c:cat>
          <c:val>
            <c:numRef>
              <c:f>Sheet1!$B$2:$B$14</c:f>
              <c:numCache>
                <c:formatCode>General</c:formatCode>
                <c:ptCount val="13"/>
                <c:pt idx="0">
                  <c:v>518.42</c:v>
                </c:pt>
                <c:pt idx="1">
                  <c:v>45.6</c:v>
                </c:pt>
                <c:pt idx="2">
                  <c:v>95.39</c:v>
                </c:pt>
                <c:pt idx="3">
                  <c:v>0</c:v>
                </c:pt>
                <c:pt idx="4">
                  <c:v>210.22</c:v>
                </c:pt>
                <c:pt idx="5">
                  <c:v>140.66</c:v>
                </c:pt>
                <c:pt idx="6">
                  <c:v>0</c:v>
                </c:pt>
                <c:pt idx="7">
                  <c:v>61.09</c:v>
                </c:pt>
                <c:pt idx="8">
                  <c:v>0</c:v>
                </c:pt>
                <c:pt idx="9">
                  <c:v>7.92</c:v>
                </c:pt>
                <c:pt idx="10">
                  <c:v>106.46</c:v>
                </c:pt>
                <c:pt idx="11">
                  <c:v>0</c:v>
                </c:pt>
                <c:pt idx="12">
                  <c:v>0</c:v>
                </c:pt>
              </c:numCache>
            </c:numRef>
          </c:val>
        </c:ser>
        <c:dLbls>
          <c:showLegendKey val="0"/>
          <c:showVal val="0"/>
          <c:showCatName val="0"/>
          <c:showSerName val="0"/>
          <c:showPercent val="0"/>
          <c:showBubbleSize val="0"/>
        </c:dLbls>
        <c:gapWidth val="219"/>
        <c:overlap val="-27"/>
        <c:axId val="-172441920"/>
        <c:axId val="-172441376"/>
      </c:barChart>
      <c:catAx>
        <c:axId val="-172441920"/>
        <c:scaling>
          <c:orientation val="minMax"/>
        </c:scaling>
        <c:delete val="0"/>
        <c:axPos val="b"/>
        <c:numFmt formatCode="General" sourceLinked="0"/>
        <c:majorTickMark val="none"/>
        <c:minorTickMark val="none"/>
        <c:tickLblPos val="nextTo"/>
        <c:spPr>
          <a:noFill/>
          <a:ln w="9525" cap="flat" cmpd="sng" algn="ctr">
            <a:solidFill>
              <a:schemeClr val="tx1">
                <a:lumMod val="15000"/>
                <a:lumOff val="85000"/>
              </a:schemeClr>
            </a:solidFill>
            <a:prstDash val="solid"/>
            <a:round/>
          </a:ln>
          <a:effectLst/>
        </c:spPr>
        <c:txPr>
          <a:bodyPr rot="0" spcFirstLastPara="1" vertOverflow="ellipsis" vert="eaVert"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72441376"/>
        <c:crosses val="autoZero"/>
        <c:auto val="1"/>
        <c:lblAlgn val="ctr"/>
        <c:lblOffset val="100"/>
        <c:noMultiLvlLbl val="0"/>
      </c:catAx>
      <c:valAx>
        <c:axId val="-172441376"/>
        <c:scaling>
          <c:orientation val="minMax"/>
        </c:scaling>
        <c:delete val="0"/>
        <c:axPos val="l"/>
        <c:majorGridlines>
          <c:spPr>
            <a:ln w="9525" cap="flat" cmpd="sng" algn="ctr">
              <a:solidFill>
                <a:schemeClr val="tx1">
                  <a:lumMod val="15000"/>
                  <a:lumOff val="85000"/>
                </a:schemeClr>
              </a:solidFill>
              <a:prstDash val="solid"/>
              <a:round/>
            </a:ln>
            <a:effectLst/>
          </c:spPr>
        </c:majorGridlines>
        <c:numFmt formatCode="General" sourceLinked="1"/>
        <c:majorTickMark val="none"/>
        <c:minorTickMark val="none"/>
        <c:tickLblPos val="nextTo"/>
        <c:spPr>
          <a:noFill/>
          <a:ln w="6350" cap="flat" cmpd="sng" algn="ctr">
            <a:noFill/>
            <a:prstDash val="solid"/>
            <a:round/>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72441920"/>
        <c:crosses val="autoZero"/>
        <c:crossBetween val="between"/>
      </c:valAx>
      <c:spPr>
        <a:noFill/>
        <a:ln>
          <a:noFill/>
        </a:ln>
        <a:effectLst/>
      </c:spPr>
    </c:plotArea>
    <c:legend>
      <c:legendPos val="b"/>
      <c:layout/>
      <c:overlay val="0"/>
      <c:spPr>
        <a:noFill/>
        <a:ln>
          <a:noFill/>
        </a:ln>
        <a:effectLst/>
      </c:spPr>
      <c:txPr>
        <a:bodyPr rot="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0"/>
  </c:externalData>
</c:chartSpace>
</file>

<file path=word/charts/chart9.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rtlCol="0" anchor="t" anchorCtr="1"/>
          <a:lstStyle/>
          <a:p>
            <a:pPr algn="l">
              <a:defRPr lang="zh-CN" sz="1800" b="1" i="0" u="none" strike="noStrike" kern="1200" baseline="0">
                <a:solidFill>
                  <a:schemeClr val="tx1"/>
                </a:solidFill>
                <a:latin typeface="+mn-lt"/>
                <a:ea typeface="+mn-ea"/>
                <a:cs typeface="+mn-cs"/>
              </a:defRPr>
            </a:pPr>
            <a:r>
              <a:rPr lang="zh-CN"/>
              <a:t>商品和服务支出</a:t>
            </a:r>
            <a:endParaRPr lang="en-US" sz="1100"/>
          </a:p>
        </c:rich>
      </c:tx>
      <c:layout/>
      <c:overlay val="0"/>
      <c:spPr>
        <a:noFill/>
        <a:ln>
          <a:noFill/>
        </a:ln>
        <a:effectLst/>
      </c:spPr>
    </c:title>
    <c:autoTitleDeleted val="0"/>
    <c:plotArea>
      <c:layout/>
      <c:barChart>
        <c:barDir val="col"/>
        <c:grouping val="clustered"/>
        <c:varyColors val="0"/>
        <c:ser>
          <c:idx val="0"/>
          <c:order val="0"/>
          <c:tx>
            <c:strRef>
              <c:f>Sheet1!$B$1</c:f>
              <c:strCache>
                <c:ptCount val="1"/>
                <c:pt idx="0">
                  <c:v>科目代码</c:v>
                </c:pt>
              </c:strCache>
            </c:strRef>
          </c:tx>
          <c:spPr>
            <a:solidFill>
              <a:schemeClr val="accent1"/>
            </a:solidFill>
            <a:ln>
              <a:noFill/>
            </a:ln>
            <a:effectLst/>
          </c:spPr>
          <c:invertIfNegative val="0"/>
          <c:dLbls>
            <c:delete val="1"/>
          </c:dLbls>
          <c:cat>
            <c:numRef>
              <c:f>Sheet1!$A$2:$A$28</c:f>
              <c:numCache>
                <c:formatCode>General</c:formatCode>
                <c:ptCount val="27"/>
                <c:pt idx="0">
                  <c:v>30201</c:v>
                </c:pt>
                <c:pt idx="1">
                  <c:v>30202</c:v>
                </c:pt>
                <c:pt idx="2">
                  <c:v>30203</c:v>
                </c:pt>
                <c:pt idx="3">
                  <c:v>30204</c:v>
                </c:pt>
                <c:pt idx="4">
                  <c:v>30205</c:v>
                </c:pt>
                <c:pt idx="5">
                  <c:v>30206</c:v>
                </c:pt>
                <c:pt idx="6">
                  <c:v>30207</c:v>
                </c:pt>
                <c:pt idx="7">
                  <c:v>30208</c:v>
                </c:pt>
                <c:pt idx="8">
                  <c:v>30209</c:v>
                </c:pt>
                <c:pt idx="9">
                  <c:v>30211</c:v>
                </c:pt>
                <c:pt idx="10">
                  <c:v>30212</c:v>
                </c:pt>
                <c:pt idx="11">
                  <c:v>30213</c:v>
                </c:pt>
                <c:pt idx="12">
                  <c:v>30214</c:v>
                </c:pt>
                <c:pt idx="13">
                  <c:v>30215</c:v>
                </c:pt>
                <c:pt idx="14">
                  <c:v>30216</c:v>
                </c:pt>
                <c:pt idx="15">
                  <c:v>30217</c:v>
                </c:pt>
                <c:pt idx="16">
                  <c:v>30218</c:v>
                </c:pt>
                <c:pt idx="17">
                  <c:v>30224</c:v>
                </c:pt>
                <c:pt idx="18">
                  <c:v>30225</c:v>
                </c:pt>
                <c:pt idx="19">
                  <c:v>30226</c:v>
                </c:pt>
                <c:pt idx="20">
                  <c:v>30227</c:v>
                </c:pt>
                <c:pt idx="21">
                  <c:v>30228</c:v>
                </c:pt>
                <c:pt idx="22">
                  <c:v>30229</c:v>
                </c:pt>
                <c:pt idx="23">
                  <c:v>30231</c:v>
                </c:pt>
                <c:pt idx="24">
                  <c:v>30239</c:v>
                </c:pt>
                <c:pt idx="25">
                  <c:v>30240</c:v>
                </c:pt>
                <c:pt idx="26">
                  <c:v>30299</c:v>
                </c:pt>
              </c:numCache>
            </c:numRef>
          </c:cat>
          <c:val>
            <c:numRef>
              <c:f>Sheet1!$B$2:$B$28</c:f>
              <c:numCache>
                <c:formatCode>General</c:formatCode>
                <c:ptCount val="27"/>
                <c:pt idx="0">
                  <c:v>56.55</c:v>
                </c:pt>
                <c:pt idx="1">
                  <c:v>0</c:v>
                </c:pt>
                <c:pt idx="2">
                  <c:v>0</c:v>
                </c:pt>
                <c:pt idx="3">
                  <c:v>0</c:v>
                </c:pt>
                <c:pt idx="4">
                  <c:v>33.03</c:v>
                </c:pt>
                <c:pt idx="5">
                  <c:v>31.75</c:v>
                </c:pt>
                <c:pt idx="6">
                  <c:v>14.18</c:v>
                </c:pt>
                <c:pt idx="7">
                  <c:v>0</c:v>
                </c:pt>
                <c:pt idx="8">
                  <c:v>0.05</c:v>
                </c:pt>
                <c:pt idx="9">
                  <c:v>0.57</c:v>
                </c:pt>
                <c:pt idx="10">
                  <c:v>0</c:v>
                </c:pt>
                <c:pt idx="11">
                  <c:v>47.31</c:v>
                </c:pt>
                <c:pt idx="12">
                  <c:v>0</c:v>
                </c:pt>
                <c:pt idx="13">
                  <c:v>0</c:v>
                </c:pt>
                <c:pt idx="14">
                  <c:v>0</c:v>
                </c:pt>
                <c:pt idx="15">
                  <c:v>0</c:v>
                </c:pt>
                <c:pt idx="16">
                  <c:v>0</c:v>
                </c:pt>
                <c:pt idx="17">
                  <c:v>0</c:v>
                </c:pt>
                <c:pt idx="18">
                  <c:v>0</c:v>
                </c:pt>
                <c:pt idx="19">
                  <c:v>3.6</c:v>
                </c:pt>
                <c:pt idx="20">
                  <c:v>0</c:v>
                </c:pt>
                <c:pt idx="21">
                  <c:v>18.19</c:v>
                </c:pt>
                <c:pt idx="22">
                  <c:v>0</c:v>
                </c:pt>
                <c:pt idx="23">
                  <c:v>0</c:v>
                </c:pt>
                <c:pt idx="24">
                  <c:v>0</c:v>
                </c:pt>
                <c:pt idx="25">
                  <c:v>0</c:v>
                </c:pt>
                <c:pt idx="26">
                  <c:v>0</c:v>
                </c:pt>
              </c:numCache>
            </c:numRef>
          </c:val>
        </c:ser>
        <c:dLbls>
          <c:showLegendKey val="0"/>
          <c:showVal val="0"/>
          <c:showCatName val="0"/>
          <c:showSerName val="0"/>
          <c:showPercent val="0"/>
          <c:showBubbleSize val="0"/>
        </c:dLbls>
        <c:gapWidth val="219"/>
        <c:overlap val="-27"/>
        <c:axId val="-172441920"/>
        <c:axId val="-172441376"/>
      </c:barChart>
      <c:catAx>
        <c:axId val="-172441920"/>
        <c:scaling>
          <c:orientation val="minMax"/>
        </c:scaling>
        <c:delete val="0"/>
        <c:axPos val="b"/>
        <c:numFmt formatCode="General" sourceLinked="0"/>
        <c:majorTickMark val="none"/>
        <c:minorTickMark val="none"/>
        <c:tickLblPos val="nextTo"/>
        <c:spPr>
          <a:noFill/>
          <a:ln w="9525" cap="flat" cmpd="sng" algn="ctr">
            <a:solidFill>
              <a:schemeClr val="tx1">
                <a:lumMod val="15000"/>
                <a:lumOff val="85000"/>
              </a:schemeClr>
            </a:solidFill>
            <a:prstDash val="solid"/>
            <a:round/>
          </a:ln>
          <a:effectLst/>
        </c:spPr>
        <c:txPr>
          <a:bodyPr rot="0" spcFirstLastPara="1" vertOverflow="ellipsis" vert="eaVert"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72441376"/>
        <c:crosses val="autoZero"/>
        <c:auto val="1"/>
        <c:lblAlgn val="ctr"/>
        <c:lblOffset val="100"/>
        <c:noMultiLvlLbl val="0"/>
      </c:catAx>
      <c:valAx>
        <c:axId val="-172441376"/>
        <c:scaling>
          <c:orientation val="minMax"/>
        </c:scaling>
        <c:delete val="0"/>
        <c:axPos val="l"/>
        <c:majorGridlines>
          <c:spPr>
            <a:ln w="9525" cap="flat" cmpd="sng" algn="ctr">
              <a:solidFill>
                <a:schemeClr val="tx1">
                  <a:lumMod val="15000"/>
                  <a:lumOff val="85000"/>
                </a:schemeClr>
              </a:solidFill>
              <a:prstDash val="solid"/>
              <a:round/>
            </a:ln>
            <a:effectLst/>
          </c:spPr>
        </c:majorGridlines>
        <c:numFmt formatCode="General" sourceLinked="1"/>
        <c:majorTickMark val="none"/>
        <c:minorTickMark val="none"/>
        <c:tickLblPos val="nextTo"/>
        <c:spPr>
          <a:noFill/>
          <a:ln w="6350" cap="flat" cmpd="sng" algn="ctr">
            <a:noFill/>
            <a:prstDash val="solid"/>
            <a:round/>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72441920"/>
        <c:crosses val="autoZero"/>
        <c:crossBetween val="between"/>
      </c:valAx>
      <c:spPr>
        <a:noFill/>
        <a:ln>
          <a:noFill/>
        </a:ln>
        <a:effectLst/>
      </c:spPr>
    </c:plotArea>
    <c:legend>
      <c:legendPos val="b"/>
      <c:layout/>
      <c:overlay val="0"/>
      <c:spPr>
        <a:noFill/>
        <a:ln>
          <a:noFill/>
        </a:ln>
        <a:effectLst/>
      </c:spPr>
      <c:txPr>
        <a:bodyPr rot="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30</Pages>
  <Words>6615</Words>
  <Characters>13844</Characters>
  <Lines>90</Lines>
  <Paragraphs>25</Paragraphs>
  <TotalTime>2</TotalTime>
  <ScaleCrop>false</ScaleCrop>
  <LinksUpToDate>false</LinksUpToDate>
  <CharactersWithSpaces>13937</CharactersWithSpaces>
  <Application>WPS Office_11.8.2.12089_F1E327BC-269C-435d-A152-05C5408002CA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2023-08-17T10:06:00Z</dcterms:created>
  <dc:creator>C D D</dc:creator>
  <cp:lastModifiedBy>Administrator</cp:lastModifiedBy>
  <dcterms:modified xsi:type="dcterms:W3CDTF">2023-11-28T04:02:21Z</dcterms:modified>
  <cp:revision>57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2052-11.8.2.12089</vt:lpwstr>
  </property>
  <property fmtid="{D5CDD505-2E9C-101B-9397-08002B2CF9AE}" pid="3" name="ICV">
    <vt:lpwstr>843F27823027460BAAAF19DF60EFFF0C_13</vt:lpwstr>
  </property>
</Properties>
</file>