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环江毛南族自治县第二小学</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hint="default" w:ascii="仿宋" w:hAnsi="仿宋" w:eastAsia="仿宋" w:cs="仿宋"/>
          <w:color w:val="auto"/>
          <w:sz w:val="32"/>
          <w:szCs w:val="32"/>
          <w:highlight w:val="none"/>
          <w:lang w:val="en-US"/>
        </w:rPr>
      </w:pPr>
      <w:r>
        <w:rPr>
          <w:rFonts w:hint="eastAsia" w:ascii="黑体" w:hAnsi="黑体" w:eastAsia="黑体" w:cs="黑体"/>
          <w:sz w:val="36"/>
          <w:szCs w:val="36"/>
          <w:lang w:val="en-US" w:eastAsia="zh-CN"/>
        </w:rPr>
        <w:t xml:space="preserve">                单位负责人：莫陶微</w:t>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环江毛南族自治县第二小学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环江毛南族自治县第二小学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环江毛南族自治县第二小学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环江毛南族自治县第二小学</w:t>
      </w:r>
      <w:r>
        <w:rPr>
          <w:rFonts w:hint="eastAsia" w:ascii="黑体" w:hAnsi="黑体" w:eastAsia="黑体" w:cs="黑体"/>
          <w:b/>
          <w:bCs/>
          <w:sz w:val="32"/>
          <w:szCs w:val="32"/>
          <w:highlight w:val="none"/>
        </w:rPr>
        <w:t>概况</w:t>
      </w:r>
    </w:p>
    <w:p>
      <w:pPr>
        <w:ind w:firstLine="646"/>
        <w:rPr>
          <w:rFonts w:hint="eastAsia" w:ascii="仿宋_GB2312" w:eastAsia="仿宋_GB2312"/>
          <w:b/>
          <w:bCs/>
          <w:sz w:val="32"/>
          <w:szCs w:val="32"/>
        </w:rPr>
      </w:pPr>
      <w:r>
        <w:rPr>
          <w:rFonts w:hint="eastAsia" w:ascii="仿宋_GB2312" w:eastAsia="仿宋_GB2312"/>
          <w:b/>
          <w:bCs/>
          <w:sz w:val="32"/>
          <w:szCs w:val="32"/>
        </w:rPr>
        <w:t>一、主要职能</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负责贯彻党的教育方针，坚持社会主义办学方向，实行教育与生产劳动相结合，对学生进行德育、智育、体育、美育和劳动等方面的教育。</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（二）</w:t>
      </w:r>
      <w:r>
        <w:rPr>
          <w:rFonts w:hint="eastAsia" w:ascii="仿宋_GB2312" w:eastAsia="仿宋_GB2312" w:cs="仿宋_GB2312"/>
          <w:kern w:val="0"/>
          <w:sz w:val="32"/>
          <w:szCs w:val="32"/>
        </w:rPr>
        <w:t>负责依法制定学校章程，并按照章程自主管理。</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负责配合各级人民政府依法动员、组织适龄儿童、少年入学，严格控制学生辍学，依法保证适龄儿童、少年接受九年义务教育。</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rPr>
        <w:t>负责制定学校教育发展规划，并抓好组织实施和落实工作。</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负责按照教育主管部门发布的指导性教学计划、教学大纲，组织实施教育教学活动。</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负责依据国家教育主管部门有关教学计划、课程设置等方面的规定，决定和实施本校的教学计划，组织教学评比、集体备课，对学生进行统考核、考试等。</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ascii="仿宋_GB2312" w:eastAsia="仿宋_GB2312" w:cs="仿宋_GB2312"/>
          <w:kern w:val="0"/>
          <w:sz w:val="32"/>
          <w:szCs w:val="32"/>
        </w:rPr>
        <w:t>负责学籍管理并对学生实施奖励或处分</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负责依法制定本校教师及其他职工聘任办法并对教师及其他员工实施包括奖励、处分在内的具体管理活动，依法聘任、解聘有关教师和其他职1</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（九）</w:t>
      </w:r>
      <w:r>
        <w:rPr>
          <w:rFonts w:hint="eastAsia" w:ascii="仿宋_GB2312" w:eastAsia="仿宋_GB2312" w:cs="仿宋_GB2312"/>
          <w:kern w:val="0"/>
          <w:sz w:val="32"/>
          <w:szCs w:val="32"/>
        </w:rPr>
        <w:t>负责聘任、培训、考核教师，依法奖励或处分教师和其他职工</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（十）负责科学管理、合理使用学校的设施和经费并积极筹措资金，改善办学条件</w:t>
      </w:r>
      <w:r>
        <w:rPr>
          <w:rFonts w:hint="eastAsia" w:ascii="仿宋_GB2312" w:eastAsia="仿宋_GB2312" w:cs="仿宋_GB2312"/>
          <w:kern w:val="0"/>
          <w:sz w:val="32"/>
          <w:szCs w:val="32"/>
        </w:rPr>
        <w:t>。</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（十一）</w:t>
      </w:r>
      <w:r>
        <w:rPr>
          <w:rFonts w:hint="eastAsia" w:ascii="仿宋_GB2312" w:eastAsia="仿宋_GB2312" w:cs="仿宋_GB2312"/>
          <w:kern w:val="0"/>
          <w:sz w:val="32"/>
          <w:szCs w:val="32"/>
        </w:rPr>
        <w:t>负责维护学校、师生的合法权益，有权拒绝任何组织和个人对教育教学活动进行非法干</w:t>
      </w:r>
    </w:p>
    <w:p>
      <w:pPr>
        <w:ind w:firstLine="646"/>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（十二）</w:t>
      </w:r>
      <w:r>
        <w:rPr>
          <w:rFonts w:hint="eastAsia" w:ascii="仿宋_GB2312" w:eastAsia="仿宋_GB2312" w:cs="仿宋_GB2312"/>
          <w:kern w:val="0"/>
          <w:sz w:val="32"/>
          <w:szCs w:val="32"/>
        </w:rPr>
        <w:t>依法接受各级教育行政部门的检查指导和人民群众的监督</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20" w:firstLineChars="193"/>
        <w:textAlignment w:val="auto"/>
        <w:outlineLvl w:val="9"/>
        <w:rPr>
          <w:rFonts w:hint="eastAsia" w:ascii="宋体" w:hAnsi="宋体" w:eastAsia="宋体" w:cs="宋体"/>
          <w:b/>
          <w:bCs/>
          <w:color w:val="333333"/>
          <w:sz w:val="32"/>
          <w:szCs w:val="32"/>
        </w:rPr>
      </w:pPr>
      <w:r>
        <w:rPr>
          <w:rFonts w:hint="eastAsia" w:ascii="宋体" w:hAnsi="宋体" w:eastAsia="宋体" w:cs="宋体"/>
          <w:b/>
          <w:bCs/>
          <w:color w:val="333333"/>
          <w:sz w:val="32"/>
          <w:szCs w:val="32"/>
          <w:lang w:eastAsia="zh-CN"/>
        </w:rPr>
        <w:t>二、机构设置情况</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有</w:t>
      </w:r>
      <w:r>
        <w:rPr>
          <w:rFonts w:hint="eastAsia" w:ascii="仿宋_GB2312" w:hAnsi="宋体" w:eastAsia="仿宋_GB2312" w:cs="宋体"/>
          <w:sz w:val="32"/>
          <w:szCs w:val="32"/>
          <w:lang w:val="en-US" w:eastAsia="zh-CN"/>
        </w:rPr>
        <w:t>七</w:t>
      </w:r>
      <w:r>
        <w:rPr>
          <w:rFonts w:hint="eastAsia" w:ascii="仿宋_GB2312" w:hAnsi="宋体" w:eastAsia="仿宋_GB2312" w:cs="宋体"/>
          <w:sz w:val="32"/>
          <w:szCs w:val="32"/>
          <w:lang w:eastAsia="zh-CN"/>
        </w:rPr>
        <w:t>个内设机构，分别为：党工委办公室、行政办公室、</w:t>
      </w:r>
      <w:r>
        <w:rPr>
          <w:rFonts w:hint="eastAsia" w:ascii="仿宋_GB2312" w:hAnsi="宋体" w:eastAsia="仿宋_GB2312" w:cs="宋体"/>
          <w:sz w:val="32"/>
          <w:szCs w:val="32"/>
          <w:lang w:val="en-US" w:eastAsia="zh-CN"/>
        </w:rPr>
        <w:t>工会室、安全办、政教处、教务处、总务处</w:t>
      </w:r>
      <w:r>
        <w:rPr>
          <w:rFonts w:hint="eastAsia" w:ascii="仿宋_GB2312" w:hAnsi="宋体" w:eastAsia="仿宋_GB2312" w:cs="宋体"/>
          <w:sz w:val="32"/>
          <w:szCs w:val="32"/>
          <w:lang w:eastAsia="zh-CN"/>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sz w:val="32"/>
          <w:szCs w:val="32"/>
        </w:rPr>
      </w:pPr>
      <w:r>
        <w:rPr>
          <w:rFonts w:hint="eastAsia" w:ascii="宋体" w:hAnsi="宋体" w:eastAsia="宋体" w:cs="宋体"/>
          <w:b/>
          <w:sz w:val="28"/>
          <w:szCs w:val="28"/>
          <w:lang w:val="en-US" w:eastAsia="zh-CN"/>
        </w:rPr>
        <w:t xml:space="preserve">   </w:t>
      </w:r>
      <w:r>
        <w:rPr>
          <w:rFonts w:hint="eastAsia" w:ascii="宋体" w:hAnsi="宋体" w:cs="宋体"/>
          <w:b/>
          <w:sz w:val="28"/>
          <w:szCs w:val="28"/>
          <w:lang w:val="en-US" w:eastAsia="zh-CN"/>
        </w:rPr>
        <w:t xml:space="preserve"> </w:t>
      </w:r>
      <w:r>
        <w:rPr>
          <w:rFonts w:hint="eastAsia" w:ascii="宋体" w:hAnsi="宋体" w:eastAsia="宋体" w:cs="宋体"/>
          <w:b/>
          <w:sz w:val="32"/>
          <w:szCs w:val="32"/>
          <w:lang w:eastAsia="zh-CN"/>
        </w:rPr>
        <w:t>三</w:t>
      </w:r>
      <w:r>
        <w:rPr>
          <w:rFonts w:hint="eastAsia" w:ascii="宋体" w:hAnsi="宋体" w:eastAsia="宋体" w:cs="宋体"/>
          <w:b/>
          <w:sz w:val="32"/>
          <w:szCs w:val="32"/>
        </w:rPr>
        <w:t>、</w:t>
      </w:r>
      <w:r>
        <w:rPr>
          <w:rFonts w:hint="eastAsia" w:ascii="宋体" w:hAnsi="宋体" w:eastAsia="宋体" w:cs="宋体"/>
          <w:b/>
          <w:sz w:val="32"/>
          <w:szCs w:val="32"/>
          <w:lang w:eastAsia="zh-CN"/>
        </w:rPr>
        <w:t>人员</w:t>
      </w:r>
      <w:r>
        <w:rPr>
          <w:rFonts w:hint="eastAsia" w:ascii="宋体" w:hAnsi="宋体" w:cs="宋体"/>
          <w:b/>
          <w:sz w:val="32"/>
          <w:szCs w:val="32"/>
          <w:lang w:eastAsia="zh-CN"/>
        </w:rPr>
        <w:t>构成</w:t>
      </w:r>
      <w:r>
        <w:rPr>
          <w:rFonts w:hint="eastAsia" w:ascii="宋体" w:hAnsi="宋体" w:eastAsia="宋体" w:cs="宋体"/>
          <w:b/>
          <w:sz w:val="32"/>
          <w:szCs w:val="32"/>
        </w:rPr>
        <w:t>情况</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lang w:eastAsia="zh-CN"/>
        </w:rPr>
        <w:t>年</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总编制人数</w:t>
      </w:r>
      <w:r>
        <w:rPr>
          <w:rFonts w:hint="eastAsia" w:ascii="仿宋_GB2312" w:hAnsi="宋体" w:eastAsia="仿宋_GB2312" w:cs="宋体"/>
          <w:sz w:val="32"/>
          <w:szCs w:val="32"/>
          <w:lang w:val="en-US" w:eastAsia="zh-CN"/>
        </w:rPr>
        <w:t>80</w:t>
      </w:r>
      <w:r>
        <w:rPr>
          <w:rFonts w:hint="eastAsia" w:ascii="仿宋_GB2312" w:hAnsi="宋体" w:eastAsia="仿宋_GB2312" w:cs="宋体"/>
          <w:sz w:val="32"/>
          <w:szCs w:val="32"/>
          <w:lang w:eastAsia="zh-CN"/>
        </w:rPr>
        <w:t>人，其中事业编制数</w:t>
      </w:r>
      <w:r>
        <w:rPr>
          <w:rFonts w:hint="eastAsia" w:ascii="仿宋_GB2312" w:hAnsi="宋体" w:eastAsia="仿宋_GB2312" w:cs="宋体"/>
          <w:sz w:val="32"/>
          <w:szCs w:val="32"/>
          <w:lang w:val="en-US" w:eastAsia="zh-CN"/>
        </w:rPr>
        <w:t>76</w:t>
      </w:r>
      <w:r>
        <w:rPr>
          <w:rFonts w:hint="eastAsia" w:ascii="仿宋_GB2312" w:hAnsi="宋体" w:eastAsia="仿宋_GB2312" w:cs="宋体"/>
          <w:sz w:val="32"/>
          <w:szCs w:val="32"/>
          <w:lang w:eastAsia="zh-CN"/>
        </w:rPr>
        <w:t>人</w:t>
      </w:r>
      <w:r>
        <w:rPr>
          <w:rFonts w:hint="eastAsia" w:ascii="仿宋_GB2312" w:hAnsi="宋体" w:eastAsia="仿宋_GB2312" w:cs="宋体"/>
          <w:sz w:val="32"/>
          <w:szCs w:val="32"/>
          <w:lang w:val="en-US" w:eastAsia="zh-CN"/>
        </w:rPr>
        <w:t>，</w:t>
      </w:r>
      <w:r>
        <w:rPr>
          <w:rFonts w:hint="eastAsia" w:ascii="仿宋_GB2312" w:eastAsia="仿宋_GB2312"/>
          <w:sz w:val="32"/>
          <w:szCs w:val="32"/>
        </w:rPr>
        <w:t>机关控制数</w:t>
      </w:r>
      <w:r>
        <w:rPr>
          <w:rFonts w:hint="eastAsia" w:ascii="仿宋_GB2312" w:eastAsia="仿宋_GB2312"/>
          <w:sz w:val="32"/>
          <w:szCs w:val="32"/>
          <w:lang w:val="en-US" w:eastAsia="zh-CN"/>
        </w:rPr>
        <w:t>4</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hAnsi="宋体" w:eastAsia="仿宋_GB2312" w:cs="宋体"/>
          <w:sz w:val="32"/>
          <w:szCs w:val="32"/>
          <w:lang w:eastAsia="zh-CN"/>
        </w:rPr>
        <w:t>实有在职人数</w:t>
      </w:r>
      <w:r>
        <w:rPr>
          <w:rFonts w:hint="eastAsia" w:ascii="仿宋_GB2312" w:hAnsi="宋体" w:eastAsia="仿宋_GB2312" w:cs="宋体"/>
          <w:sz w:val="32"/>
          <w:szCs w:val="32"/>
          <w:lang w:val="en-US" w:eastAsia="zh-CN"/>
        </w:rPr>
        <w:t>78</w:t>
      </w:r>
      <w:r>
        <w:rPr>
          <w:rFonts w:hint="eastAsia" w:ascii="仿宋_GB2312" w:hAnsi="宋体" w:eastAsia="仿宋_GB2312" w:cs="宋体"/>
          <w:sz w:val="32"/>
          <w:szCs w:val="32"/>
          <w:lang w:eastAsia="zh-CN"/>
        </w:rPr>
        <w:t>人，其中事业在职</w:t>
      </w:r>
      <w:r>
        <w:rPr>
          <w:rFonts w:hint="eastAsia" w:ascii="仿宋_GB2312" w:hAnsi="宋体" w:eastAsia="仿宋_GB2312" w:cs="宋体"/>
          <w:sz w:val="32"/>
          <w:szCs w:val="32"/>
          <w:lang w:val="en-US" w:eastAsia="zh-CN"/>
        </w:rPr>
        <w:t>74</w:t>
      </w:r>
      <w:r>
        <w:rPr>
          <w:rFonts w:hint="eastAsia" w:ascii="仿宋_GB2312" w:hAnsi="宋体" w:eastAsia="仿宋_GB2312" w:cs="宋体"/>
          <w:sz w:val="32"/>
          <w:szCs w:val="32"/>
          <w:lang w:eastAsia="zh-CN"/>
        </w:rPr>
        <w:t>人，</w:t>
      </w:r>
      <w:r>
        <w:rPr>
          <w:rFonts w:hint="eastAsia" w:ascii="仿宋_GB2312" w:eastAsia="仿宋_GB2312"/>
          <w:sz w:val="32"/>
          <w:szCs w:val="32"/>
        </w:rPr>
        <w:t>控制数</w:t>
      </w:r>
      <w:r>
        <w:rPr>
          <w:rFonts w:hint="eastAsia" w:ascii="仿宋_GB2312" w:eastAsia="仿宋_GB2312"/>
          <w:sz w:val="32"/>
          <w:szCs w:val="32"/>
          <w:lang w:val="en-US" w:eastAsia="zh-CN"/>
        </w:rPr>
        <w:t>4</w:t>
      </w:r>
      <w:r>
        <w:rPr>
          <w:rFonts w:hint="eastAsia" w:ascii="仿宋_GB2312" w:eastAsia="仿宋_GB2312"/>
          <w:sz w:val="32"/>
          <w:szCs w:val="32"/>
        </w:rPr>
        <w:t>人</w:t>
      </w:r>
      <w:r>
        <w:rPr>
          <w:rFonts w:hint="eastAsia" w:ascii="仿宋_GB2312" w:hAnsi="宋体" w:eastAsia="仿宋_GB2312" w:cs="宋体"/>
          <w:sz w:val="32"/>
          <w:szCs w:val="32"/>
          <w:lang w:eastAsia="zh-CN"/>
        </w:rPr>
        <w:t>；退休人员</w:t>
      </w:r>
      <w:r>
        <w:rPr>
          <w:rFonts w:hint="eastAsia" w:ascii="仿宋_GB2312" w:hAnsi="宋体" w:eastAsia="仿宋_GB2312" w:cs="宋体"/>
          <w:sz w:val="32"/>
          <w:szCs w:val="32"/>
          <w:lang w:val="en-US" w:eastAsia="zh-CN"/>
        </w:rPr>
        <w:t>25</w:t>
      </w:r>
      <w:r>
        <w:rPr>
          <w:rFonts w:hint="eastAsia" w:ascii="仿宋_GB2312" w:hAnsi="宋体" w:eastAsia="仿宋_GB2312" w:cs="宋体"/>
          <w:sz w:val="32"/>
          <w:szCs w:val="32"/>
          <w:lang w:eastAsia="zh-CN"/>
        </w:rPr>
        <w:t>人。</w:t>
      </w:r>
    </w:p>
    <w:p>
      <w:pPr>
        <w:keepNext w:val="0"/>
        <w:keepLines w:val="0"/>
        <w:pageBreakBefore w:val="0"/>
        <w:kinsoku/>
        <w:wordWrap/>
        <w:overflowPunct/>
        <w:topLinePunct w:val="0"/>
        <w:autoSpaceDE/>
        <w:autoSpaceDN/>
        <w:bidi w:val="0"/>
        <w:adjustRightInd/>
        <w:snapToGrid/>
        <w:spacing w:line="440" w:lineRule="exact"/>
        <w:ind w:right="0" w:rightChars="0"/>
        <w:textAlignment w:val="auto"/>
        <w:outlineLvl w:val="9"/>
        <w:rPr>
          <w:rFonts w:hint="eastAsia" w:ascii="仿宋_GB2312" w:hAnsi="宋体" w:eastAsia="仿宋_GB2312" w:cs="宋体"/>
          <w:sz w:val="32"/>
          <w:szCs w:val="32"/>
          <w:lang w:eastAsia="zh-CN"/>
        </w:rPr>
        <w:sectPr>
          <w:headerReference r:id="rId5" w:type="default"/>
          <w:pgSz w:w="11906" w:h="16838"/>
          <w:pgMar w:top="1247" w:right="1417" w:bottom="1247" w:left="1417" w:header="851" w:footer="992" w:gutter="0"/>
          <w:cols w:space="720" w:num="1"/>
          <w:rtlGutter w:val="0"/>
          <w:docGrid w:type="lines" w:linePitch="312" w:charSpace="0"/>
        </w:sect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环江毛南族自治县第二小学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1217.42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839.42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1217.42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1217.42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1217.42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1217.42</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1217.42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1217.42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839.42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839.42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839.42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839.42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790.66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790.66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1217.42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1113.02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104.40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839.42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789.56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839.42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789.56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790.66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789.56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48.77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111.93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111.93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111.93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1217.42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839.42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839.42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111.93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77.02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77.02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174.11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174.11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1217.42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1217.42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1217.42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1217.42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1217.42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1217.42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1217.42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1113.02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104.40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839.42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789.56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839.42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789.56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790.66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789.56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48.77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54.54</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1016.39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47.75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443.59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170.43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84.22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1065.28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47.75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环江毛南族自治县第二小学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w:t>
            </w:r>
            <w:r>
              <w:rPr>
                <w:rFonts w:hint="eastAsia" w:ascii="宋体" w:hAnsi="宋体" w:eastAsia="宋体" w:cs="宋体"/>
                <w:color w:val="auto"/>
                <w:kern w:val="0"/>
                <w:sz w:val="22"/>
                <w:szCs w:val="22"/>
                <w:highlight w:val="none"/>
                <w:lang w:bidi="ar"/>
              </w:rPr>
              <w:t>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环江毛南族自治县第二小学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1217.42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减少219.91</w:t>
      </w:r>
      <w:r>
        <w:rPr>
          <w:rFonts w:hint="eastAsia" w:ascii="仿宋" w:hAnsi="仿宋" w:eastAsia="仿宋" w:cs="仿宋"/>
          <w:sz w:val="32"/>
          <w:szCs w:val="32"/>
          <w:highlight w:val="none"/>
        </w:rPr>
        <w:t>万元，</w:t>
      </w:r>
      <w:r>
        <w:rPr>
          <w:rFonts w:ascii="仿宋" w:hAnsi="仿宋" w:eastAsia="仿宋" w:cs="仿宋"/>
          <w:sz w:val="32"/>
          <w:u w:color="auto"/>
        </w:rPr>
        <w:t>下降15.30%</w:t>
      </w:r>
      <w:r>
        <w:rPr>
          <w:rFonts w:hint="eastAsia" w:ascii="仿宋" w:hAnsi="仿宋" w:eastAsia="仿宋" w:cs="仿宋"/>
          <w:sz w:val="32"/>
          <w:szCs w:val="32"/>
          <w:highlight w:val="none"/>
        </w:rPr>
        <w:t>，其中本年收入</w:t>
      </w:r>
      <w:r>
        <w:rPr>
          <w:rFonts w:ascii="仿宋" w:hAnsi="仿宋" w:eastAsia="仿宋" w:cs="仿宋"/>
          <w:sz w:val="32"/>
          <w:u w:color="auto"/>
        </w:rPr>
        <w:t>1217.42</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kern w:val="0"/>
          <w:sz w:val="32"/>
          <w:szCs w:val="32"/>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1217.42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减少154.82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下降11.28%</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华文仿宋" w:hAnsi="华文仿宋" w:eastAsia="华文仿宋" w:cs="华文仿宋"/>
          <w:kern w:val="0"/>
          <w:sz w:val="32"/>
          <w:szCs w:val="32"/>
          <w:lang w:val="en-US" w:eastAsia="zh-CN"/>
        </w:rPr>
        <w:t>上级专款收入减少。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主要原因：无</w:t>
      </w:r>
      <w:r>
        <w:rPr>
          <w:rFonts w:hint="eastAsia" w:ascii="仿宋" w:hAnsi="仿宋" w:eastAsia="仿宋" w:cs="仿宋"/>
          <w:kern w:val="2"/>
          <w:sz w:val="32"/>
          <w:szCs w:val="32"/>
          <w:highlight w:val="none"/>
          <w:lang w:val="en-US" w:eastAsia="zh-CN" w:bidi="ar"/>
        </w:rPr>
        <w:t>政府性基金。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kern w:val="2"/>
          <w:sz w:val="32"/>
          <w:szCs w:val="32"/>
          <w:highlight w:val="none"/>
          <w:lang w:val="en-US" w:eastAsia="zh-CN" w:bidi="ar"/>
        </w:rPr>
        <w:t>国有资本经营。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减少65.08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30581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1217.42</w:t>
      </w:r>
      <w:r>
        <w:rPr>
          <w:rFonts w:hint="eastAsia" w:ascii="仿宋" w:hAnsi="仿宋" w:eastAsia="仿宋" w:cs="仿宋"/>
          <w:sz w:val="32"/>
          <w:szCs w:val="32"/>
          <w:highlight w:val="none"/>
        </w:rPr>
        <w:t>万元，其中本年支出</w:t>
      </w:r>
      <w:r>
        <w:rPr>
          <w:rFonts w:ascii="仿宋" w:hAnsi="仿宋" w:eastAsia="仿宋" w:cs="仿宋"/>
          <w:sz w:val="32"/>
          <w:u w:color="auto"/>
        </w:rPr>
        <w:t>1217.42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减少219.91</w:t>
      </w:r>
      <w:r>
        <w:rPr>
          <w:rFonts w:hint="eastAsia" w:ascii="仿宋" w:hAnsi="仿宋" w:eastAsia="仿宋" w:cs="仿宋"/>
          <w:sz w:val="32"/>
          <w:szCs w:val="32"/>
          <w:highlight w:val="none"/>
        </w:rPr>
        <w:t>万元，</w:t>
      </w:r>
      <w:r>
        <w:rPr>
          <w:rFonts w:ascii="仿宋" w:hAnsi="仿宋" w:eastAsia="仿宋" w:cs="仿宋"/>
          <w:sz w:val="32"/>
          <w:u w:color="auto"/>
        </w:rPr>
        <w:t>下降15.30%</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14.94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FF0000"/>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工会经费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增加14.94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年初无工会经费预算，在年中经费结算时才进行工会经费的调整预算。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839.42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人员经费，</w:t>
      </w:r>
      <w:r>
        <w:rPr>
          <w:rFonts w:hint="eastAsia" w:ascii="仿宋" w:hAnsi="仿宋" w:eastAsia="仿宋" w:cs="仿宋"/>
          <w:color w:val="auto"/>
          <w:sz w:val="32"/>
          <w:szCs w:val="32"/>
          <w:lang w:val="en-US" w:eastAsia="zh-CN"/>
        </w:rPr>
        <w:t>学校日常办公、水电费、网络费、日常维修、教师培训出差等经费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减少50.99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下降5.73%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是：退休人员增加，在职人员经费相对减少。学校校舍需要维修的项目不多，投入的资金比上年减少，压缩经费支出，坚持执行“过紧日子”的思想。</w:t>
      </w:r>
    </w:p>
    <w:p>
      <w:pPr>
        <w:keepNext w:val="0"/>
        <w:keepLines w:val="0"/>
        <w:widowControl w:val="0"/>
        <w:suppressLineNumbers w:val="0"/>
        <w:spacing w:before="0" w:beforeAutospacing="0" w:after="0" w:afterAutospacing="0"/>
        <w:ind w:left="0" w:right="0" w:firstLine="960" w:firstLineChars="3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111.93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缴纳教职工养老、医疗、工伤、失业保险费支出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减少24.50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下降17.96%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 在职</w:t>
      </w:r>
      <w:r>
        <w:rPr>
          <w:rFonts w:hint="eastAsia" w:ascii="仿宋" w:hAnsi="仿宋" w:eastAsia="仿宋" w:cs="仿宋"/>
          <w:color w:val="auto"/>
          <w:kern w:val="2"/>
          <w:sz w:val="32"/>
          <w:szCs w:val="32"/>
          <w:highlight w:val="none"/>
          <w:lang w:val="en-US" w:eastAsia="zh-CN" w:bidi="ar"/>
        </w:rPr>
        <w:t>人员减少，全年社会保障缴费比去年有所减少。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77.02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住房公积金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增加6.12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增长8.63%</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主要原因是：2022年教师住房公积金缴纳基数比2021年有了提高。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174.11</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olor w:val="auto"/>
          <w:sz w:val="30"/>
          <w:szCs w:val="30"/>
          <w:highlight w:val="none"/>
          <w:u w:val="none"/>
          <w:lang w:val="en-US" w:eastAsia="zh-CN"/>
        </w:rPr>
        <w:t>工资福利及对个人和家庭补助支出。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减少165.48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下降48.73%</w:t>
      </w:r>
      <w:r>
        <w:rPr>
          <w:rFonts w:hint="eastAsia" w:ascii="仿宋" w:hAnsi="仿宋" w:eastAsia="仿宋" w:cs="仿宋"/>
          <w:sz w:val="32"/>
          <w:szCs w:val="32"/>
          <w:highlight w:val="none"/>
          <w:lang w:eastAsia="zh-CN" w:bidi="ar"/>
        </w:rPr>
        <w:t>。</w:t>
      </w:r>
      <w:r>
        <w:rPr>
          <w:rFonts w:hint="eastAsia" w:ascii="仿宋" w:hAnsi="仿宋" w:eastAsia="仿宋" w:cs="仿宋"/>
          <w:color w:val="auto"/>
          <w:kern w:val="2"/>
          <w:sz w:val="32"/>
          <w:szCs w:val="32"/>
          <w:highlight w:val="none"/>
          <w:lang w:val="en-US" w:eastAsia="zh-CN" w:bidi="ar"/>
        </w:rPr>
        <w:t>主要原因是：当年有退休人员增加， 在职教职工人数减少。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环江毛南族自治县第二小学2022年度一般公共预算财政拨款支出</w:t>
      </w:r>
      <w:r>
        <w:rPr>
          <w:rFonts w:ascii="仿宋" w:hAnsi="仿宋" w:eastAsia="仿宋" w:cs="仿宋"/>
          <w:sz w:val="32"/>
          <w:u w:color="auto"/>
        </w:rPr>
        <w:t>1217.42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减少219.91</w:t>
      </w:r>
      <w:r>
        <w:rPr>
          <w:rFonts w:hint="eastAsia" w:ascii="仿宋" w:hAnsi="仿宋" w:eastAsia="仿宋" w:cs="仿宋"/>
          <w:sz w:val="32"/>
          <w:szCs w:val="32"/>
          <w:highlight w:val="none"/>
        </w:rPr>
        <w:t>万元，</w:t>
      </w:r>
      <w:r>
        <w:rPr>
          <w:rFonts w:ascii="仿宋" w:hAnsi="仿宋" w:eastAsia="仿宋" w:cs="仿宋"/>
          <w:sz w:val="32"/>
          <w:u w:color="auto"/>
        </w:rPr>
        <w:t>下降15.30%</w:t>
      </w:r>
      <w:r>
        <w:rPr>
          <w:rFonts w:hint="eastAsia" w:ascii="仿宋" w:hAnsi="仿宋" w:eastAsia="仿宋" w:cs="仿宋"/>
          <w:sz w:val="32"/>
          <w:szCs w:val="32"/>
          <w:highlight w:val="none"/>
        </w:rPr>
        <w:t>。其中：基本支出</w:t>
      </w:r>
      <w:r>
        <w:rPr>
          <w:rFonts w:ascii="仿宋" w:hAnsi="仿宋" w:eastAsia="仿宋" w:cs="仿宋"/>
          <w:sz w:val="32"/>
          <w:u w:color="auto"/>
        </w:rPr>
        <w:t>1113.02</w:t>
      </w:r>
      <w:r>
        <w:rPr>
          <w:rFonts w:hint="eastAsia" w:ascii="仿宋" w:hAnsi="仿宋" w:eastAsia="仿宋" w:cs="仿宋"/>
          <w:sz w:val="32"/>
          <w:szCs w:val="32"/>
          <w:highlight w:val="none"/>
        </w:rPr>
        <w:t>万元，项目支出</w:t>
      </w:r>
      <w:r>
        <w:rPr>
          <w:rFonts w:ascii="仿宋" w:hAnsi="仿宋" w:eastAsia="仿宋" w:cs="仿宋"/>
          <w:sz w:val="32"/>
          <w:u w:color="auto"/>
        </w:rPr>
        <w:t>104.40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环江毛南族自治县第二小学2022 年度一般公共预算财政拨款支出年初预算为</w:t>
      </w:r>
      <w:r>
        <w:rPr>
          <w:rFonts w:ascii="仿宋" w:hAnsi="仿宋" w:eastAsia="仿宋" w:cs="仿宋"/>
          <w:sz w:val="32"/>
          <w:u w:color="auto"/>
        </w:rPr>
        <w:t>972.53</w:t>
      </w:r>
      <w:r>
        <w:rPr>
          <w:rFonts w:hint="eastAsia" w:ascii="仿宋" w:hAnsi="仿宋" w:eastAsia="仿宋" w:cs="仿宋"/>
          <w:sz w:val="32"/>
          <w:szCs w:val="32"/>
          <w:highlight w:val="none"/>
        </w:rPr>
        <w:t>万元，支出决算为</w:t>
      </w:r>
      <w:r>
        <w:rPr>
          <w:rFonts w:ascii="仿宋" w:hAnsi="仿宋" w:eastAsia="仿宋" w:cs="仿宋"/>
          <w:sz w:val="32"/>
          <w:u w:color="auto"/>
        </w:rPr>
        <w:t>1217.42</w:t>
      </w:r>
      <w:r>
        <w:rPr>
          <w:rFonts w:hint="eastAsia" w:ascii="仿宋" w:hAnsi="仿宋" w:eastAsia="仿宋" w:cs="仿宋"/>
          <w:sz w:val="32"/>
          <w:szCs w:val="32"/>
          <w:highlight w:val="none"/>
        </w:rPr>
        <w:t>万元，完成年初预算的</w:t>
      </w:r>
      <w:r>
        <w:rPr>
          <w:rFonts w:ascii="仿宋" w:hAnsi="仿宋" w:eastAsia="仿宋" w:cs="仿宋"/>
          <w:sz w:val="32"/>
          <w:u w:color="auto"/>
        </w:rPr>
        <w:t>125.18%</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14.94</w:t>
      </w:r>
      <w:r>
        <w:rPr>
          <w:rFonts w:hint="eastAsia" w:ascii="仿宋" w:hAnsi="仿宋" w:eastAsia="仿宋"/>
          <w:sz w:val="32"/>
          <w:szCs w:val="32"/>
          <w:highlight w:val="none"/>
        </w:rPr>
        <w:t>万元，支出决算为</w:t>
      </w:r>
      <w:r>
        <w:rPr>
          <w:rFonts w:ascii="仿宋" w:hAnsi="仿宋" w:eastAsia="仿宋"/>
          <w:sz w:val="32"/>
          <w:szCs w:val="32"/>
          <w:highlight w:val="none"/>
        </w:rPr>
        <w:t>14.94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748.48</w:t>
      </w:r>
      <w:r>
        <w:rPr>
          <w:rFonts w:hint="eastAsia" w:ascii="仿宋" w:hAnsi="仿宋" w:eastAsia="仿宋"/>
          <w:sz w:val="32"/>
          <w:szCs w:val="32"/>
          <w:highlight w:val="none"/>
        </w:rPr>
        <w:t>万元，支出决算为</w:t>
      </w:r>
      <w:r>
        <w:rPr>
          <w:rFonts w:ascii="仿宋" w:hAnsi="仿宋" w:eastAsia="仿宋"/>
          <w:sz w:val="32"/>
          <w:szCs w:val="32"/>
          <w:highlight w:val="none"/>
        </w:rPr>
        <w:t>839.42</w:t>
      </w:r>
      <w:r>
        <w:rPr>
          <w:rFonts w:hint="eastAsia" w:ascii="仿宋" w:hAnsi="仿宋" w:eastAsia="仿宋"/>
          <w:sz w:val="32"/>
          <w:szCs w:val="32"/>
          <w:highlight w:val="none"/>
        </w:rPr>
        <w:t>万元，完成年初预算的</w:t>
      </w:r>
      <w:r>
        <w:rPr>
          <w:rFonts w:ascii="仿宋" w:hAnsi="仿宋" w:eastAsia="仿宋"/>
          <w:sz w:val="32"/>
          <w:szCs w:val="32"/>
          <w:highlight w:val="none"/>
        </w:rPr>
        <w:t>112.15%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调整基本工资标准、岗位工资变动及正常晋薪工资的发放。</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748.48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790.66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工资福利、商品服务、对个人和家庭补助支出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auto"/>
                <w:sz w:val="18"/>
                <w:szCs w:val="18"/>
                <w:highlight w:val="none"/>
                <w:lang w:val="en-US" w:eastAsia="zh-CN"/>
              </w:rPr>
              <w:t>调整基本工资标准、岗位工资变动及正常晋薪工资的发放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工资福利、商品服务、对个人和家庭补助支出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auto"/>
                <w:sz w:val="18"/>
                <w:szCs w:val="18"/>
                <w:highlight w:val="none"/>
                <w:lang w:val="en-US" w:eastAsia="zh-CN"/>
              </w:rPr>
              <w:t>调整基本工资标准、岗位工资变动及正常晋薪工资的发放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748.48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839.42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119.49</w:t>
      </w:r>
      <w:r>
        <w:rPr>
          <w:rFonts w:hint="eastAsia" w:ascii="仿宋" w:hAnsi="仿宋" w:eastAsia="仿宋"/>
          <w:sz w:val="32"/>
          <w:szCs w:val="32"/>
          <w:highlight w:val="none"/>
        </w:rPr>
        <w:t>万元，支出决算为</w:t>
      </w:r>
      <w:r>
        <w:rPr>
          <w:rFonts w:ascii="仿宋" w:hAnsi="仿宋" w:eastAsia="仿宋"/>
          <w:sz w:val="32"/>
          <w:szCs w:val="32"/>
          <w:highlight w:val="none"/>
        </w:rPr>
        <w:t>111.93</w:t>
      </w:r>
      <w:r>
        <w:rPr>
          <w:rFonts w:hint="eastAsia" w:ascii="仿宋" w:hAnsi="仿宋" w:eastAsia="仿宋"/>
          <w:sz w:val="32"/>
          <w:szCs w:val="32"/>
          <w:highlight w:val="none"/>
        </w:rPr>
        <w:t>万元，完成年初预算的</w:t>
      </w:r>
      <w:r>
        <w:rPr>
          <w:rFonts w:ascii="仿宋" w:hAnsi="仿宋" w:eastAsia="仿宋"/>
          <w:sz w:val="32"/>
          <w:szCs w:val="32"/>
          <w:highlight w:val="none"/>
        </w:rPr>
        <w:t>93.67%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当年退休人员，在职教职工人数减少，全年社会保障缴费年初预算有了减少。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93.67%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缴纳教职工养老、医疗、工伤、失业保险费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8"/>
                <w:szCs w:val="18"/>
                <w:highlight w:val="none"/>
                <w:lang w:val="en-US" w:eastAsia="zh-CN" w:bidi="ar"/>
              </w:rPr>
              <w:t>教职工人数减少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917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89.62</w:t>
      </w:r>
      <w:r>
        <w:rPr>
          <w:rFonts w:hint="eastAsia" w:ascii="仿宋" w:hAnsi="仿宋" w:eastAsia="仿宋"/>
          <w:sz w:val="32"/>
          <w:szCs w:val="32"/>
          <w:highlight w:val="none"/>
        </w:rPr>
        <w:t>万元，支出决算为</w:t>
      </w:r>
      <w:r>
        <w:rPr>
          <w:rFonts w:ascii="仿宋" w:hAnsi="仿宋" w:eastAsia="仿宋"/>
          <w:sz w:val="32"/>
          <w:szCs w:val="32"/>
          <w:highlight w:val="none"/>
        </w:rPr>
        <w:t>77.02</w:t>
      </w:r>
      <w:r>
        <w:rPr>
          <w:rFonts w:hint="eastAsia" w:ascii="仿宋" w:hAnsi="仿宋" w:eastAsia="仿宋"/>
          <w:sz w:val="32"/>
          <w:szCs w:val="32"/>
          <w:highlight w:val="none"/>
        </w:rPr>
        <w:t>万元，完成年初预算的</w:t>
      </w:r>
      <w:r>
        <w:rPr>
          <w:rFonts w:ascii="仿宋" w:hAnsi="仿宋" w:eastAsia="仿宋"/>
          <w:sz w:val="32"/>
          <w:szCs w:val="32"/>
          <w:highlight w:val="none"/>
        </w:rPr>
        <w:t>85.94%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当年退休增加，教职工人数减少，全年住房保障缴费比去年有了减少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缴纳教师住房公积金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人员退休，缴费减少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81559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174.11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174.11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工资福利、对个人和家庭补助支出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174.11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环江毛南族自治县第二小学2022年度一般公共预算财政拨款基本支出</w:t>
      </w:r>
      <w:r>
        <w:rPr>
          <w:rFonts w:ascii="仿宋" w:hAnsi="仿宋" w:eastAsia="仿宋" w:cs="仿宋"/>
          <w:sz w:val="32"/>
          <w:u w:color="auto"/>
        </w:rPr>
        <w:t>1113.02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1065.28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47.75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1016.39万元，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109.19%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olor w:val="auto"/>
          <w:sz w:val="32"/>
          <w:szCs w:val="32"/>
          <w:highlight w:val="none"/>
          <w:lang w:val="en-US" w:eastAsia="zh-CN"/>
        </w:rPr>
        <w:t>调整基本工资标准、岗位工资变动及正常晋薪工资的发放</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443.59万元，30102津贴补贴28.41万元，30103奖金120.17万元，30107绩效工资170.43万元，30108机关事业单位基本养老保险缴费111.93万元，30110职工基本医疗保险缴费49.43万元，30112其他社会保障缴费7.30万元，30113住房公积金84.22万元，30199其他工资福利支出0.90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47.75万元，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276.33%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 xml:space="preserve">主要原因是：年中经费结算调整预算科目及金额。 </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30201办公费14.43万元，30205水费4.24万元，30206电费6.13万元，30207邮电费4.59万元，30211差旅费1.41万元，30213维修（护）费2.01万元，30228工会经费14.94万元。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48.89万元，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209.92%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主要原因是：年中经费结算调整预算科目及金额。</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30304抚恤金8.73万元，30305生活补助40.16万元。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2511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主要原因是：无</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主要原因是：无</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环江毛南族自治县第二小学2022年度政府性基金支出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环江毛南族自治县第二小学2022年度政府性基金支出年初预算为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环江毛南族自治县第二小学2022年度国有资本经营预算支出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环江毛南族自治县第二小学2022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原因是：本单位无因公出国（境）相关工作安排。</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4"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4"/>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平均每辆</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公务接待费支出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主要原因是：公务接待人次与上年持平。</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bookmarkStart w:id="5" w:name="_GoBack"/>
      <w:bookmarkEnd w:id="5"/>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sz w:val="32"/>
          <w:szCs w:val="32"/>
          <w:lang w:val="en-US" w:eastAsia="zh-CN"/>
        </w:rPr>
        <w:t>本部门无机关运行经费。</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215.08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部门决算中项目绩效自评结果。</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我校对12个项目进行</w:t>
      </w:r>
      <w:r>
        <w:rPr>
          <w:rFonts w:hint="eastAsia" w:ascii="仿宋" w:hAnsi="仿宋" w:eastAsia="仿宋" w:cs="仿宋"/>
          <w:b w:val="0"/>
          <w:bCs/>
          <w:sz w:val="32"/>
          <w:szCs w:val="32"/>
        </w:rPr>
        <w:t>自评</w:t>
      </w:r>
      <w:r>
        <w:rPr>
          <w:rFonts w:hint="eastAsia" w:ascii="仿宋" w:hAnsi="仿宋" w:eastAsia="仿宋" w:cs="仿宋"/>
          <w:b w:val="0"/>
          <w:bCs/>
          <w:sz w:val="32"/>
          <w:szCs w:val="32"/>
          <w:lang w:eastAsia="zh-CN"/>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有6个，96.66分1个，91.09分1个，87.9分1个，84.56分1个，80分1个。</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3.发现的主要问题及原因。</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学校的相关制度还不够健全，</w:t>
      </w:r>
      <w:r>
        <w:rPr>
          <w:rFonts w:hint="eastAsia" w:ascii="仿宋" w:hAnsi="仿宋" w:eastAsia="仿宋" w:cs="仿宋"/>
          <w:sz w:val="32"/>
          <w:szCs w:val="32"/>
        </w:rPr>
        <w:t>报账材料整理比较慢，不能及时支付</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在项目实施方面还需要不断完善。</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4.下一步改进的措施。</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组织制定完善相关</w:t>
      </w:r>
      <w:r>
        <w:rPr>
          <w:rFonts w:hint="eastAsia" w:ascii="仿宋" w:hAnsi="仿宋" w:eastAsia="仿宋" w:cs="仿宋"/>
          <w:sz w:val="32"/>
          <w:szCs w:val="32"/>
        </w:rPr>
        <w:t>管理制度</w:t>
      </w:r>
      <w:r>
        <w:rPr>
          <w:rFonts w:hint="eastAsia" w:ascii="仿宋" w:hAnsi="仿宋" w:eastAsia="仿宋" w:cs="仿宋"/>
          <w:sz w:val="32"/>
          <w:szCs w:val="32"/>
          <w:lang w:eastAsia="zh-CN"/>
        </w:rPr>
        <w:t>，</w:t>
      </w:r>
      <w:r>
        <w:rPr>
          <w:rFonts w:hint="eastAsia" w:ascii="仿宋" w:hAnsi="仿宋" w:eastAsia="仿宋" w:cs="仿宋"/>
          <w:sz w:val="32"/>
          <w:szCs w:val="32"/>
        </w:rPr>
        <w:t>完善项目实施</w:t>
      </w:r>
      <w:r>
        <w:rPr>
          <w:rFonts w:hint="eastAsia" w:ascii="仿宋" w:hAnsi="仿宋" w:eastAsia="仿宋" w:cs="仿宋"/>
          <w:sz w:val="32"/>
          <w:szCs w:val="32"/>
          <w:lang w:val="en-US" w:eastAsia="zh-CN"/>
        </w:rPr>
        <w:t>方案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项目完成后，及时收集</w:t>
      </w:r>
      <w:r>
        <w:rPr>
          <w:rFonts w:hint="eastAsia" w:ascii="仿宋" w:hAnsi="仿宋" w:eastAsia="仿宋" w:cs="仿宋"/>
          <w:sz w:val="32"/>
          <w:szCs w:val="32"/>
        </w:rPr>
        <w:t>报账材料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及时支付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auto"/>
          <w:sz w:val="32"/>
          <w:szCs w:val="32"/>
          <w:lang w:val="en-US" w:eastAsia="zh-CN"/>
        </w:rPr>
        <w:t>通过这次自评，进一步提高了我单位的绩效管理水平，更加认识了绩效对部门综合管理提升的重要性，自评结果将用于2022年及以后年度编制部门预算的重要参考和日常管理的标靶，吸取经验，改进工作，让工作与绩效目标匹配，让成果与工作推进互动。</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wOWRiYThhMWE1ZjFlNWY3NjUyY2NhNDc1NmZhZm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AF786B"/>
    <w:rsid w:val="04E54546"/>
    <w:rsid w:val="05992762"/>
    <w:rsid w:val="07B0770E"/>
    <w:rsid w:val="0942143F"/>
    <w:rsid w:val="0D100297"/>
    <w:rsid w:val="0D202B45"/>
    <w:rsid w:val="0F8D4C87"/>
    <w:rsid w:val="10505FAA"/>
    <w:rsid w:val="105F7E7E"/>
    <w:rsid w:val="11E56B5B"/>
    <w:rsid w:val="125C77AB"/>
    <w:rsid w:val="14777F31"/>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32E2103"/>
    <w:rsid w:val="246E2F77"/>
    <w:rsid w:val="254B4E2B"/>
    <w:rsid w:val="283D7C94"/>
    <w:rsid w:val="28A54C15"/>
    <w:rsid w:val="29480E03"/>
    <w:rsid w:val="2983634D"/>
    <w:rsid w:val="2BB02055"/>
    <w:rsid w:val="2C575A56"/>
    <w:rsid w:val="2F257714"/>
    <w:rsid w:val="2F3275E5"/>
    <w:rsid w:val="2F8037EC"/>
    <w:rsid w:val="2FF755F9"/>
    <w:rsid w:val="30AA08EF"/>
    <w:rsid w:val="30C940B7"/>
    <w:rsid w:val="30D23D1C"/>
    <w:rsid w:val="31221CF5"/>
    <w:rsid w:val="31400178"/>
    <w:rsid w:val="321E3342"/>
    <w:rsid w:val="327759C8"/>
    <w:rsid w:val="33185FE3"/>
    <w:rsid w:val="33FF3827"/>
    <w:rsid w:val="34545741"/>
    <w:rsid w:val="34EE2E36"/>
    <w:rsid w:val="36777241"/>
    <w:rsid w:val="371E78D5"/>
    <w:rsid w:val="38703F75"/>
    <w:rsid w:val="38A951DB"/>
    <w:rsid w:val="38B31605"/>
    <w:rsid w:val="39003F4F"/>
    <w:rsid w:val="3C07002B"/>
    <w:rsid w:val="3D0D152A"/>
    <w:rsid w:val="3DF62756"/>
    <w:rsid w:val="3F1B7587"/>
    <w:rsid w:val="41E225DE"/>
    <w:rsid w:val="41E57B4F"/>
    <w:rsid w:val="423F32AF"/>
    <w:rsid w:val="432F26F6"/>
    <w:rsid w:val="43880F63"/>
    <w:rsid w:val="441C5A6F"/>
    <w:rsid w:val="44C44FCC"/>
    <w:rsid w:val="44CC7369"/>
    <w:rsid w:val="453857B5"/>
    <w:rsid w:val="457F5108"/>
    <w:rsid w:val="46951B6B"/>
    <w:rsid w:val="497244E3"/>
    <w:rsid w:val="49A34401"/>
    <w:rsid w:val="4A3E30AB"/>
    <w:rsid w:val="4AC14DAC"/>
    <w:rsid w:val="4D154C85"/>
    <w:rsid w:val="4EB35ECE"/>
    <w:rsid w:val="508F4E24"/>
    <w:rsid w:val="51461E90"/>
    <w:rsid w:val="51463753"/>
    <w:rsid w:val="52553A93"/>
    <w:rsid w:val="531B5950"/>
    <w:rsid w:val="53521F8B"/>
    <w:rsid w:val="53BD4F69"/>
    <w:rsid w:val="53E22F47"/>
    <w:rsid w:val="54522FF8"/>
    <w:rsid w:val="55450629"/>
    <w:rsid w:val="56692963"/>
    <w:rsid w:val="568B0F48"/>
    <w:rsid w:val="5786217B"/>
    <w:rsid w:val="59337A15"/>
    <w:rsid w:val="59810274"/>
    <w:rsid w:val="5A02755C"/>
    <w:rsid w:val="5CA96A00"/>
    <w:rsid w:val="5CF730BC"/>
    <w:rsid w:val="5E5F0DCE"/>
    <w:rsid w:val="5FA40A7B"/>
    <w:rsid w:val="5FD56D29"/>
    <w:rsid w:val="5FEC7F3F"/>
    <w:rsid w:val="60256F33"/>
    <w:rsid w:val="60F74BC3"/>
    <w:rsid w:val="617D3BF8"/>
    <w:rsid w:val="61841F6A"/>
    <w:rsid w:val="623007A9"/>
    <w:rsid w:val="637D7558"/>
    <w:rsid w:val="64287ECD"/>
    <w:rsid w:val="644F19AC"/>
    <w:rsid w:val="65AA4920"/>
    <w:rsid w:val="65E31D0B"/>
    <w:rsid w:val="67694F1E"/>
    <w:rsid w:val="69597934"/>
    <w:rsid w:val="69D56401"/>
    <w:rsid w:val="6B964DDC"/>
    <w:rsid w:val="6C783074"/>
    <w:rsid w:val="6D9E65C6"/>
    <w:rsid w:val="6DA81947"/>
    <w:rsid w:val="6EB66DE2"/>
    <w:rsid w:val="6ED3075F"/>
    <w:rsid w:val="6F2A2D4B"/>
    <w:rsid w:val="6F8A0C1E"/>
    <w:rsid w:val="703F45D4"/>
    <w:rsid w:val="715D6546"/>
    <w:rsid w:val="71BE069E"/>
    <w:rsid w:val="73953409"/>
    <w:rsid w:val="73E069A3"/>
    <w:rsid w:val="779C28C5"/>
    <w:rsid w:val="78104AA8"/>
    <w:rsid w:val="781706CD"/>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1217.42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8.73</c:v>
                </c:pt>
                <c:pt idx="4">
                  <c:v>40.16</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890.41</c:v>
                </c:pt>
                <c:pt idx="2">
                  <c:v>136.43</c:v>
                </c:pt>
                <c:pt idx="3">
                  <c:v>70.9</c:v>
                </c:pt>
                <c:pt idx="4">
                  <c:v>339.59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14.94</c:v>
                </c:pt>
                <c:pt idx="1">
                  <c:v>839.42</c:v>
                </c:pt>
                <c:pt idx="2">
                  <c:v>111.93</c:v>
                </c:pt>
                <c:pt idx="3">
                  <c:v>77.02</c:v>
                </c:pt>
                <c:pt idx="4">
                  <c:v>174.11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14.94</c:v>
                </c:pt>
                <c:pt idx="1">
                  <c:v>14.94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2050202</c:v>
                </c:pt>
                <c:pt idx="1">
                  <c:v>2050299</c:v>
                </c:pt>
                <c:pt idx="2">
                  <c:v>205x</c:v>
                </c:pt>
              </c:strCache>
            </c:strRef>
          </c:cat>
          <c:val>
            <c:numRef>
              <c:f>Sheet1!$B$2:$B$4</c:f>
              <c:numCache>
                <c:formatCode>General</c:formatCode>
                <c:ptCount val="3"/>
                <c:pt idx="0">
                  <c:v>790.66</c:v>
                </c:pt>
                <c:pt idx="1">
                  <c:v>48.77</c:v>
                </c:pt>
                <c:pt idx="2">
                  <c:v>839.42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111.93</c:v>
                </c:pt>
                <c:pt idx="1">
                  <c:v>111.93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77.02</c:v>
                </c:pt>
                <c:pt idx="1">
                  <c:v>77.02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174.11</c:v>
                </c:pt>
                <c:pt idx="1">
                  <c:v>174.11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443.59</c:v>
                </c:pt>
                <c:pt idx="1">
                  <c:v>28.41</c:v>
                </c:pt>
                <c:pt idx="2">
                  <c:v>120.17</c:v>
                </c:pt>
                <c:pt idx="3">
                  <c:v>0</c:v>
                </c:pt>
                <c:pt idx="4">
                  <c:v>170.43</c:v>
                </c:pt>
                <c:pt idx="5">
                  <c:v>111.93</c:v>
                </c:pt>
                <c:pt idx="6">
                  <c:v>0</c:v>
                </c:pt>
                <c:pt idx="7">
                  <c:v>49.43</c:v>
                </c:pt>
                <c:pt idx="8">
                  <c:v>0</c:v>
                </c:pt>
                <c:pt idx="9">
                  <c:v>7.3</c:v>
                </c:pt>
                <c:pt idx="10">
                  <c:v>84.22</c:v>
                </c:pt>
                <c:pt idx="11">
                  <c:v>0</c:v>
                </c:pt>
                <c:pt idx="12">
                  <c:v>0.9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14.43</c:v>
                </c:pt>
                <c:pt idx="1">
                  <c:v>0</c:v>
                </c:pt>
                <c:pt idx="2">
                  <c:v>0</c:v>
                </c:pt>
                <c:pt idx="3">
                  <c:v>0</c:v>
                </c:pt>
                <c:pt idx="4">
                  <c:v>4.24</c:v>
                </c:pt>
                <c:pt idx="5">
                  <c:v>6.13</c:v>
                </c:pt>
                <c:pt idx="6">
                  <c:v>4.59</c:v>
                </c:pt>
                <c:pt idx="7">
                  <c:v>0</c:v>
                </c:pt>
                <c:pt idx="8">
                  <c:v>0</c:v>
                </c:pt>
                <c:pt idx="9">
                  <c:v>1.41</c:v>
                </c:pt>
                <c:pt idx="10">
                  <c:v>0</c:v>
                </c:pt>
                <c:pt idx="11">
                  <c:v>2.01</c:v>
                </c:pt>
                <c:pt idx="12">
                  <c:v>0</c:v>
                </c:pt>
                <c:pt idx="13">
                  <c:v>0</c:v>
                </c:pt>
                <c:pt idx="14">
                  <c:v>0</c:v>
                </c:pt>
                <c:pt idx="15">
                  <c:v>0</c:v>
                </c:pt>
                <c:pt idx="16">
                  <c:v>0</c:v>
                </c:pt>
                <c:pt idx="17">
                  <c:v>0</c:v>
                </c:pt>
                <c:pt idx="18">
                  <c:v>0</c:v>
                </c:pt>
                <c:pt idx="19">
                  <c:v>0</c:v>
                </c:pt>
                <c:pt idx="20">
                  <c:v>0</c:v>
                </c:pt>
                <c:pt idx="21">
                  <c:v>14.94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2023-11-28T08:02:36Z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