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center"/>
        <w:rPr>
          <w:rFonts w:ascii="黑体" w:hAnsi="黑体" w:eastAsia="黑体" w:cs="黑体"/>
          <w:b/>
          <w:bCs/>
          <w:sz w:val="52"/>
          <w:szCs w:val="52"/>
        </w:rPr>
      </w:pPr>
      <w:r>
        <w:rPr>
          <w:rFonts w:hint="eastAsia" w:ascii="黑体" w:hAnsi="黑体" w:eastAsia="黑体" w:cs="黑体"/>
          <w:b/>
          <w:bCs/>
          <w:sz w:val="52"/>
          <w:szCs w:val="52"/>
        </w:rPr>
        <w:t>环江毛南族自治县第二幼儿园2022年度部门决算</w:t>
      </w:r>
    </w:p>
    <w:p>
      <w:pPr>
        <w:jc w:val="center"/>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黑体" w:hAnsi="黑体" w:eastAsia="黑体" w:cs="仿宋"/>
          <w:sz w:val="36"/>
          <w:szCs w:val="36"/>
        </w:rPr>
      </w:pPr>
      <w:r>
        <w:rPr>
          <w:rFonts w:hint="eastAsia" w:ascii="仿宋" w:hAnsi="仿宋" w:eastAsia="仿宋" w:cs="仿宋"/>
          <w:sz w:val="32"/>
          <w:szCs w:val="32"/>
        </w:rPr>
        <w:t xml:space="preserve">                 </w:t>
      </w:r>
      <w:r>
        <w:rPr>
          <w:rFonts w:hint="eastAsia" w:ascii="仿宋" w:hAnsi="仿宋" w:eastAsia="仿宋" w:cs="仿宋"/>
          <w:sz w:val="36"/>
          <w:szCs w:val="36"/>
        </w:rPr>
        <w:t xml:space="preserve"> </w:t>
      </w:r>
      <w:r>
        <w:rPr>
          <w:rFonts w:hint="eastAsia" w:ascii="黑体" w:hAnsi="黑体" w:eastAsia="黑体" w:cs="仿宋"/>
          <w:sz w:val="36"/>
          <w:szCs w:val="36"/>
        </w:rPr>
        <w:t>单位负责人:黄琴</w:t>
      </w:r>
    </w:p>
    <w:p>
      <w:pPr>
        <w:jc w:val="center"/>
        <w:rPr>
          <w:rFonts w:ascii="黑体" w:hAnsi="黑体" w:eastAsia="黑体" w:cs="黑体"/>
          <w:b/>
          <w:bCs/>
          <w:sz w:val="36"/>
          <w:szCs w:val="36"/>
        </w:rPr>
      </w:pPr>
      <w:r>
        <w:rPr>
          <w:rFonts w:hint="eastAsia" w:ascii="黑体" w:hAnsi="黑体" w:eastAsia="黑体" w:cs="黑体"/>
          <w:b/>
          <w:bCs/>
          <w:sz w:val="36"/>
          <w:szCs w:val="36"/>
        </w:rPr>
        <w:t xml:space="preserve"> 2023年10月</w:t>
      </w:r>
    </w:p>
    <w:p>
      <w:pPr>
        <w:rPr>
          <w:rFonts w:ascii="仿宋" w:hAnsi="仿宋" w:eastAsia="仿宋" w:cs="仿宋"/>
          <w:sz w:val="32"/>
          <w:szCs w:val="32"/>
        </w:rPr>
      </w:pPr>
      <w:r>
        <w:rPr>
          <w:rFonts w:ascii="仿宋" w:hAnsi="仿宋" w:eastAsia="仿宋" w:cs="仿宋"/>
          <w:sz w:val="32"/>
          <w:szCs w:val="32"/>
        </w:rPr>
        <w:br w:type="page"/>
      </w:r>
    </w:p>
    <w:p>
      <w:pPr>
        <w:jc w:val="center"/>
        <w:rPr>
          <w:rFonts w:ascii="黑体" w:hAnsi="黑体" w:eastAsia="黑体" w:cs="黑体"/>
          <w:b/>
          <w:bCs/>
          <w:sz w:val="36"/>
          <w:szCs w:val="36"/>
        </w:rPr>
      </w:pPr>
      <w:r>
        <w:rPr>
          <w:rFonts w:hint="eastAsia" w:ascii="黑体" w:hAnsi="黑体" w:eastAsia="黑体" w:cs="黑体"/>
          <w:b/>
          <w:bCs/>
          <w:sz w:val="36"/>
          <w:szCs w:val="36"/>
        </w:rPr>
        <w:t>目   录</w:t>
      </w:r>
    </w:p>
    <w:p>
      <w:pPr>
        <w:jc w:val="left"/>
        <w:rPr>
          <w:rFonts w:ascii="黑体" w:hAnsi="黑体" w:eastAsia="黑体" w:cs="黑体"/>
          <w:b/>
          <w:bCs/>
          <w:sz w:val="36"/>
          <w:szCs w:val="36"/>
        </w:rPr>
      </w:pPr>
    </w:p>
    <w:p>
      <w:pPr>
        <w:jc w:val="left"/>
        <w:rPr>
          <w:rFonts w:ascii="仿宋" w:hAnsi="仿宋" w:eastAsia="仿宋" w:cs="仿宋"/>
          <w:sz w:val="32"/>
          <w:szCs w:val="32"/>
        </w:rPr>
      </w:pPr>
      <w:r>
        <w:rPr>
          <w:rFonts w:hint="eastAsia" w:ascii="黑体" w:hAnsi="黑体" w:eastAsia="黑体" w:cs="黑体"/>
          <w:sz w:val="32"/>
          <w:szCs w:val="32"/>
        </w:rPr>
        <w:t>第一部分：</w:t>
      </w:r>
      <w:r>
        <w:rPr>
          <w:rFonts w:ascii="黑体" w:hAnsi="黑体" w:eastAsia="黑体" w:cs="黑体"/>
          <w:sz w:val="32"/>
        </w:rPr>
        <w:t>环江毛南族自治县第二幼儿园</w:t>
      </w:r>
      <w:r>
        <w:rPr>
          <w:rFonts w:hint="eastAsia" w:ascii="黑体" w:hAnsi="黑体" w:eastAsia="黑体" w:cs="黑体"/>
          <w:sz w:val="32"/>
          <w:szCs w:val="32"/>
        </w:rPr>
        <w:t>概况</w:t>
      </w:r>
    </w:p>
    <w:p>
      <w:pPr>
        <w:jc w:val="left"/>
        <w:rPr>
          <w:rFonts w:ascii="仿宋" w:hAnsi="仿宋" w:eastAsia="仿宋" w:cs="仿宋"/>
          <w:sz w:val="32"/>
          <w:szCs w:val="32"/>
        </w:rPr>
      </w:pPr>
      <w:r>
        <w:rPr>
          <w:rFonts w:hint="eastAsia" w:ascii="仿宋" w:hAnsi="仿宋" w:eastAsia="仿宋" w:cs="仿宋"/>
          <w:sz w:val="32"/>
          <w:szCs w:val="32"/>
        </w:rPr>
        <w:t>一、主要职能</w:t>
      </w:r>
    </w:p>
    <w:p>
      <w:pPr>
        <w:jc w:val="left"/>
        <w:rPr>
          <w:rFonts w:ascii="仿宋" w:hAnsi="仿宋" w:eastAsia="仿宋" w:cs="仿宋"/>
          <w:sz w:val="32"/>
          <w:szCs w:val="32"/>
        </w:rPr>
      </w:pPr>
      <w:r>
        <w:rPr>
          <w:rFonts w:hint="eastAsia" w:ascii="仿宋" w:hAnsi="仿宋" w:eastAsia="仿宋" w:cs="仿宋"/>
          <w:sz w:val="32"/>
          <w:szCs w:val="32"/>
        </w:rPr>
        <w:t>二、部门决算单位构成</w:t>
      </w:r>
    </w:p>
    <w:p>
      <w:pPr>
        <w:jc w:val="left"/>
        <w:rPr>
          <w:rFonts w:ascii="黑体" w:hAnsi="黑体" w:eastAsia="黑体" w:cs="黑体"/>
          <w:sz w:val="32"/>
          <w:szCs w:val="32"/>
        </w:rPr>
      </w:pPr>
      <w:r>
        <w:rPr>
          <w:rFonts w:hint="eastAsia" w:ascii="黑体" w:hAnsi="黑体" w:eastAsia="黑体" w:cs="黑体"/>
          <w:sz w:val="32"/>
          <w:szCs w:val="32"/>
        </w:rPr>
        <w:t>第二部分：</w:t>
      </w:r>
      <w:r>
        <w:rPr>
          <w:rFonts w:ascii="黑体" w:hAnsi="黑体" w:eastAsia="黑体" w:cs="黑体"/>
          <w:sz w:val="32"/>
        </w:rPr>
        <w:t>环江毛南族自治县第二幼儿园</w:t>
      </w:r>
      <w:r>
        <w:rPr>
          <w:rFonts w:hint="eastAsia" w:ascii="黑体" w:hAnsi="黑体" w:eastAsia="黑体" w:cs="黑体"/>
          <w:sz w:val="32"/>
          <w:szCs w:val="32"/>
        </w:rPr>
        <w:t>2022年度部门决算报表</w:t>
      </w:r>
    </w:p>
    <w:p>
      <w:pPr>
        <w:rPr>
          <w:rFonts w:ascii="仿宋_GB2312" w:eastAsia="仿宋_GB2312"/>
          <w:sz w:val="32"/>
          <w:szCs w:val="32"/>
        </w:rPr>
      </w:pPr>
      <w:r>
        <w:rPr>
          <w:rFonts w:hint="eastAsia" w:ascii="仿宋_GB2312" w:eastAsia="仿宋_GB2312"/>
          <w:sz w:val="32"/>
          <w:szCs w:val="32"/>
        </w:rPr>
        <w:t>表一：收入支出决算总表</w:t>
      </w:r>
    </w:p>
    <w:p>
      <w:pPr>
        <w:rPr>
          <w:rFonts w:ascii="仿宋_GB2312" w:eastAsia="仿宋_GB2312"/>
          <w:sz w:val="32"/>
          <w:szCs w:val="32"/>
        </w:rPr>
      </w:pPr>
      <w:r>
        <w:rPr>
          <w:rFonts w:hint="eastAsia" w:ascii="仿宋_GB2312" w:eastAsia="仿宋_GB2312"/>
          <w:sz w:val="32"/>
          <w:szCs w:val="32"/>
        </w:rPr>
        <w:t>表二：收入决算表</w:t>
      </w:r>
    </w:p>
    <w:p>
      <w:pPr>
        <w:rPr>
          <w:rFonts w:ascii="仿宋_GB2312" w:eastAsia="仿宋_GB2312"/>
          <w:sz w:val="32"/>
          <w:szCs w:val="32"/>
        </w:rPr>
      </w:pPr>
      <w:r>
        <w:rPr>
          <w:rFonts w:hint="eastAsia" w:ascii="仿宋_GB2312" w:eastAsia="仿宋_GB2312"/>
          <w:sz w:val="32"/>
          <w:szCs w:val="32"/>
        </w:rPr>
        <w:t>表三：支出决算表</w:t>
      </w:r>
    </w:p>
    <w:p>
      <w:pPr>
        <w:rPr>
          <w:rFonts w:ascii="仿宋_GB2312" w:eastAsia="仿宋_GB2312"/>
          <w:sz w:val="32"/>
          <w:szCs w:val="32"/>
        </w:rPr>
      </w:pPr>
      <w:r>
        <w:rPr>
          <w:rFonts w:hint="eastAsia" w:ascii="仿宋_GB2312" w:eastAsia="仿宋_GB2312"/>
          <w:sz w:val="32"/>
          <w:szCs w:val="32"/>
        </w:rPr>
        <w:t>表四：财政拨款收入支出决算总表</w:t>
      </w:r>
    </w:p>
    <w:p>
      <w:pPr>
        <w:rPr>
          <w:rFonts w:ascii="仿宋_GB2312" w:eastAsia="仿宋_GB2312"/>
          <w:sz w:val="32"/>
          <w:szCs w:val="32"/>
        </w:rPr>
      </w:pPr>
      <w:r>
        <w:rPr>
          <w:rFonts w:hint="eastAsia" w:ascii="仿宋_GB2312" w:eastAsia="仿宋_GB2312"/>
          <w:sz w:val="32"/>
          <w:szCs w:val="32"/>
        </w:rPr>
        <w:t>表五：一般公共预算财政拨款支出决算表</w:t>
      </w:r>
    </w:p>
    <w:p>
      <w:pPr>
        <w:rPr>
          <w:rFonts w:ascii="仿宋_GB2312" w:eastAsia="仿宋_GB2312"/>
          <w:sz w:val="32"/>
          <w:szCs w:val="32"/>
        </w:rPr>
      </w:pPr>
      <w:r>
        <w:rPr>
          <w:rFonts w:hint="eastAsia" w:ascii="仿宋_GB2312" w:eastAsia="仿宋_GB2312"/>
          <w:sz w:val="32"/>
          <w:szCs w:val="32"/>
        </w:rPr>
        <w:t>表六：一般公共预算财政拨款基本支出决算明细表</w:t>
      </w:r>
    </w:p>
    <w:p>
      <w:pPr>
        <w:rPr>
          <w:rFonts w:ascii="仿宋_GB2312" w:eastAsia="仿宋_GB2312"/>
          <w:sz w:val="32"/>
          <w:szCs w:val="32"/>
        </w:rPr>
      </w:pPr>
      <w:r>
        <w:rPr>
          <w:rFonts w:hint="eastAsia" w:ascii="仿宋_GB2312" w:eastAsia="仿宋_GB2312"/>
          <w:sz w:val="32"/>
          <w:szCs w:val="32"/>
        </w:rPr>
        <w:t>表七：政府性基金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rPr>
          <w:rFonts w:ascii="仿宋_GB2312" w:eastAsia="仿宋_GB2312"/>
          <w:sz w:val="32"/>
          <w:szCs w:val="32"/>
        </w:rPr>
      </w:pPr>
      <w:r>
        <w:rPr>
          <w:rFonts w:hint="eastAsia" w:ascii="仿宋_GB2312" w:eastAsia="仿宋_GB2312"/>
          <w:sz w:val="32"/>
          <w:szCs w:val="32"/>
        </w:rPr>
        <w:t>表八：国有资本经营预算</w:t>
      </w:r>
      <w:r>
        <w:rPr>
          <w:rFonts w:hint="eastAsia" w:ascii="仿宋_GB2312" w:hAnsi="黑体" w:eastAsia="仿宋_GB2312"/>
          <w:sz w:val="32"/>
          <w:szCs w:val="32"/>
        </w:rPr>
        <w:t>财政拨款</w:t>
      </w:r>
      <w:r>
        <w:rPr>
          <w:rFonts w:hint="eastAsia" w:ascii="仿宋_GB2312" w:eastAsia="仿宋_GB2312"/>
          <w:sz w:val="32"/>
          <w:szCs w:val="32"/>
        </w:rPr>
        <w:t>支出决算表</w:t>
      </w:r>
    </w:p>
    <w:p>
      <w:pPr>
        <w:rPr>
          <w:rFonts w:ascii="仿宋_GB2312" w:eastAsia="仿宋_GB2312"/>
          <w:sz w:val="32"/>
          <w:szCs w:val="32"/>
        </w:rPr>
      </w:pPr>
      <w:r>
        <w:rPr>
          <w:rFonts w:hint="eastAsia" w:ascii="仿宋_GB2312" w:eastAsia="仿宋_GB2312"/>
          <w:sz w:val="32"/>
          <w:szCs w:val="32"/>
        </w:rPr>
        <w:t>表九：财政拨款“三公”经费支出决算表</w:t>
      </w:r>
    </w:p>
    <w:p>
      <w:pPr>
        <w:jc w:val="left"/>
        <w:rPr>
          <w:rFonts w:ascii="仿宋" w:hAnsi="仿宋" w:eastAsia="仿宋" w:cs="仿宋"/>
          <w:sz w:val="32"/>
          <w:szCs w:val="32"/>
        </w:rPr>
      </w:pPr>
      <w:r>
        <w:rPr>
          <w:rFonts w:hint="eastAsia" w:ascii="黑体" w:hAnsi="黑体" w:eastAsia="黑体" w:cs="黑体"/>
          <w:sz w:val="32"/>
          <w:szCs w:val="32"/>
        </w:rPr>
        <w:t>第三部分：</w:t>
      </w:r>
      <w:r>
        <w:rPr>
          <w:rFonts w:ascii="黑体" w:hAnsi="黑体" w:eastAsia="黑体" w:cs="黑体"/>
          <w:sz w:val="32"/>
        </w:rPr>
        <w:t>环江毛南族自治县第二幼儿园</w:t>
      </w:r>
      <w:r>
        <w:rPr>
          <w:rFonts w:hint="eastAsia" w:ascii="黑体" w:hAnsi="黑体" w:eastAsia="黑体" w:cs="黑体"/>
          <w:sz w:val="32"/>
          <w:szCs w:val="32"/>
        </w:rPr>
        <w:t>2022年度部门决算情况说明</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rPr>
        <w:t>2022</w:t>
      </w:r>
      <w:r>
        <w:rPr>
          <w:rFonts w:hint="eastAsia" w:ascii="仿宋_GB2312" w:eastAsia="仿宋_GB2312" w:cs="仿宋_GB2312"/>
          <w:kern w:val="0"/>
          <w:sz w:val="32"/>
          <w:szCs w:val="32"/>
        </w:rPr>
        <w:t>年度收入支出决算总体情况。</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rPr>
        <w:t>2022</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三、2022年度一般公共预算财政拨款基本支出决算情况说明。</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rPr>
        <w:t>2022</w:t>
      </w:r>
      <w:r>
        <w:rPr>
          <w:rFonts w:hint="eastAsia" w:ascii="仿宋_GB2312" w:eastAsia="仿宋_GB2312" w:cs="仿宋_GB2312"/>
          <w:kern w:val="0"/>
          <w:sz w:val="32"/>
          <w:szCs w:val="32"/>
        </w:rPr>
        <w:t>年度政府性基金支出决算情况。</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五、2022年度国有资本经营预算支出决算情况。</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六、财政拨款“三公”经费支出决算情况说明。</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pPr>
        <w:jc w:val="left"/>
        <w:rPr>
          <w:rFonts w:ascii="黑体" w:hAnsi="黑体" w:eastAsia="黑体" w:cs="黑体"/>
          <w:sz w:val="32"/>
          <w:szCs w:val="32"/>
        </w:rPr>
      </w:pPr>
      <w:r>
        <w:rPr>
          <w:rFonts w:hint="eastAsia" w:ascii="黑体" w:hAnsi="黑体" w:eastAsia="黑体" w:cs="黑体"/>
          <w:sz w:val="32"/>
          <w:szCs w:val="32"/>
        </w:rPr>
        <w:t>第四部分：名词解释</w:t>
      </w:r>
    </w:p>
    <w:p>
      <w:pPr>
        <w:jc w:val="left"/>
        <w:rPr>
          <w:rFonts w:ascii="黑体" w:hAnsi="黑体" w:eastAsia="黑体" w:cs="黑体"/>
          <w:sz w:val="32"/>
          <w:szCs w:val="32"/>
        </w:rPr>
      </w:pPr>
      <w:r>
        <w:rPr>
          <w:rFonts w:hint="eastAsia" w:ascii="黑体" w:hAnsi="黑体" w:eastAsia="黑体" w:cs="黑体"/>
          <w:sz w:val="32"/>
          <w:szCs w:val="32"/>
        </w:rPr>
        <w:br w:type="page"/>
      </w:r>
    </w:p>
    <w:p>
      <w:pPr>
        <w:jc w:val="center"/>
        <w:rPr>
          <w:rFonts w:ascii="仿宋" w:hAnsi="仿宋" w:eastAsia="仿宋" w:cs="仿宋"/>
          <w:sz w:val="32"/>
          <w:szCs w:val="32"/>
        </w:rPr>
      </w:pPr>
      <w:r>
        <w:rPr>
          <w:rFonts w:hint="eastAsia" w:ascii="黑体" w:hAnsi="黑体" w:eastAsia="黑体" w:cs="黑体"/>
          <w:b/>
          <w:bCs/>
          <w:sz w:val="32"/>
          <w:szCs w:val="32"/>
        </w:rPr>
        <w:t>第一部分：</w:t>
      </w:r>
      <w:r>
        <w:rPr>
          <w:rFonts w:ascii="黑体" w:hAnsi="黑体" w:eastAsia="黑体" w:cs="黑体"/>
          <w:b/>
          <w:sz w:val="32"/>
        </w:rPr>
        <w:t>环江毛南族自治县第二幼儿园</w:t>
      </w:r>
      <w:r>
        <w:rPr>
          <w:rFonts w:hint="eastAsia" w:ascii="黑体" w:hAnsi="黑体" w:eastAsia="黑体" w:cs="黑体"/>
          <w:b/>
          <w:bCs/>
          <w:sz w:val="32"/>
          <w:szCs w:val="32"/>
        </w:rPr>
        <w:t>概况</w:t>
      </w:r>
    </w:p>
    <w:p>
      <w:pPr>
        <w:jc w:val="left"/>
        <w:rPr>
          <w:rFonts w:ascii="仿宋" w:hAnsi="仿宋" w:eastAsia="仿宋" w:cs="仿宋"/>
          <w:sz w:val="32"/>
          <w:szCs w:val="32"/>
        </w:rPr>
      </w:pPr>
      <w:r>
        <w:rPr>
          <w:rFonts w:hint="eastAsia" w:ascii="黑体" w:hAnsi="黑体" w:eastAsia="黑体" w:cs="黑体"/>
          <w:sz w:val="32"/>
          <w:szCs w:val="32"/>
        </w:rPr>
        <w:t>一、主要职能</w:t>
      </w:r>
    </w:p>
    <w:p>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一、环江毛南族自治县第二幼儿园的主要职能是:</w:t>
      </w:r>
    </w:p>
    <w:p>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（一）贯彻执行党和国家的教育方针、政策和法律法规；拟订全园教育改革与发展规划并组织实施。</w:t>
      </w:r>
    </w:p>
    <w:p>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（二）编制本园教育事业发展规划并检查实施情况，向自治县人民政府和上级教育部门作出报告。</w:t>
      </w:r>
    </w:p>
    <w:p>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（三）督促检查全园贯彻执行教育方针、政策、法令、法规和上级的各项规定；评估指导全园教育教学工作。</w:t>
      </w:r>
    </w:p>
    <w:p>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（四）负责推进幼儿教育均衡发展和促进教育公平。</w:t>
      </w:r>
    </w:p>
    <w:p>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（五）负责全园人才队伍和教师队伍建设，包括园长岗位培训、后备干部队伍建设、教师学历教育、继续教育等。</w:t>
      </w:r>
    </w:p>
    <w:p>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（六）负责组织全园做好学籍管理工作。</w:t>
      </w:r>
    </w:p>
    <w:p>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（七）按照中央关于全面推进素质教育要求，负责教育教学管理、教育教学改革及教育教学科学研究工作，检查指导全园实施素质教育工作，并组织推广先进的教育教学经验。</w:t>
      </w:r>
    </w:p>
    <w:p>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（八）检查指导学校教育教学设备的装备、管理和使用工作。</w:t>
      </w:r>
    </w:p>
    <w:p>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（九）检查指导全园开展电化教育和信息化教学工作。</w:t>
      </w:r>
    </w:p>
    <w:p>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（十）负责全园教师初级专业技术职务资格的评审，中、高级专业技术职务资格的申报工作。按照管理权限对教师进行考核、聘任、奖惩、晋升等工作。</w:t>
      </w:r>
    </w:p>
    <w:p>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（十一）负责监督审计全园教育经费和教育基建经费拨付及教育附加费和教育费附加的征收、管理与使用工作。</w:t>
      </w:r>
    </w:p>
    <w:p>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（十二）负责指导全园学生资助管理工作。</w:t>
      </w:r>
    </w:p>
    <w:p>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（十三）负责语言文字和指导推广普通话工作。</w:t>
      </w:r>
    </w:p>
    <w:p>
      <w:pPr>
        <w:ind w:firstLine="640" w:firstLineChars="200"/>
        <w:jc w:val="left"/>
        <w:rPr>
          <w:rFonts w:ascii="仿宋" w:hAnsi="仿宋" w:eastAsia="仿宋" w:cs="仿宋"/>
          <w:sz w:val="32"/>
          <w:szCs w:val="32"/>
        </w:rPr>
      </w:pPr>
      <w:r>
        <w:rPr>
          <w:rFonts w:hint="eastAsia" w:ascii="Times New Roman" w:hAnsi="Times New Roman" w:eastAsia="仿宋_GB2312" w:cs="Times New Roman"/>
          <w:sz w:val="32"/>
          <w:szCs w:val="32"/>
        </w:rPr>
        <w:t>（十四）完成上级部门交办的其他工作。</w:t>
      </w:r>
    </w:p>
    <w:p>
      <w:pPr>
        <w:jc w:val="left"/>
        <w:rPr>
          <w:rFonts w:ascii="仿宋" w:hAnsi="仿宋" w:eastAsia="仿宋" w:cs="仿宋"/>
          <w:sz w:val="32"/>
          <w:szCs w:val="32"/>
        </w:rPr>
      </w:pPr>
      <w:r>
        <w:rPr>
          <w:rFonts w:hint="eastAsia" w:ascii="黑体" w:hAnsi="黑体" w:eastAsia="黑体" w:cs="黑体"/>
          <w:sz w:val="32"/>
          <w:szCs w:val="32"/>
        </w:rPr>
        <w:t>二、部门决算单位构成</w:t>
      </w:r>
    </w:p>
    <w:p>
      <w:pPr>
        <w:ind w:firstLine="640" w:firstLineChars="200"/>
        <w:jc w:val="left"/>
        <w:rPr>
          <w:rFonts w:ascii="仿宋" w:hAnsi="仿宋" w:eastAsia="仿宋" w:cs="仿宋"/>
          <w:sz w:val="32"/>
          <w:szCs w:val="32"/>
        </w:rPr>
      </w:pPr>
      <w:r>
        <w:rPr>
          <w:rFonts w:hint="eastAsia" w:ascii="Times New Roman" w:hAnsi="Times New Roman" w:eastAsia="仿宋_GB2312" w:cs="Times New Roman"/>
          <w:sz w:val="32"/>
          <w:szCs w:val="32"/>
        </w:rPr>
        <w:t>环江毛南族自治县第二幼儿园有四个内设机构，分别为：行政办公室、保教室、财务室、安全办。共有34名编制，其中8名实名制编制，26名教师控制数编制，单位自聘教职工46名，2名保安。</w:t>
      </w:r>
    </w:p>
    <w:p>
      <w:pPr>
        <w:spacing w:line="560" w:lineRule="exact"/>
        <w:ind w:firstLine="645"/>
        <w:rPr>
          <w:rFonts w:ascii="Times New Roman" w:hAnsi="Times New Roman" w:eastAsia="方正小标宋简体" w:cs="Times New Roman"/>
          <w:bCs/>
          <w:sz w:val="44"/>
          <w:szCs w:val="44"/>
        </w:rPr>
      </w:pPr>
    </w:p>
    <w:p>
      <w:pPr>
        <w:jc w:val="center"/>
        <w:rPr>
          <w:rFonts w:ascii="仿宋" w:hAnsi="仿宋" w:eastAsia="仿宋" w:cs="仿宋"/>
          <w:sz w:val="32"/>
          <w:szCs w:val="32"/>
        </w:rPr>
      </w:pPr>
    </w:p>
    <w:p>
      <w:pPr>
        <w:jc w:val="center"/>
        <w:rPr>
          <w:rFonts w:ascii="黑体" w:hAnsi="黑体" w:eastAsia="黑体" w:cs="黑体"/>
          <w:sz w:val="32"/>
          <w:szCs w:val="32"/>
        </w:rPr>
      </w:pPr>
    </w:p>
    <w:p>
      <w:pPr>
        <w:rPr>
          <w:rFonts w:ascii="黑体" w:hAnsi="黑体" w:eastAsia="黑体" w:cs="黑体"/>
          <w:sz w:val="32"/>
          <w:szCs w:val="32"/>
        </w:rPr>
        <w:sectPr>
          <w:pgSz w:w="11906" w:h="16838"/>
          <w:pgMar w:top="1440" w:right="1800" w:bottom="1440" w:left="1800" w:header="851" w:footer="992" w:gutter="0"/>
          <w:cols w:space="425" w:num="1"/>
          <w:docGrid w:type="lines" w:linePitch="312" w:charSpace="0"/>
        </w:sectPr>
      </w:pPr>
    </w:p>
    <w:p>
      <w:pPr>
        <w:ind w:firstLine="1600" w:firstLineChars="500"/>
        <w:rPr>
          <w:rFonts w:ascii="黑体" w:hAnsi="黑体" w:eastAsia="黑体" w:cs="黑体"/>
          <w:sz w:val="32"/>
          <w:szCs w:val="32"/>
        </w:rPr>
      </w:pPr>
      <w:r>
        <w:rPr>
          <w:rFonts w:hint="eastAsia" w:ascii="黑体" w:hAnsi="黑体" w:eastAsia="黑体" w:cs="黑体"/>
          <w:sz w:val="32"/>
          <w:szCs w:val="32"/>
        </w:rPr>
        <w:t>第二部分：</w:t>
      </w:r>
      <w:r>
        <w:rPr>
          <w:rFonts w:ascii="黑体" w:hAnsi="黑体" w:eastAsia="黑体" w:cs="黑体"/>
          <w:sz w:val="32"/>
        </w:rPr>
        <w:t>环江毛南族自治县第二幼儿园</w:t>
      </w:r>
      <w:r>
        <w:rPr>
          <w:rFonts w:hint="eastAsia" w:ascii="黑体" w:hAnsi="黑体" w:eastAsia="黑体" w:cs="黑体"/>
          <w:sz w:val="32"/>
          <w:szCs w:val="32"/>
        </w:rPr>
        <w:t>2022年度部门决算报表</w:t>
      </w:r>
    </w:p>
    <w:tbl>
      <w:tblPr>
        <w:tblStyle w:val="7"/>
        <w:tblW w:w="13940" w:type="dxa"/>
        <w:tblInd w:w="96" w:type="dxa"/>
        <w:tblLayout w:type="fixed"/>
        <w:tblCellMar>
          <w:top w:w="0" w:type="dxa"/>
          <w:left w:w="108" w:type="dxa"/>
          <w:bottom w:w="0" w:type="dxa"/>
          <w:right w:w="108" w:type="dxa"/>
        </w:tblCellMar>
      </w:tblPr>
      <w:tblGrid>
        <w:gridCol w:w="2543"/>
        <w:gridCol w:w="2393"/>
        <w:gridCol w:w="2231"/>
        <w:gridCol w:w="2669"/>
        <w:gridCol w:w="2202"/>
        <w:gridCol w:w="1902"/>
      </w:tblGrid>
      <w:tr>
        <w:tblPrEx>
          <w:tblCellMar>
            <w:top w:w="0" w:type="dxa"/>
            <w:left w:w="108" w:type="dxa"/>
            <w:bottom w:w="0" w:type="dxa"/>
            <w:right w:w="108" w:type="dxa"/>
          </w:tblCellMar>
        </w:tblPrEx>
        <w:trPr>
          <w:trHeight w:val="902" w:hRule="atLeast"/>
        </w:trPr>
        <w:tc>
          <w:tcPr>
            <w:tcW w:w="13940" w:type="dxa"/>
            <w:gridSpan w:val="6"/>
            <w:tcBorders>
              <w:top w:val="nil"/>
              <w:left w:val="nil"/>
              <w:bottom w:val="nil"/>
              <w:right w:val="nil"/>
            </w:tcBorders>
            <w:shd w:val="clear" w:color="auto" w:fill="auto"/>
            <w:noWrap/>
            <w:vAlign w:val="bottom"/>
          </w:tcPr>
          <w:p>
            <w:pPr>
              <w:jc w:val="left"/>
              <w:rPr>
                <w:rFonts w:ascii="仿宋" w:hAnsi="仿宋" w:eastAsia="仿宋" w:cs="仿宋"/>
                <w:sz w:val="24"/>
              </w:rPr>
            </w:pPr>
            <w:r>
              <w:rPr>
                <w:rFonts w:hint="eastAsia" w:ascii="仿宋" w:hAnsi="仿宋" w:eastAsia="仿宋" w:cs="仿宋"/>
                <w:sz w:val="24"/>
              </w:rPr>
              <w:t>表一：收入支出决算总表</w:t>
            </w:r>
          </w:p>
          <w:p>
            <w:pPr>
              <w:widowControl/>
              <w:jc w:val="center"/>
              <w:textAlignment w:val="bottom"/>
              <w:rPr>
                <w:rFonts w:ascii="宋体" w:hAnsi="宋体" w:eastAsia="宋体" w:cs="宋体"/>
                <w:sz w:val="30"/>
                <w:szCs w:val="30"/>
              </w:rPr>
            </w:pPr>
            <w:r>
              <w:rPr>
                <w:rFonts w:hint="eastAsia" w:ascii="宋体" w:hAnsi="宋体" w:eastAsia="宋体" w:cs="宋体"/>
                <w:kern w:val="0"/>
                <w:sz w:val="32"/>
                <w:szCs w:val="32"/>
              </w:rPr>
              <w:t>收入支出决算总表</w:t>
            </w:r>
          </w:p>
        </w:tc>
      </w:tr>
      <w:tr>
        <w:tblPrEx>
          <w:tblCellMar>
            <w:top w:w="0" w:type="dxa"/>
            <w:left w:w="108" w:type="dxa"/>
            <w:bottom w:w="0" w:type="dxa"/>
            <w:right w:w="108" w:type="dxa"/>
          </w:tblCellMar>
        </w:tblPrEx>
        <w:trPr>
          <w:trHeight w:val="301" w:hRule="atLeast"/>
        </w:trPr>
        <w:tc>
          <w:tcPr>
            <w:tcW w:w="2543" w:type="dxa"/>
            <w:tcBorders>
              <w:top w:val="nil"/>
              <w:left w:val="nil"/>
              <w:bottom w:val="nil"/>
              <w:right w:val="nil"/>
            </w:tcBorders>
            <w:shd w:val="clear" w:color="auto" w:fill="auto"/>
            <w:noWrap/>
            <w:vAlign w:val="bottom"/>
          </w:tcPr>
          <w:p>
            <w:pPr>
              <w:rPr>
                <w:rFonts w:ascii="Arial" w:hAnsi="Arial" w:cs="Arial"/>
                <w:sz w:val="20"/>
                <w:szCs w:val="20"/>
              </w:rPr>
            </w:pPr>
          </w:p>
        </w:tc>
        <w:tc>
          <w:tcPr>
            <w:tcW w:w="2393" w:type="dxa"/>
            <w:tcBorders>
              <w:top w:val="nil"/>
              <w:left w:val="nil"/>
              <w:bottom w:val="nil"/>
              <w:right w:val="nil"/>
            </w:tcBorders>
            <w:shd w:val="clear" w:color="auto" w:fill="auto"/>
            <w:noWrap/>
            <w:vAlign w:val="bottom"/>
          </w:tcPr>
          <w:p>
            <w:pPr>
              <w:rPr>
                <w:rFonts w:ascii="Arial" w:hAnsi="Arial" w:cs="Arial"/>
                <w:sz w:val="20"/>
                <w:szCs w:val="20"/>
              </w:rPr>
            </w:pPr>
          </w:p>
        </w:tc>
        <w:tc>
          <w:tcPr>
            <w:tcW w:w="2231" w:type="dxa"/>
            <w:tcBorders>
              <w:top w:val="nil"/>
              <w:left w:val="nil"/>
              <w:bottom w:val="nil"/>
              <w:right w:val="nil"/>
            </w:tcBorders>
            <w:shd w:val="clear" w:color="auto" w:fill="auto"/>
            <w:noWrap/>
            <w:vAlign w:val="bottom"/>
          </w:tcPr>
          <w:p>
            <w:pPr>
              <w:rPr>
                <w:rFonts w:ascii="Arial" w:hAnsi="Arial" w:cs="Arial"/>
                <w:sz w:val="20"/>
                <w:szCs w:val="20"/>
              </w:rPr>
            </w:pPr>
          </w:p>
        </w:tc>
        <w:tc>
          <w:tcPr>
            <w:tcW w:w="2669" w:type="dxa"/>
            <w:tcBorders>
              <w:top w:val="nil"/>
              <w:left w:val="nil"/>
              <w:bottom w:val="nil"/>
              <w:right w:val="nil"/>
            </w:tcBorders>
            <w:shd w:val="clear" w:color="auto" w:fill="auto"/>
            <w:noWrap/>
            <w:vAlign w:val="bottom"/>
          </w:tcPr>
          <w:p>
            <w:pPr>
              <w:rPr>
                <w:rFonts w:ascii="Arial" w:hAnsi="Arial" w:cs="Arial"/>
                <w:sz w:val="20"/>
                <w:szCs w:val="20"/>
              </w:rPr>
            </w:pPr>
          </w:p>
        </w:tc>
        <w:tc>
          <w:tcPr>
            <w:tcW w:w="2202" w:type="dxa"/>
            <w:tcBorders>
              <w:top w:val="nil"/>
              <w:left w:val="nil"/>
              <w:bottom w:val="nil"/>
              <w:right w:val="nil"/>
            </w:tcBorders>
            <w:shd w:val="clear" w:color="auto" w:fill="auto"/>
            <w:noWrap/>
            <w:vAlign w:val="bottom"/>
          </w:tcPr>
          <w:p>
            <w:pPr>
              <w:rPr>
                <w:rFonts w:ascii="Arial" w:hAnsi="Arial" w:cs="Arial"/>
                <w:sz w:val="20"/>
                <w:szCs w:val="20"/>
              </w:rPr>
            </w:pPr>
          </w:p>
        </w:tc>
        <w:tc>
          <w:tcPr>
            <w:tcW w:w="1902" w:type="dxa"/>
            <w:tcBorders>
              <w:top w:val="nil"/>
              <w:left w:val="nil"/>
              <w:bottom w:val="nil"/>
              <w:right w:val="nil"/>
            </w:tcBorders>
            <w:shd w:val="clear" w:color="auto" w:fill="auto"/>
            <w:noWrap/>
            <w:vAlign w:val="bottom"/>
          </w:tcPr>
          <w:p>
            <w:pPr>
              <w:widowControl/>
              <w:jc w:val="right"/>
              <w:textAlignment w:val="bottom"/>
              <w:rPr>
                <w:rFonts w:ascii="宋体" w:hAnsi="宋体" w:eastAsia="宋体" w:cs="宋体"/>
                <w:sz w:val="20"/>
                <w:szCs w:val="20"/>
              </w:rPr>
            </w:pPr>
            <w:r>
              <w:rPr>
                <w:rFonts w:hint="eastAsia" w:ascii="宋体" w:hAnsi="宋体" w:eastAsia="宋体" w:cs="宋体"/>
                <w:kern w:val="0"/>
                <w:sz w:val="20"/>
                <w:szCs w:val="20"/>
              </w:rPr>
              <w:t>公开01表</w:t>
            </w:r>
          </w:p>
        </w:tc>
      </w:tr>
      <w:tr>
        <w:tblPrEx>
          <w:tblCellMar>
            <w:top w:w="0" w:type="dxa"/>
            <w:left w:w="108" w:type="dxa"/>
            <w:bottom w:w="0" w:type="dxa"/>
            <w:right w:w="108" w:type="dxa"/>
          </w:tblCellMar>
        </w:tblPrEx>
        <w:trPr>
          <w:trHeight w:val="301" w:hRule="atLeast"/>
        </w:trPr>
        <w:tc>
          <w:tcPr>
            <w:tcW w:w="7167" w:type="dxa"/>
            <w:gridSpan w:val="3"/>
            <w:tcBorders>
              <w:top w:val="nil"/>
              <w:left w:val="nil"/>
              <w:bottom w:val="single" w:color="auto" w:sz="4" w:space="0"/>
              <w:right w:val="nil"/>
            </w:tcBorders>
            <w:shd w:val="clear" w:color="auto" w:fill="auto"/>
            <w:noWrap/>
            <w:vAlign w:val="bottom"/>
          </w:tcPr>
          <w:p>
            <w:pPr>
              <w:rPr>
                <w:rFonts w:ascii="Arial" w:hAnsi="Arial" w:cs="Arial"/>
                <w:sz w:val="20"/>
                <w:szCs w:val="20"/>
              </w:rPr>
            </w:pPr>
            <w:r>
              <w:rPr>
                <w:rFonts w:hint="eastAsia" w:ascii="宋体" w:hAnsi="宋体" w:eastAsia="宋体" w:cs="宋体"/>
                <w:kern w:val="0"/>
                <w:sz w:val="20"/>
                <w:szCs w:val="20"/>
              </w:rPr>
              <w:t>部门：</w:t>
            </w:r>
            <w:r>
              <w:rPr>
                <w:rFonts w:ascii="宋体" w:hAnsi="宋体" w:eastAsia="宋体" w:cs="宋体"/>
                <w:sz w:val="20"/>
              </w:rPr>
              <w:t>环江毛南族自治县第二幼儿园</w:t>
            </w:r>
          </w:p>
        </w:tc>
        <w:tc>
          <w:tcPr>
            <w:tcW w:w="2669" w:type="dxa"/>
            <w:tcBorders>
              <w:top w:val="nil"/>
              <w:left w:val="nil"/>
              <w:bottom w:val="single" w:color="auto" w:sz="4" w:space="0"/>
              <w:right w:val="nil"/>
            </w:tcBorders>
            <w:shd w:val="clear" w:color="auto" w:fill="auto"/>
            <w:noWrap/>
            <w:vAlign w:val="bottom"/>
          </w:tcPr>
          <w:p>
            <w:pPr>
              <w:rPr>
                <w:rFonts w:ascii="Arial" w:hAnsi="Arial" w:cs="Arial"/>
                <w:sz w:val="20"/>
                <w:szCs w:val="20"/>
              </w:rPr>
            </w:pPr>
          </w:p>
        </w:tc>
        <w:tc>
          <w:tcPr>
            <w:tcW w:w="2202" w:type="dxa"/>
            <w:tcBorders>
              <w:top w:val="nil"/>
              <w:left w:val="nil"/>
              <w:bottom w:val="single" w:color="auto" w:sz="4" w:space="0"/>
              <w:right w:val="nil"/>
            </w:tcBorders>
            <w:shd w:val="clear" w:color="auto" w:fill="auto"/>
            <w:noWrap/>
            <w:vAlign w:val="bottom"/>
          </w:tcPr>
          <w:p>
            <w:pPr>
              <w:rPr>
                <w:rFonts w:ascii="Arial" w:hAnsi="Arial" w:cs="Arial"/>
                <w:sz w:val="20"/>
                <w:szCs w:val="20"/>
              </w:rPr>
            </w:pPr>
          </w:p>
        </w:tc>
        <w:tc>
          <w:tcPr>
            <w:tcW w:w="1902" w:type="dxa"/>
            <w:tcBorders>
              <w:top w:val="nil"/>
              <w:left w:val="nil"/>
              <w:bottom w:val="single" w:color="auto" w:sz="4" w:space="0"/>
              <w:right w:val="nil"/>
            </w:tcBorders>
            <w:shd w:val="clear" w:color="auto" w:fill="auto"/>
            <w:noWrap/>
            <w:vAlign w:val="bottom"/>
          </w:tcPr>
          <w:p>
            <w:pPr>
              <w:widowControl/>
              <w:jc w:val="right"/>
              <w:textAlignment w:val="bottom"/>
              <w:rPr>
                <w:rFonts w:ascii="宋体" w:hAnsi="宋体" w:eastAsia="宋体" w:cs="宋体"/>
                <w:sz w:val="20"/>
                <w:szCs w:val="20"/>
              </w:rPr>
            </w:pPr>
            <w:r>
              <w:rPr>
                <w:rFonts w:hint="eastAsia" w:ascii="宋体" w:hAnsi="宋体" w:eastAsia="宋体" w:cs="宋体"/>
                <w:kern w:val="0"/>
                <w:sz w:val="20"/>
                <w:szCs w:val="20"/>
              </w:rPr>
              <w:t>金额单位：万元</w:t>
            </w:r>
          </w:p>
        </w:tc>
      </w:tr>
      <w:tr>
        <w:tblPrEx>
          <w:tblCellMar>
            <w:top w:w="0" w:type="dxa"/>
            <w:left w:w="108" w:type="dxa"/>
            <w:bottom w:w="0" w:type="dxa"/>
            <w:right w:w="108" w:type="dxa"/>
          </w:tblCellMar>
        </w:tblPrEx>
        <w:trPr>
          <w:trHeight w:val="315" w:hRule="atLeast"/>
        </w:trPr>
        <w:tc>
          <w:tcPr>
            <w:tcW w:w="71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收入</w:t>
            </w:r>
          </w:p>
        </w:tc>
        <w:tc>
          <w:tcPr>
            <w:tcW w:w="67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支出</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项目</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行次</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金额</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金额</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栏次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栏次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一、一般公共预算财政拨款收入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445.33</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hint="eastAsia" w:ascii="宋体" w:hAnsi="宋体" w:eastAsia="宋体" w:cs="宋体"/>
                <w:kern w:val="0"/>
                <w:sz w:val="22"/>
                <w:szCs w:val="22"/>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2.44</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二、政府性基金预算财政拨款收入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hint="eastAsia" w:ascii="宋体" w:hAnsi="宋体" w:eastAsia="宋体" w:cs="宋体"/>
                <w:kern w:val="0"/>
                <w:sz w:val="22"/>
                <w:szCs w:val="22"/>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三、国有资本经营预算财政拨款收入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hint="eastAsia" w:ascii="宋体" w:hAnsi="宋体" w:eastAsia="宋体" w:cs="宋体"/>
                <w:kern w:val="0"/>
                <w:sz w:val="22"/>
                <w:szCs w:val="22"/>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四、上级补助收入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hint="eastAsia" w:ascii="宋体" w:hAnsi="宋体" w:eastAsia="宋体" w:cs="宋体"/>
                <w:kern w:val="0"/>
                <w:sz w:val="22"/>
                <w:szCs w:val="22"/>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五、事业收入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hint="eastAsia" w:ascii="宋体" w:hAnsi="宋体" w:eastAsia="宋体" w:cs="宋体"/>
                <w:kern w:val="0"/>
                <w:sz w:val="22"/>
                <w:szCs w:val="22"/>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381.11</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六、经营收入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hint="eastAsia" w:ascii="宋体" w:hAnsi="宋体" w:eastAsia="宋体" w:cs="宋体"/>
                <w:kern w:val="0"/>
                <w:sz w:val="22"/>
                <w:szCs w:val="22"/>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七、附属单位上缴收入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hint="eastAsia" w:ascii="宋体" w:hAnsi="宋体" w:eastAsia="宋体" w:cs="宋体"/>
                <w:kern w:val="0"/>
                <w:sz w:val="22"/>
                <w:szCs w:val="22"/>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八、其他收入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hint="eastAsia" w:ascii="宋体" w:hAnsi="宋体" w:eastAsia="宋体" w:cs="宋体"/>
                <w:kern w:val="0"/>
                <w:sz w:val="22"/>
                <w:szCs w:val="22"/>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18.82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hint="eastAsia" w:ascii="宋体" w:hAnsi="宋体" w:eastAsia="宋体" w:cs="宋体"/>
                <w:kern w:val="0"/>
                <w:sz w:val="22"/>
                <w:szCs w:val="22"/>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10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hint="eastAsia" w:ascii="宋体" w:hAnsi="宋体" w:eastAsia="宋体" w:cs="宋体"/>
                <w:kern w:val="0"/>
                <w:sz w:val="22"/>
                <w:szCs w:val="22"/>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11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hint="eastAsia" w:ascii="宋体" w:hAnsi="宋体" w:eastAsia="宋体" w:cs="宋体"/>
                <w:kern w:val="0"/>
                <w:sz w:val="22"/>
                <w:szCs w:val="22"/>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12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hint="eastAsia" w:ascii="宋体" w:hAnsi="宋体" w:eastAsia="宋体" w:cs="宋体"/>
                <w:kern w:val="0"/>
                <w:sz w:val="22"/>
                <w:szCs w:val="22"/>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13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hint="eastAsia" w:ascii="宋体" w:hAnsi="宋体" w:eastAsia="宋体" w:cs="宋体"/>
                <w:kern w:val="0"/>
                <w:sz w:val="22"/>
                <w:szCs w:val="22"/>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14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hint="eastAsia" w:ascii="宋体" w:hAnsi="宋体" w:eastAsia="宋体" w:cs="宋体"/>
                <w:kern w:val="0"/>
                <w:sz w:val="22"/>
                <w:szCs w:val="22"/>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15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hint="eastAsia" w:ascii="宋体" w:hAnsi="宋体" w:eastAsia="宋体" w:cs="宋体"/>
                <w:kern w:val="0"/>
                <w:sz w:val="22"/>
                <w:szCs w:val="22"/>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16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hint="eastAsia" w:ascii="宋体" w:hAnsi="宋体" w:eastAsia="宋体" w:cs="宋体"/>
                <w:kern w:val="0"/>
                <w:sz w:val="22"/>
                <w:szCs w:val="22"/>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17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hint="eastAsia" w:ascii="宋体" w:hAnsi="宋体" w:eastAsia="宋体" w:cs="宋体"/>
                <w:kern w:val="0"/>
                <w:sz w:val="22"/>
                <w:szCs w:val="22"/>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18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hint="eastAsia" w:ascii="宋体" w:hAnsi="宋体" w:eastAsia="宋体" w:cs="宋体"/>
                <w:kern w:val="0"/>
                <w:sz w:val="22"/>
                <w:szCs w:val="22"/>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19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hint="eastAsia" w:ascii="宋体" w:hAnsi="宋体" w:eastAsia="宋体" w:cs="宋体"/>
                <w:kern w:val="0"/>
                <w:sz w:val="22"/>
                <w:szCs w:val="22"/>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13.79</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20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hint="eastAsia" w:ascii="宋体" w:hAnsi="宋体" w:eastAsia="宋体" w:cs="宋体"/>
                <w:kern w:val="0"/>
                <w:sz w:val="22"/>
                <w:szCs w:val="22"/>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21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hint="eastAsia" w:ascii="宋体" w:hAnsi="宋体" w:eastAsia="宋体" w:cs="宋体"/>
                <w:kern w:val="0"/>
                <w:sz w:val="22"/>
                <w:szCs w:val="22"/>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22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hint="eastAsia" w:ascii="宋体" w:hAnsi="宋体" w:eastAsia="宋体" w:cs="宋体"/>
                <w:kern w:val="0"/>
                <w:sz w:val="22"/>
                <w:szCs w:val="22"/>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23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hint="eastAsia" w:ascii="宋体" w:hAnsi="宋体" w:eastAsia="宋体" w:cs="宋体"/>
                <w:kern w:val="0"/>
                <w:sz w:val="22"/>
                <w:szCs w:val="22"/>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29.16</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24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hint="eastAsia" w:ascii="宋体" w:hAnsi="宋体" w:eastAsia="宋体" w:cs="宋体"/>
                <w:kern w:val="0"/>
                <w:sz w:val="22"/>
                <w:szCs w:val="22"/>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25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hint="eastAsia" w:ascii="宋体" w:hAnsi="宋体" w:eastAsia="宋体" w:cs="宋体"/>
                <w:kern w:val="0"/>
                <w:sz w:val="22"/>
                <w:szCs w:val="22"/>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26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hint="eastAsia" w:ascii="宋体" w:hAnsi="宋体" w:eastAsia="宋体" w:cs="宋体"/>
                <w:kern w:val="0"/>
                <w:sz w:val="22"/>
                <w:szCs w:val="22"/>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本年收入合计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27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445.33</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hint="eastAsia" w:ascii="宋体" w:hAnsi="宋体" w:eastAsia="宋体" w:cs="宋体"/>
                <w:kern w:val="0"/>
                <w:sz w:val="22"/>
                <w:szCs w:val="22"/>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445.33</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使用非财政拨款结余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28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hint="eastAsia" w:ascii="宋体" w:hAnsi="宋体" w:eastAsia="宋体" w:cs="宋体"/>
                <w:kern w:val="0"/>
                <w:sz w:val="22"/>
                <w:szCs w:val="22"/>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年初结转和结余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29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hint="eastAsia" w:ascii="宋体" w:hAnsi="宋体" w:eastAsia="宋体" w:cs="宋体"/>
                <w:kern w:val="0"/>
                <w:sz w:val="22"/>
                <w:szCs w:val="22"/>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30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总计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31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445.33</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hint="eastAsia" w:ascii="宋体" w:hAnsi="宋体" w:eastAsia="宋体" w:cs="宋体"/>
                <w:kern w:val="0"/>
                <w:sz w:val="22"/>
                <w:szCs w:val="22"/>
              </w:rPr>
              <w:t>总计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445.33</w:t>
            </w:r>
          </w:p>
        </w:tc>
      </w:tr>
    </w:tbl>
    <w:p>
      <w:pPr>
        <w:rPr>
          <w:rFonts w:ascii="宋体" w:hAnsi="宋体" w:eastAsia="宋体" w:cs="宋体"/>
          <w:kern w:val="0"/>
          <w:sz w:val="30"/>
          <w:szCs w:val="30"/>
        </w:rPr>
      </w:pPr>
      <w:r>
        <w:rPr>
          <w:rFonts w:hint="eastAsia" w:ascii="宋体" w:hAnsi="宋体" w:eastAsia="宋体" w:cs="宋体"/>
          <w:kern w:val="0"/>
          <w:sz w:val="30"/>
          <w:szCs w:val="30"/>
        </w:rPr>
        <w:br w:type="page"/>
      </w:r>
    </w:p>
    <w:tbl>
      <w:tblPr>
        <w:tblStyle w:val="7"/>
        <w:tblW w:w="13960" w:type="dxa"/>
        <w:tblInd w:w="96" w:type="dxa"/>
        <w:tblLayout w:type="fixed"/>
        <w:tblCellMar>
          <w:top w:w="0" w:type="dxa"/>
          <w:left w:w="108" w:type="dxa"/>
          <w:bottom w:w="0" w:type="dxa"/>
          <w:right w:w="108" w:type="dxa"/>
        </w:tblCellMar>
      </w:tblPr>
      <w:tblGrid>
        <w:gridCol w:w="1584"/>
        <w:gridCol w:w="1378"/>
        <w:gridCol w:w="236"/>
        <w:gridCol w:w="236"/>
        <w:gridCol w:w="524"/>
        <w:gridCol w:w="1520"/>
        <w:gridCol w:w="1453"/>
        <w:gridCol w:w="1373"/>
        <w:gridCol w:w="1467"/>
        <w:gridCol w:w="1480"/>
        <w:gridCol w:w="1440"/>
        <w:gridCol w:w="1269"/>
      </w:tblGrid>
      <w:tr>
        <w:tblPrEx>
          <w:tblCellMar>
            <w:top w:w="0" w:type="dxa"/>
            <w:left w:w="108" w:type="dxa"/>
            <w:bottom w:w="0" w:type="dxa"/>
            <w:right w:w="108" w:type="dxa"/>
          </w:tblCellMar>
        </w:tblPrEx>
        <w:trPr>
          <w:trHeight w:val="951" w:hRule="atLeast"/>
        </w:trPr>
        <w:tc>
          <w:tcPr>
            <w:tcW w:w="13960" w:type="dxa"/>
            <w:gridSpan w:val="12"/>
            <w:tcBorders>
              <w:top w:val="nil"/>
              <w:left w:val="nil"/>
              <w:bottom w:val="nil"/>
              <w:right w:val="nil"/>
            </w:tcBorders>
            <w:shd w:val="clear" w:color="auto" w:fill="auto"/>
            <w:noWrap/>
            <w:vAlign w:val="bottom"/>
          </w:tcPr>
          <w:p>
            <w:pPr>
              <w:jc w:val="left"/>
              <w:rPr>
                <w:rFonts w:ascii="仿宋" w:hAnsi="仿宋" w:eastAsia="仿宋" w:cs="仿宋"/>
                <w:sz w:val="24"/>
              </w:rPr>
            </w:pPr>
            <w:r>
              <w:rPr>
                <w:rFonts w:hint="eastAsia" w:ascii="仿宋" w:hAnsi="仿宋" w:eastAsia="仿宋" w:cs="仿宋"/>
                <w:sz w:val="24"/>
              </w:rPr>
              <w:t>表二：收入决算表</w:t>
            </w:r>
          </w:p>
          <w:p>
            <w:pPr>
              <w:widowControl/>
              <w:jc w:val="center"/>
              <w:textAlignment w:val="bottom"/>
              <w:rPr>
                <w:rFonts w:ascii="宋体" w:hAnsi="宋体" w:eastAsia="宋体" w:cs="宋体"/>
                <w:sz w:val="30"/>
                <w:szCs w:val="30"/>
              </w:rPr>
            </w:pPr>
            <w:r>
              <w:rPr>
                <w:rFonts w:hint="eastAsia" w:ascii="宋体" w:hAnsi="宋体" w:eastAsia="宋体" w:cs="宋体"/>
                <w:kern w:val="0"/>
                <w:sz w:val="32"/>
                <w:szCs w:val="32"/>
              </w:rPr>
              <w:t>收入决算表</w:t>
            </w:r>
          </w:p>
        </w:tc>
      </w:tr>
      <w:tr>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noWrap/>
            <w:vAlign w:val="bottom"/>
          </w:tcPr>
          <w:p>
            <w:pPr>
              <w:rPr>
                <w:rFonts w:ascii="Arial" w:hAnsi="Arial" w:cs="Arial"/>
                <w:sz w:val="20"/>
                <w:szCs w:val="20"/>
              </w:rPr>
            </w:pPr>
          </w:p>
        </w:tc>
        <w:tc>
          <w:tcPr>
            <w:tcW w:w="236" w:type="dxa"/>
            <w:tcBorders>
              <w:top w:val="nil"/>
              <w:left w:val="nil"/>
              <w:bottom w:val="nil"/>
              <w:right w:val="nil"/>
            </w:tcBorders>
            <w:shd w:val="clear" w:color="auto" w:fill="auto"/>
            <w:noWrap/>
            <w:vAlign w:val="bottom"/>
          </w:tcPr>
          <w:p>
            <w:pPr>
              <w:rPr>
                <w:rFonts w:ascii="Arial" w:hAnsi="Arial" w:cs="Arial"/>
                <w:sz w:val="20"/>
                <w:szCs w:val="20"/>
              </w:rPr>
            </w:pPr>
          </w:p>
        </w:tc>
        <w:tc>
          <w:tcPr>
            <w:tcW w:w="236" w:type="dxa"/>
            <w:tcBorders>
              <w:top w:val="nil"/>
              <w:left w:val="nil"/>
              <w:bottom w:val="nil"/>
              <w:right w:val="nil"/>
            </w:tcBorders>
            <w:shd w:val="clear" w:color="auto" w:fill="auto"/>
            <w:noWrap/>
            <w:vAlign w:val="bottom"/>
          </w:tcPr>
          <w:p>
            <w:pPr>
              <w:rPr>
                <w:rFonts w:ascii="Arial" w:hAnsi="Arial" w:cs="Arial"/>
                <w:sz w:val="20"/>
                <w:szCs w:val="20"/>
              </w:rPr>
            </w:pPr>
          </w:p>
        </w:tc>
        <w:tc>
          <w:tcPr>
            <w:tcW w:w="524" w:type="dxa"/>
            <w:tcBorders>
              <w:top w:val="nil"/>
              <w:left w:val="nil"/>
              <w:bottom w:val="nil"/>
              <w:right w:val="nil"/>
            </w:tcBorders>
            <w:shd w:val="clear" w:color="auto" w:fill="auto"/>
            <w:noWrap/>
            <w:vAlign w:val="bottom"/>
          </w:tcPr>
          <w:p>
            <w:pPr>
              <w:rPr>
                <w:rFonts w:ascii="Arial" w:hAnsi="Arial" w:cs="Arial"/>
                <w:sz w:val="20"/>
                <w:szCs w:val="20"/>
              </w:rPr>
            </w:pPr>
          </w:p>
        </w:tc>
        <w:tc>
          <w:tcPr>
            <w:tcW w:w="1520" w:type="dxa"/>
            <w:tcBorders>
              <w:top w:val="nil"/>
              <w:left w:val="nil"/>
              <w:bottom w:val="nil"/>
              <w:right w:val="nil"/>
            </w:tcBorders>
            <w:shd w:val="clear" w:color="auto" w:fill="auto"/>
            <w:noWrap/>
            <w:vAlign w:val="bottom"/>
          </w:tcPr>
          <w:p>
            <w:pPr>
              <w:rPr>
                <w:rFonts w:ascii="Arial" w:hAnsi="Arial" w:cs="Arial"/>
                <w:sz w:val="20"/>
                <w:szCs w:val="20"/>
              </w:rPr>
            </w:pPr>
          </w:p>
        </w:tc>
        <w:tc>
          <w:tcPr>
            <w:tcW w:w="1453" w:type="dxa"/>
            <w:tcBorders>
              <w:top w:val="nil"/>
              <w:left w:val="nil"/>
              <w:bottom w:val="nil"/>
              <w:right w:val="nil"/>
            </w:tcBorders>
            <w:shd w:val="clear" w:color="auto" w:fill="auto"/>
            <w:noWrap/>
            <w:vAlign w:val="bottom"/>
          </w:tcPr>
          <w:p>
            <w:pPr>
              <w:rPr>
                <w:rFonts w:ascii="Arial" w:hAnsi="Arial" w:cs="Arial"/>
                <w:sz w:val="20"/>
                <w:szCs w:val="20"/>
              </w:rPr>
            </w:pPr>
          </w:p>
        </w:tc>
        <w:tc>
          <w:tcPr>
            <w:tcW w:w="1373" w:type="dxa"/>
            <w:tcBorders>
              <w:top w:val="nil"/>
              <w:left w:val="nil"/>
              <w:bottom w:val="nil"/>
              <w:right w:val="nil"/>
            </w:tcBorders>
            <w:shd w:val="clear" w:color="auto" w:fill="auto"/>
            <w:noWrap/>
            <w:vAlign w:val="bottom"/>
          </w:tcPr>
          <w:p>
            <w:pPr>
              <w:rPr>
                <w:rFonts w:ascii="Arial" w:hAnsi="Arial" w:cs="Arial"/>
                <w:sz w:val="20"/>
                <w:szCs w:val="20"/>
              </w:rPr>
            </w:pPr>
          </w:p>
        </w:tc>
        <w:tc>
          <w:tcPr>
            <w:tcW w:w="1467" w:type="dxa"/>
            <w:tcBorders>
              <w:top w:val="nil"/>
              <w:left w:val="nil"/>
              <w:bottom w:val="nil"/>
              <w:right w:val="nil"/>
            </w:tcBorders>
            <w:shd w:val="clear" w:color="auto" w:fill="auto"/>
            <w:noWrap/>
            <w:vAlign w:val="bottom"/>
          </w:tcPr>
          <w:p>
            <w:pPr>
              <w:rPr>
                <w:rFonts w:ascii="Arial" w:hAnsi="Arial" w:cs="Arial"/>
                <w:sz w:val="20"/>
                <w:szCs w:val="20"/>
              </w:rPr>
            </w:pPr>
          </w:p>
        </w:tc>
        <w:tc>
          <w:tcPr>
            <w:tcW w:w="1480" w:type="dxa"/>
            <w:tcBorders>
              <w:top w:val="nil"/>
              <w:left w:val="nil"/>
              <w:bottom w:val="nil"/>
              <w:right w:val="nil"/>
            </w:tcBorders>
            <w:shd w:val="clear" w:color="auto" w:fill="auto"/>
            <w:noWrap/>
            <w:vAlign w:val="bottom"/>
          </w:tcPr>
          <w:p>
            <w:pPr>
              <w:rPr>
                <w:rFonts w:ascii="Arial" w:hAnsi="Arial" w:cs="Arial"/>
                <w:sz w:val="20"/>
                <w:szCs w:val="20"/>
              </w:rPr>
            </w:pPr>
          </w:p>
        </w:tc>
        <w:tc>
          <w:tcPr>
            <w:tcW w:w="2709" w:type="dxa"/>
            <w:gridSpan w:val="2"/>
            <w:tcBorders>
              <w:top w:val="nil"/>
              <w:left w:val="nil"/>
              <w:bottom w:val="nil"/>
              <w:right w:val="nil"/>
            </w:tcBorders>
            <w:shd w:val="clear" w:color="auto" w:fill="auto"/>
            <w:noWrap/>
            <w:vAlign w:val="bottom"/>
          </w:tcPr>
          <w:p>
            <w:pPr>
              <w:widowControl/>
              <w:jc w:val="right"/>
              <w:textAlignment w:val="bottom"/>
              <w:rPr>
                <w:rFonts w:ascii="宋体" w:hAnsi="宋体" w:eastAsia="宋体" w:cs="宋体"/>
                <w:sz w:val="20"/>
                <w:szCs w:val="20"/>
              </w:rPr>
            </w:pPr>
            <w:r>
              <w:rPr>
                <w:rFonts w:hint="eastAsia" w:ascii="宋体" w:hAnsi="宋体" w:eastAsia="宋体" w:cs="宋体"/>
                <w:kern w:val="0"/>
                <w:sz w:val="20"/>
                <w:szCs w:val="20"/>
              </w:rPr>
              <w:t>公开02表</w:t>
            </w:r>
          </w:p>
        </w:tc>
      </w:tr>
      <w:tr>
        <w:tblPrEx>
          <w:tblCellMar>
            <w:top w:w="0" w:type="dxa"/>
            <w:left w:w="108" w:type="dxa"/>
            <w:bottom w:w="0" w:type="dxa"/>
            <w:right w:w="108" w:type="dxa"/>
          </w:tblCellMar>
        </w:tblPrEx>
        <w:trPr>
          <w:trHeight w:val="317" w:hRule="atLeast"/>
        </w:trPr>
        <w:tc>
          <w:tcPr>
            <w:tcW w:w="6931" w:type="dxa"/>
            <w:gridSpan w:val="7"/>
            <w:tcBorders>
              <w:top w:val="nil"/>
              <w:left w:val="nil"/>
              <w:bottom w:val="single" w:color="auto" w:sz="4" w:space="0"/>
              <w:right w:val="nil"/>
            </w:tcBorders>
            <w:shd w:val="clear" w:color="auto" w:fill="auto"/>
            <w:noWrap/>
            <w:vAlign w:val="bottom"/>
          </w:tcPr>
          <w:p>
            <w:pPr>
              <w:rPr>
                <w:rFonts w:ascii="Arial" w:hAnsi="Arial" w:cs="Arial"/>
                <w:sz w:val="20"/>
                <w:szCs w:val="20"/>
              </w:rPr>
            </w:pPr>
            <w:r>
              <w:rPr>
                <w:rFonts w:hint="eastAsia" w:ascii="宋体" w:hAnsi="宋体" w:eastAsia="宋体" w:cs="宋体"/>
                <w:kern w:val="0"/>
                <w:sz w:val="20"/>
                <w:szCs w:val="20"/>
              </w:rPr>
              <w:t>部门：</w:t>
            </w:r>
            <w:r>
              <w:rPr>
                <w:rFonts w:ascii="宋体" w:hAnsi="宋体" w:eastAsia="宋体" w:cs="宋体"/>
                <w:sz w:val="20"/>
              </w:rPr>
              <w:t>环江毛南族自治县第二幼儿园</w:t>
            </w:r>
          </w:p>
        </w:tc>
        <w:tc>
          <w:tcPr>
            <w:tcW w:w="1373" w:type="dxa"/>
            <w:tcBorders>
              <w:top w:val="nil"/>
              <w:left w:val="nil"/>
              <w:bottom w:val="single" w:color="auto" w:sz="4" w:space="0"/>
              <w:right w:val="nil"/>
            </w:tcBorders>
            <w:shd w:val="clear" w:color="auto" w:fill="auto"/>
            <w:noWrap/>
            <w:vAlign w:val="bottom"/>
          </w:tcPr>
          <w:p>
            <w:pPr>
              <w:rPr>
                <w:rFonts w:ascii="Arial" w:hAnsi="Arial" w:cs="Arial"/>
                <w:sz w:val="20"/>
                <w:szCs w:val="20"/>
              </w:rPr>
            </w:pPr>
          </w:p>
        </w:tc>
        <w:tc>
          <w:tcPr>
            <w:tcW w:w="1467" w:type="dxa"/>
            <w:tcBorders>
              <w:top w:val="nil"/>
              <w:left w:val="nil"/>
              <w:bottom w:val="single" w:color="auto" w:sz="4" w:space="0"/>
              <w:right w:val="nil"/>
            </w:tcBorders>
            <w:shd w:val="clear" w:color="auto" w:fill="auto"/>
            <w:noWrap/>
            <w:vAlign w:val="bottom"/>
          </w:tcPr>
          <w:p>
            <w:pPr>
              <w:rPr>
                <w:rFonts w:ascii="Arial" w:hAnsi="Arial" w:cs="Arial"/>
                <w:sz w:val="20"/>
                <w:szCs w:val="20"/>
              </w:rPr>
            </w:pPr>
          </w:p>
        </w:tc>
        <w:tc>
          <w:tcPr>
            <w:tcW w:w="1480" w:type="dxa"/>
            <w:tcBorders>
              <w:top w:val="nil"/>
              <w:left w:val="nil"/>
              <w:bottom w:val="single" w:color="auto" w:sz="4" w:space="0"/>
              <w:right w:val="nil"/>
            </w:tcBorders>
            <w:shd w:val="clear" w:color="auto" w:fill="auto"/>
            <w:noWrap/>
            <w:vAlign w:val="bottom"/>
          </w:tcPr>
          <w:p>
            <w:pPr>
              <w:rPr>
                <w:rFonts w:ascii="Arial" w:hAnsi="Arial" w:cs="Arial"/>
                <w:sz w:val="20"/>
                <w:szCs w:val="20"/>
              </w:rPr>
            </w:pPr>
          </w:p>
        </w:tc>
        <w:tc>
          <w:tcPr>
            <w:tcW w:w="2709" w:type="dxa"/>
            <w:gridSpan w:val="2"/>
            <w:tcBorders>
              <w:top w:val="nil"/>
              <w:left w:val="nil"/>
              <w:bottom w:val="single" w:color="auto" w:sz="4" w:space="0"/>
            </w:tcBorders>
            <w:shd w:val="clear" w:color="auto" w:fill="auto"/>
            <w:noWrap/>
            <w:vAlign w:val="bottom"/>
          </w:tcPr>
          <w:p>
            <w:pPr>
              <w:widowControl/>
              <w:jc w:val="right"/>
              <w:textAlignment w:val="bottom"/>
              <w:rPr>
                <w:rFonts w:ascii="宋体" w:hAnsi="宋体" w:eastAsia="宋体" w:cs="宋体"/>
                <w:sz w:val="20"/>
                <w:szCs w:val="20"/>
              </w:rPr>
            </w:pPr>
            <w:r>
              <w:rPr>
                <w:rFonts w:hint="eastAsia" w:ascii="宋体" w:hAnsi="宋体" w:eastAsia="宋体" w:cs="宋体"/>
                <w:kern w:val="0"/>
                <w:sz w:val="20"/>
                <w:szCs w:val="20"/>
              </w:rPr>
              <w:t>金额单位：万元</w:t>
            </w: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项目</w:t>
            </w:r>
          </w:p>
        </w:tc>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本年收入合计</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财政拨款收入</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上级补助收入</w:t>
            </w:r>
          </w:p>
        </w:tc>
        <w:tc>
          <w:tcPr>
            <w:tcW w:w="14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事业收入</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其他收入</w:t>
            </w:r>
          </w:p>
        </w:tc>
      </w:tr>
      <w:tr>
        <w:tblPrEx>
          <w:tblCellMar>
            <w:top w:w="0" w:type="dxa"/>
            <w:left w:w="108" w:type="dxa"/>
            <w:bottom w:w="0" w:type="dxa"/>
            <w:right w:w="108" w:type="dxa"/>
          </w:tblCellMar>
        </w:tblPrEx>
        <w:trPr>
          <w:trHeight w:val="327" w:hRule="atLeast"/>
        </w:trPr>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功能分类科目编码</w:t>
            </w:r>
          </w:p>
        </w:tc>
        <w:tc>
          <w:tcPr>
            <w:tcW w:w="2374"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科目名称</w:t>
            </w: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r>
      <w:tr>
        <w:tblPrEx>
          <w:tblCellMar>
            <w:top w:w="0" w:type="dxa"/>
            <w:left w:w="108" w:type="dxa"/>
            <w:bottom w:w="0" w:type="dxa"/>
            <w:right w:w="108" w:type="dxa"/>
          </w:tblCellMar>
        </w:tblPrEx>
        <w:trPr>
          <w:trHeight w:val="312"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栏次</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1</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2</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3</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4</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7</w:t>
            </w:r>
          </w:p>
        </w:tc>
      </w:tr>
      <w:tr>
        <w:tblPrEx>
          <w:tblCellMar>
            <w:top w:w="0" w:type="dxa"/>
            <w:left w:w="108" w:type="dxa"/>
            <w:bottom w:w="0" w:type="dxa"/>
            <w:right w:w="108" w:type="dxa"/>
          </w:tblCellMar>
        </w:tblPrEx>
        <w:trPr>
          <w:trHeight w:val="399"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合计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sz w:val="22"/>
                <w:szCs w:val="22"/>
              </w:rPr>
            </w:pPr>
            <w:r>
              <w:rPr>
                <w:rFonts w:hint="eastAsia" w:ascii="宋体" w:hAnsi="宋体" w:eastAsia="宋体" w:cs="宋体"/>
                <w:b/>
                <w:bCs/>
                <w:sz w:val="22"/>
                <w:szCs w:val="22"/>
              </w:rPr>
              <w:t>445.33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sz w:val="22"/>
                <w:szCs w:val="22"/>
              </w:rPr>
            </w:pPr>
            <w:r>
              <w:rPr>
                <w:rFonts w:hint="eastAsia" w:ascii="宋体" w:hAnsi="宋体" w:eastAsia="宋体" w:cs="宋体"/>
                <w:b/>
                <w:bCs/>
                <w:sz w:val="22"/>
                <w:szCs w:val="22"/>
              </w:rPr>
              <w:t>445.33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sz w:val="22"/>
                <w:szCs w:val="22"/>
              </w:rPr>
            </w:pPr>
            <w:r>
              <w:rPr>
                <w:rFonts w:hint="eastAsia" w:ascii="宋体" w:hAnsi="宋体" w:eastAsia="宋体" w:cs="宋体"/>
                <w:b/>
                <w:bCs/>
                <w:sz w:val="22"/>
                <w:szCs w:val="22"/>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sz w:val="22"/>
                <w:szCs w:val="22"/>
              </w:rPr>
            </w:pPr>
            <w:r>
              <w:rPr>
                <w:rFonts w:hint="eastAsia" w:ascii="宋体" w:hAnsi="宋体" w:eastAsia="宋体" w:cs="宋体"/>
                <w:b/>
                <w:bCs/>
                <w:sz w:val="22"/>
                <w:szCs w:val="22"/>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sz w:val="22"/>
                <w:szCs w:val="22"/>
              </w:rPr>
            </w:pPr>
            <w:r>
              <w:rPr>
                <w:rFonts w:hint="eastAsia" w:ascii="宋体" w:hAnsi="宋体" w:eastAsia="宋体" w:cs="宋体"/>
                <w:b/>
                <w:bCs/>
                <w:sz w:val="22"/>
                <w:szCs w:val="22"/>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sz w:val="22"/>
                <w:szCs w:val="22"/>
              </w:rPr>
            </w:pPr>
            <w:r>
              <w:rPr>
                <w:rFonts w:hint="eastAsia" w:ascii="宋体" w:hAnsi="宋体" w:eastAsia="宋体" w:cs="宋体"/>
                <w:b/>
                <w:bCs/>
                <w:sz w:val="22"/>
                <w:szCs w:val="22"/>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sz w:val="22"/>
                <w:szCs w:val="22"/>
              </w:rPr>
            </w:pPr>
            <w:r>
              <w:rPr>
                <w:rFonts w:hint="eastAsia" w:ascii="宋体" w:hAnsi="宋体" w:eastAsia="宋体" w:cs="宋体"/>
                <w:b/>
                <w:bCs/>
                <w:sz w:val="22"/>
                <w:szCs w:val="22"/>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ascii="宋体" w:hAnsi="宋体" w:eastAsia="宋体" w:cs="宋体"/>
                <w:kern w:val="0"/>
                <w:sz w:val="22"/>
                <w:szCs w:val="22"/>
              </w:rPr>
              <w:t>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ascii="宋体" w:hAnsi="宋体" w:eastAsia="宋体" w:cs="宋体"/>
                <w:kern w:val="0"/>
                <w:sz w:val="22"/>
                <w:szCs w:val="22"/>
              </w:rPr>
              <w:t>一般公共服务支出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2.44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2.44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ascii="宋体" w:hAnsi="宋体" w:eastAsia="宋体" w:cs="宋体"/>
                <w:kern w:val="0"/>
                <w:sz w:val="22"/>
                <w:szCs w:val="22"/>
              </w:rPr>
              <w:t>20129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ascii="宋体" w:hAnsi="宋体" w:eastAsia="宋体" w:cs="宋体"/>
                <w:kern w:val="0"/>
                <w:sz w:val="22"/>
                <w:szCs w:val="22"/>
              </w:rPr>
              <w:t>群众团体事务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2.44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2.44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ascii="宋体" w:hAnsi="宋体" w:eastAsia="宋体" w:cs="宋体"/>
                <w:kern w:val="0"/>
                <w:sz w:val="22"/>
                <w:szCs w:val="22"/>
              </w:rPr>
              <w:t>2012999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ascii="宋体" w:hAnsi="宋体" w:eastAsia="宋体" w:cs="宋体"/>
                <w:kern w:val="0"/>
                <w:sz w:val="22"/>
                <w:szCs w:val="22"/>
              </w:rPr>
              <w:t xml:space="preserve">  其他群众团体事务支出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2.44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2.44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ascii="宋体" w:hAnsi="宋体" w:eastAsia="宋体" w:cs="宋体"/>
                <w:kern w:val="0"/>
                <w:sz w:val="22"/>
                <w:szCs w:val="22"/>
              </w:rPr>
              <w:t>205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ascii="宋体" w:hAnsi="宋体" w:eastAsia="宋体" w:cs="宋体"/>
                <w:kern w:val="0"/>
                <w:sz w:val="22"/>
                <w:szCs w:val="22"/>
              </w:rPr>
              <w:t>教育支出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381.11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381.11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ascii="宋体" w:hAnsi="宋体" w:eastAsia="宋体" w:cs="宋体"/>
                <w:kern w:val="0"/>
                <w:sz w:val="22"/>
                <w:szCs w:val="22"/>
              </w:rPr>
              <w:t>20502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ascii="宋体" w:hAnsi="宋体" w:eastAsia="宋体" w:cs="宋体"/>
                <w:kern w:val="0"/>
                <w:sz w:val="22"/>
                <w:szCs w:val="22"/>
              </w:rPr>
              <w:t>普通教育</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381.11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381.11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ascii="宋体" w:hAnsi="宋体" w:eastAsia="宋体" w:cs="宋体"/>
                <w:kern w:val="0"/>
                <w:sz w:val="22"/>
                <w:szCs w:val="22"/>
              </w:rPr>
              <w:t>2050201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ascii="宋体" w:hAnsi="宋体" w:eastAsia="宋体" w:cs="宋体"/>
                <w:kern w:val="0"/>
                <w:sz w:val="22"/>
                <w:szCs w:val="22"/>
              </w:rPr>
              <w:t xml:space="preserve">  学前教育</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375.98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375.98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ascii="宋体" w:hAnsi="宋体" w:eastAsia="宋体" w:cs="宋体"/>
                <w:kern w:val="0"/>
                <w:sz w:val="22"/>
                <w:szCs w:val="22"/>
              </w:rPr>
              <w:t>2050299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ascii="宋体" w:hAnsi="宋体" w:eastAsia="宋体" w:cs="宋体"/>
                <w:kern w:val="0"/>
                <w:sz w:val="22"/>
                <w:szCs w:val="22"/>
              </w:rPr>
              <w:t xml:space="preserve">  其他普通教育支出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5.13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5.13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ascii="宋体" w:hAnsi="宋体" w:eastAsia="宋体" w:cs="宋体"/>
                <w:kern w:val="0"/>
                <w:sz w:val="22"/>
                <w:szCs w:val="22"/>
              </w:rPr>
              <w:t>208</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ascii="宋体" w:hAnsi="宋体" w:eastAsia="宋体" w:cs="宋体"/>
                <w:kern w:val="0"/>
                <w:sz w:val="22"/>
                <w:szCs w:val="22"/>
              </w:rPr>
              <w:t>社会保障和就业支出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18.82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18.82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ascii="宋体" w:hAnsi="宋体" w:eastAsia="宋体" w:cs="宋体"/>
                <w:kern w:val="0"/>
                <w:sz w:val="22"/>
                <w:szCs w:val="22"/>
              </w:rPr>
              <w:t>20805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ascii="宋体" w:hAnsi="宋体" w:eastAsia="宋体" w:cs="宋体"/>
                <w:kern w:val="0"/>
                <w:sz w:val="22"/>
                <w:szCs w:val="22"/>
              </w:rPr>
              <w:t>行政事业单位养老支出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18.82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18.82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ascii="宋体" w:hAnsi="宋体" w:eastAsia="宋体" w:cs="宋体"/>
                <w:kern w:val="0"/>
                <w:sz w:val="22"/>
                <w:szCs w:val="22"/>
              </w:rPr>
              <w:t>2080505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ascii="宋体" w:hAnsi="宋体" w:eastAsia="宋体" w:cs="宋体"/>
                <w:kern w:val="0"/>
                <w:sz w:val="22"/>
                <w:szCs w:val="22"/>
              </w:rPr>
              <w:t xml:space="preserve">  机关事业单位基本养老保险缴费支出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18.82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18.82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ascii="宋体" w:hAnsi="宋体" w:eastAsia="宋体" w:cs="宋体"/>
                <w:kern w:val="0"/>
                <w:sz w:val="22"/>
                <w:szCs w:val="22"/>
              </w:rPr>
              <w:t>221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ascii="宋体" w:hAnsi="宋体" w:eastAsia="宋体" w:cs="宋体"/>
                <w:kern w:val="0"/>
                <w:sz w:val="22"/>
                <w:szCs w:val="22"/>
              </w:rPr>
              <w:t>住房保障支出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13.79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13.79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ascii="宋体" w:hAnsi="宋体" w:eastAsia="宋体" w:cs="宋体"/>
                <w:kern w:val="0"/>
                <w:sz w:val="22"/>
                <w:szCs w:val="22"/>
              </w:rPr>
              <w:t>22102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ascii="宋体" w:hAnsi="宋体" w:eastAsia="宋体" w:cs="宋体"/>
                <w:kern w:val="0"/>
                <w:sz w:val="22"/>
                <w:szCs w:val="22"/>
              </w:rPr>
              <w:t>住房改革支出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13.79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13.79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ascii="宋体" w:hAnsi="宋体" w:eastAsia="宋体" w:cs="宋体"/>
                <w:kern w:val="0"/>
                <w:sz w:val="22"/>
                <w:szCs w:val="22"/>
              </w:rPr>
              <w:t>2210201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ascii="宋体" w:hAnsi="宋体" w:eastAsia="宋体" w:cs="宋体"/>
                <w:kern w:val="0"/>
                <w:sz w:val="22"/>
                <w:szCs w:val="22"/>
              </w:rPr>
              <w:t xml:space="preserve">  住房公积金</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13.79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13.79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ascii="宋体" w:hAnsi="宋体" w:eastAsia="宋体" w:cs="宋体"/>
                <w:kern w:val="0"/>
                <w:sz w:val="22"/>
                <w:szCs w:val="22"/>
              </w:rPr>
              <w:t>229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ascii="宋体" w:hAnsi="宋体" w:eastAsia="宋体" w:cs="宋体"/>
                <w:kern w:val="0"/>
                <w:sz w:val="22"/>
                <w:szCs w:val="22"/>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29.16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29.16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ascii="宋体" w:hAnsi="宋体" w:eastAsia="宋体" w:cs="宋体"/>
                <w:kern w:val="0"/>
                <w:sz w:val="22"/>
                <w:szCs w:val="22"/>
              </w:rPr>
              <w:t>22999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ascii="宋体" w:hAnsi="宋体" w:eastAsia="宋体" w:cs="宋体"/>
                <w:kern w:val="0"/>
                <w:sz w:val="22"/>
                <w:szCs w:val="22"/>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29.16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29.16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ascii="宋体" w:hAnsi="宋体" w:eastAsia="宋体" w:cs="宋体"/>
                <w:kern w:val="0"/>
                <w:sz w:val="22"/>
                <w:szCs w:val="22"/>
              </w:rPr>
              <w:t>2299999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ascii="宋体" w:hAnsi="宋体" w:eastAsia="宋体" w:cs="宋体"/>
                <w:kern w:val="0"/>
                <w:sz w:val="22"/>
                <w:szCs w:val="22"/>
              </w:rPr>
              <w:t xml:space="preserve">  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29.16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29.16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327" w:hRule="atLeast"/>
        </w:trPr>
        <w:tc>
          <w:tcPr>
            <w:tcW w:w="13960" w:type="dxa"/>
            <w:gridSpan w:val="12"/>
            <w:tcBorders>
              <w:top w:val="single" w:color="auto" w:sz="4" w:space="0"/>
              <w:left w:val="nil"/>
              <w:bottom w:val="nil"/>
              <w:right w:val="nil"/>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注：本表反映部门本年度取得的各项收入情况。</w:t>
            </w:r>
          </w:p>
        </w:tc>
      </w:tr>
    </w:tbl>
    <w:p>
      <w:pPr>
        <w:jc w:val="cente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r>
        <w:rPr>
          <w:rFonts w:hint="eastAsia" w:ascii="仿宋" w:hAnsi="仿宋" w:eastAsia="仿宋" w:cs="仿宋"/>
          <w:sz w:val="24"/>
        </w:rPr>
        <w:t>表三：支出决算表</w:t>
      </w:r>
    </w:p>
    <w:tbl>
      <w:tblPr>
        <w:tblStyle w:val="7"/>
        <w:tblW w:w="13980" w:type="dxa"/>
        <w:tblInd w:w="96" w:type="dxa"/>
        <w:tblLayout w:type="fixed"/>
        <w:tblCellMar>
          <w:top w:w="0" w:type="dxa"/>
          <w:left w:w="108" w:type="dxa"/>
          <w:bottom w:w="0" w:type="dxa"/>
          <w:right w:w="108" w:type="dxa"/>
        </w:tblCellMar>
      </w:tblPr>
      <w:tblGrid>
        <w:gridCol w:w="1142"/>
        <w:gridCol w:w="237"/>
        <w:gridCol w:w="239"/>
        <w:gridCol w:w="64"/>
        <w:gridCol w:w="2222"/>
        <w:gridCol w:w="1627"/>
        <w:gridCol w:w="1680"/>
        <w:gridCol w:w="1760"/>
        <w:gridCol w:w="1653"/>
        <w:gridCol w:w="1654"/>
        <w:gridCol w:w="1702"/>
      </w:tblGrid>
      <w:tr>
        <w:tblPrEx>
          <w:tblCellMar>
            <w:top w:w="0" w:type="dxa"/>
            <w:left w:w="108" w:type="dxa"/>
            <w:bottom w:w="0" w:type="dxa"/>
            <w:right w:w="108" w:type="dxa"/>
          </w:tblCellMar>
        </w:tblPrEx>
        <w:trPr>
          <w:trHeight w:val="623" w:hRule="atLeast"/>
        </w:trPr>
        <w:tc>
          <w:tcPr>
            <w:tcW w:w="13980" w:type="dxa"/>
            <w:gridSpan w:val="11"/>
            <w:tcBorders>
              <w:top w:val="nil"/>
              <w:left w:val="nil"/>
              <w:bottom w:val="nil"/>
              <w:right w:val="nil"/>
            </w:tcBorders>
            <w:shd w:val="clear" w:color="auto" w:fill="auto"/>
            <w:noWrap/>
            <w:vAlign w:val="center"/>
          </w:tcPr>
          <w:p>
            <w:pPr>
              <w:widowControl/>
              <w:jc w:val="center"/>
              <w:textAlignment w:val="center"/>
              <w:rPr>
                <w:rFonts w:ascii="宋体" w:hAnsi="宋体" w:eastAsia="宋体" w:cs="宋体"/>
                <w:sz w:val="30"/>
                <w:szCs w:val="30"/>
              </w:rPr>
            </w:pPr>
            <w:r>
              <w:rPr>
                <w:rFonts w:hint="eastAsia" w:ascii="宋体" w:hAnsi="宋体" w:eastAsia="宋体" w:cs="宋体"/>
                <w:kern w:val="0"/>
                <w:sz w:val="32"/>
                <w:szCs w:val="32"/>
              </w:rPr>
              <w:t>支出决算表</w:t>
            </w:r>
          </w:p>
        </w:tc>
      </w:tr>
      <w:tr>
        <w:tblPrEx>
          <w:tblCellMar>
            <w:top w:w="0" w:type="dxa"/>
            <w:left w:w="108" w:type="dxa"/>
            <w:bottom w:w="0" w:type="dxa"/>
            <w:right w:w="108" w:type="dxa"/>
          </w:tblCellMar>
        </w:tblPrEx>
        <w:trPr>
          <w:trHeight w:val="312" w:hRule="atLeast"/>
        </w:trPr>
        <w:tc>
          <w:tcPr>
            <w:tcW w:w="1142" w:type="dxa"/>
            <w:tcBorders>
              <w:top w:val="nil"/>
              <w:left w:val="nil"/>
              <w:bottom w:val="nil"/>
              <w:right w:val="nil"/>
            </w:tcBorders>
            <w:shd w:val="clear" w:color="auto" w:fill="auto"/>
            <w:noWrap/>
            <w:vAlign w:val="center"/>
          </w:tcPr>
          <w:p>
            <w:pPr>
              <w:rPr>
                <w:rFonts w:ascii="Arial" w:hAnsi="Arial" w:cs="Arial"/>
                <w:sz w:val="20"/>
                <w:szCs w:val="20"/>
              </w:rPr>
            </w:pPr>
          </w:p>
        </w:tc>
        <w:tc>
          <w:tcPr>
            <w:tcW w:w="237" w:type="dxa"/>
            <w:tcBorders>
              <w:top w:val="nil"/>
              <w:left w:val="nil"/>
              <w:bottom w:val="nil"/>
              <w:right w:val="nil"/>
            </w:tcBorders>
            <w:shd w:val="clear" w:color="auto" w:fill="auto"/>
            <w:noWrap/>
            <w:vAlign w:val="center"/>
          </w:tcPr>
          <w:p>
            <w:pPr>
              <w:rPr>
                <w:rFonts w:ascii="Arial" w:hAnsi="Arial" w:cs="Arial"/>
                <w:sz w:val="20"/>
                <w:szCs w:val="20"/>
              </w:rPr>
            </w:pPr>
          </w:p>
        </w:tc>
        <w:tc>
          <w:tcPr>
            <w:tcW w:w="303" w:type="dxa"/>
            <w:gridSpan w:val="2"/>
            <w:tcBorders>
              <w:top w:val="nil"/>
              <w:left w:val="nil"/>
              <w:bottom w:val="nil"/>
              <w:right w:val="nil"/>
            </w:tcBorders>
            <w:shd w:val="clear" w:color="auto" w:fill="auto"/>
            <w:noWrap/>
            <w:vAlign w:val="center"/>
          </w:tcPr>
          <w:p>
            <w:pPr>
              <w:rPr>
                <w:rFonts w:ascii="Arial" w:hAnsi="Arial" w:cs="Arial"/>
                <w:sz w:val="20"/>
                <w:szCs w:val="20"/>
              </w:rPr>
            </w:pPr>
          </w:p>
        </w:tc>
        <w:tc>
          <w:tcPr>
            <w:tcW w:w="2222" w:type="dxa"/>
            <w:tcBorders>
              <w:top w:val="nil"/>
              <w:left w:val="nil"/>
              <w:bottom w:val="nil"/>
              <w:right w:val="nil"/>
            </w:tcBorders>
            <w:shd w:val="clear" w:color="auto" w:fill="auto"/>
            <w:noWrap/>
            <w:vAlign w:val="center"/>
          </w:tcPr>
          <w:p>
            <w:pPr>
              <w:rPr>
                <w:rFonts w:ascii="Arial" w:hAnsi="Arial" w:cs="Arial"/>
                <w:sz w:val="20"/>
                <w:szCs w:val="20"/>
              </w:rPr>
            </w:pPr>
          </w:p>
        </w:tc>
        <w:tc>
          <w:tcPr>
            <w:tcW w:w="1627" w:type="dxa"/>
            <w:tcBorders>
              <w:top w:val="nil"/>
              <w:left w:val="nil"/>
              <w:bottom w:val="nil"/>
              <w:right w:val="nil"/>
            </w:tcBorders>
            <w:shd w:val="clear" w:color="auto" w:fill="auto"/>
            <w:noWrap/>
            <w:vAlign w:val="center"/>
          </w:tcPr>
          <w:p>
            <w:pPr>
              <w:rPr>
                <w:rFonts w:ascii="Arial" w:hAnsi="Arial" w:cs="Arial"/>
                <w:sz w:val="20"/>
                <w:szCs w:val="20"/>
              </w:rPr>
            </w:pPr>
          </w:p>
        </w:tc>
        <w:tc>
          <w:tcPr>
            <w:tcW w:w="1680" w:type="dxa"/>
            <w:tcBorders>
              <w:top w:val="nil"/>
              <w:left w:val="nil"/>
              <w:bottom w:val="nil"/>
              <w:right w:val="nil"/>
            </w:tcBorders>
            <w:shd w:val="clear" w:color="auto" w:fill="auto"/>
            <w:noWrap/>
            <w:vAlign w:val="center"/>
          </w:tcPr>
          <w:p>
            <w:pPr>
              <w:rPr>
                <w:rFonts w:ascii="Arial" w:hAnsi="Arial" w:cs="Arial"/>
                <w:sz w:val="20"/>
                <w:szCs w:val="20"/>
              </w:rPr>
            </w:pPr>
          </w:p>
        </w:tc>
        <w:tc>
          <w:tcPr>
            <w:tcW w:w="1760" w:type="dxa"/>
            <w:tcBorders>
              <w:top w:val="nil"/>
              <w:left w:val="nil"/>
              <w:bottom w:val="nil"/>
              <w:right w:val="nil"/>
            </w:tcBorders>
            <w:shd w:val="clear" w:color="auto" w:fill="auto"/>
            <w:noWrap/>
            <w:vAlign w:val="center"/>
          </w:tcPr>
          <w:p>
            <w:pPr>
              <w:rPr>
                <w:rFonts w:ascii="Arial" w:hAnsi="Arial" w:cs="Arial"/>
                <w:sz w:val="20"/>
                <w:szCs w:val="20"/>
              </w:rPr>
            </w:pPr>
          </w:p>
        </w:tc>
        <w:tc>
          <w:tcPr>
            <w:tcW w:w="1653" w:type="dxa"/>
            <w:tcBorders>
              <w:top w:val="nil"/>
              <w:left w:val="nil"/>
              <w:bottom w:val="nil"/>
              <w:right w:val="nil"/>
            </w:tcBorders>
            <w:shd w:val="clear" w:color="auto" w:fill="auto"/>
            <w:noWrap/>
            <w:vAlign w:val="center"/>
          </w:tcPr>
          <w:p>
            <w:pPr>
              <w:rPr>
                <w:rFonts w:ascii="Arial" w:hAnsi="Arial" w:cs="Arial"/>
                <w:sz w:val="20"/>
                <w:szCs w:val="20"/>
              </w:rPr>
            </w:pPr>
          </w:p>
        </w:tc>
        <w:tc>
          <w:tcPr>
            <w:tcW w:w="1654" w:type="dxa"/>
            <w:tcBorders>
              <w:top w:val="nil"/>
              <w:left w:val="nil"/>
              <w:bottom w:val="nil"/>
              <w:right w:val="nil"/>
            </w:tcBorders>
            <w:shd w:val="clear" w:color="auto" w:fill="auto"/>
            <w:noWrap/>
            <w:vAlign w:val="center"/>
          </w:tcPr>
          <w:p>
            <w:pPr>
              <w:rPr>
                <w:rFonts w:ascii="Arial" w:hAnsi="Arial" w:cs="Arial"/>
                <w:sz w:val="20"/>
                <w:szCs w:val="20"/>
              </w:rPr>
            </w:pPr>
          </w:p>
        </w:tc>
        <w:tc>
          <w:tcPr>
            <w:tcW w:w="1702" w:type="dxa"/>
            <w:tcBorders>
              <w:top w:val="nil"/>
              <w:left w:val="nil"/>
              <w:bottom w:val="nil"/>
              <w:right w:val="nil"/>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公开03表</w:t>
            </w:r>
          </w:p>
        </w:tc>
      </w:tr>
      <w:tr>
        <w:tblPrEx>
          <w:tblCellMar>
            <w:top w:w="0" w:type="dxa"/>
            <w:left w:w="108" w:type="dxa"/>
            <w:bottom w:w="0" w:type="dxa"/>
            <w:right w:w="108" w:type="dxa"/>
          </w:tblCellMar>
        </w:tblPrEx>
        <w:trPr>
          <w:trHeight w:val="312" w:hRule="atLeast"/>
        </w:trPr>
        <w:tc>
          <w:tcPr>
            <w:tcW w:w="8971" w:type="dxa"/>
            <w:gridSpan w:val="8"/>
            <w:tcBorders>
              <w:top w:val="nil"/>
              <w:left w:val="nil"/>
              <w:bottom w:val="single" w:color="auto" w:sz="4" w:space="0"/>
              <w:right w:val="nil"/>
            </w:tcBorders>
            <w:shd w:val="clear" w:color="auto" w:fill="auto"/>
            <w:noWrap/>
            <w:vAlign w:val="center"/>
          </w:tcPr>
          <w:p>
            <w:pPr>
              <w:rPr>
                <w:rFonts w:ascii="Arial" w:hAnsi="Arial" w:cs="Arial"/>
                <w:sz w:val="20"/>
                <w:szCs w:val="20"/>
              </w:rPr>
            </w:pPr>
            <w:r>
              <w:rPr>
                <w:rFonts w:hint="eastAsia" w:ascii="宋体" w:hAnsi="宋体" w:eastAsia="宋体" w:cs="宋体"/>
                <w:kern w:val="0"/>
                <w:sz w:val="20"/>
                <w:szCs w:val="20"/>
              </w:rPr>
              <w:t>部门：</w:t>
            </w:r>
            <w:r>
              <w:rPr>
                <w:rFonts w:ascii="宋体" w:hAnsi="宋体" w:eastAsia="宋体" w:cs="宋体"/>
                <w:sz w:val="20"/>
              </w:rPr>
              <w:t>环江毛南族自治县第二幼儿园</w:t>
            </w:r>
          </w:p>
        </w:tc>
        <w:tc>
          <w:tcPr>
            <w:tcW w:w="1653" w:type="dxa"/>
            <w:tcBorders>
              <w:top w:val="nil"/>
              <w:left w:val="nil"/>
              <w:bottom w:val="single" w:color="auto" w:sz="4" w:space="0"/>
              <w:right w:val="nil"/>
            </w:tcBorders>
            <w:shd w:val="clear" w:color="auto" w:fill="auto"/>
            <w:noWrap/>
            <w:vAlign w:val="center"/>
          </w:tcPr>
          <w:p>
            <w:pPr>
              <w:rPr>
                <w:rFonts w:ascii="Arial" w:hAnsi="Arial" w:cs="Arial"/>
                <w:sz w:val="20"/>
                <w:szCs w:val="20"/>
              </w:rPr>
            </w:pPr>
          </w:p>
        </w:tc>
        <w:tc>
          <w:tcPr>
            <w:tcW w:w="1654" w:type="dxa"/>
            <w:tcBorders>
              <w:top w:val="nil"/>
              <w:left w:val="nil"/>
              <w:bottom w:val="single" w:color="auto" w:sz="4" w:space="0"/>
              <w:right w:val="nil"/>
            </w:tcBorders>
            <w:shd w:val="clear" w:color="auto" w:fill="auto"/>
            <w:noWrap/>
            <w:vAlign w:val="center"/>
          </w:tcPr>
          <w:p>
            <w:pPr>
              <w:rPr>
                <w:rFonts w:ascii="Arial" w:hAnsi="Arial" w:cs="Arial"/>
                <w:sz w:val="20"/>
                <w:szCs w:val="20"/>
              </w:rPr>
            </w:pPr>
          </w:p>
        </w:tc>
        <w:tc>
          <w:tcPr>
            <w:tcW w:w="1702" w:type="dxa"/>
            <w:tcBorders>
              <w:top w:val="nil"/>
              <w:left w:val="nil"/>
              <w:bottom w:val="single" w:color="auto" w:sz="4" w:space="0"/>
              <w:right w:val="nil"/>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金额单位：万元</w:t>
            </w: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项目</w:t>
            </w:r>
          </w:p>
        </w:tc>
        <w:tc>
          <w:tcPr>
            <w:tcW w:w="16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本年支出合计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基本支出</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项目支出</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对附属单位补助支出</w:t>
            </w:r>
          </w:p>
        </w:tc>
      </w:tr>
      <w:tr>
        <w:tblPrEx>
          <w:tblCellMar>
            <w:top w:w="0" w:type="dxa"/>
            <w:left w:w="108" w:type="dxa"/>
            <w:bottom w:w="0" w:type="dxa"/>
            <w:right w:w="108" w:type="dxa"/>
          </w:tblCellMar>
        </w:tblPrEx>
        <w:trPr>
          <w:trHeight w:val="322" w:hRule="atLeast"/>
        </w:trPr>
        <w:tc>
          <w:tcPr>
            <w:tcW w:w="161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功能分类科目编码</w:t>
            </w:r>
          </w:p>
        </w:tc>
        <w:tc>
          <w:tcPr>
            <w:tcW w:w="228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科目名称</w:t>
            </w: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r>
      <w:tr>
        <w:tblPrEx>
          <w:tblCellMar>
            <w:top w:w="0" w:type="dxa"/>
            <w:left w:w="108" w:type="dxa"/>
            <w:bottom w:w="0" w:type="dxa"/>
            <w:right w:w="108" w:type="dxa"/>
          </w:tblCellMar>
        </w:tblPrEx>
        <w:trPr>
          <w:trHeight w:val="465"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r>
      <w:tr>
        <w:tblPrEx>
          <w:tblCellMar>
            <w:top w:w="0" w:type="dxa"/>
            <w:left w:w="108" w:type="dxa"/>
            <w:bottom w:w="0" w:type="dxa"/>
            <w:right w:w="108" w:type="dxa"/>
          </w:tblCellMar>
        </w:tblPrEx>
        <w:trPr>
          <w:trHeight w:val="837"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栏次</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6</w:t>
            </w:r>
          </w:p>
        </w:tc>
      </w:tr>
      <w:tr>
        <w:tblPrEx>
          <w:tblCellMar>
            <w:top w:w="0" w:type="dxa"/>
            <w:left w:w="108" w:type="dxa"/>
            <w:bottom w:w="0" w:type="dxa"/>
            <w:right w:w="108" w:type="dxa"/>
          </w:tblCellMar>
        </w:tblPrEx>
        <w:trPr>
          <w:trHeight w:val="633"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合计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sz w:val="22"/>
                <w:szCs w:val="22"/>
              </w:rPr>
            </w:pPr>
            <w:r>
              <w:rPr>
                <w:rFonts w:ascii="宋体" w:hAnsi="宋体" w:eastAsia="宋体" w:cs="宋体"/>
                <w:b/>
                <w:bCs/>
                <w:sz w:val="22"/>
                <w:szCs w:val="22"/>
              </w:rPr>
              <w:t>445.33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sz w:val="22"/>
                <w:szCs w:val="22"/>
              </w:rPr>
            </w:pPr>
            <w:r>
              <w:rPr>
                <w:rFonts w:ascii="宋体" w:hAnsi="宋体" w:eastAsia="宋体" w:cs="宋体"/>
                <w:b/>
                <w:bCs/>
                <w:sz w:val="22"/>
                <w:szCs w:val="22"/>
              </w:rPr>
              <w:t>190.57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sz w:val="22"/>
                <w:szCs w:val="22"/>
              </w:rPr>
            </w:pPr>
            <w:r>
              <w:rPr>
                <w:rFonts w:hint="eastAsia" w:ascii="宋体" w:hAnsi="宋体" w:eastAsia="宋体" w:cs="宋体"/>
                <w:b/>
                <w:bCs/>
                <w:sz w:val="22"/>
                <w:szCs w:val="22"/>
              </w:rPr>
              <w:t>254.75</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sz w:val="22"/>
                <w:szCs w:val="22"/>
              </w:rPr>
            </w:pPr>
            <w:r>
              <w:rPr>
                <w:rFonts w:hint="eastAsia" w:ascii="宋体" w:hAnsi="宋体" w:eastAsia="宋体" w:cs="宋体"/>
                <w:b/>
                <w:bCs/>
                <w:sz w:val="22"/>
                <w:szCs w:val="22"/>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sz w:val="22"/>
                <w:szCs w:val="22"/>
              </w:rPr>
            </w:pPr>
            <w:r>
              <w:rPr>
                <w:rFonts w:hint="eastAsia" w:ascii="宋体" w:hAnsi="宋体" w:eastAsia="宋体" w:cs="宋体"/>
                <w:b/>
                <w:bCs/>
                <w:sz w:val="22"/>
                <w:szCs w:val="22"/>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sz w:val="22"/>
                <w:szCs w:val="22"/>
              </w:rPr>
            </w:pPr>
            <w:r>
              <w:rPr>
                <w:rFonts w:ascii="宋体" w:hAnsi="宋体" w:eastAsia="宋体" w:cs="宋体"/>
                <w:b/>
                <w:bCs/>
                <w:sz w:val="22"/>
                <w:szCs w:val="22"/>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ascii="宋体" w:hAnsi="宋体" w:eastAsia="宋体" w:cs="宋体"/>
                <w:kern w:val="0"/>
                <w:sz w:val="22"/>
                <w:szCs w:val="22"/>
              </w:rPr>
              <w:t>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ascii="宋体" w:hAnsi="宋体" w:eastAsia="宋体" w:cs="宋体"/>
                <w:kern w:val="0"/>
                <w:sz w:val="22"/>
                <w:szCs w:val="22"/>
              </w:rPr>
              <w:t>一般公共服务支出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2.44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2.44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ascii="宋体" w:hAnsi="宋体" w:eastAsia="宋体" w:cs="宋体"/>
                <w:kern w:val="0"/>
                <w:sz w:val="22"/>
                <w:szCs w:val="22"/>
              </w:rPr>
              <w:t>20129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ascii="宋体" w:hAnsi="宋体" w:eastAsia="宋体" w:cs="宋体"/>
                <w:kern w:val="0"/>
                <w:sz w:val="22"/>
                <w:szCs w:val="22"/>
              </w:rPr>
              <w:t>群众团体事务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2.44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2.44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ascii="宋体" w:hAnsi="宋体" w:eastAsia="宋体" w:cs="宋体"/>
                <w:kern w:val="0"/>
                <w:sz w:val="22"/>
                <w:szCs w:val="22"/>
              </w:rPr>
              <w:t>2012999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ascii="宋体" w:hAnsi="宋体" w:eastAsia="宋体" w:cs="宋体"/>
                <w:kern w:val="0"/>
                <w:sz w:val="22"/>
                <w:szCs w:val="22"/>
              </w:rPr>
              <w:t xml:space="preserve">  其他群众团体事务支出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2.44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2.44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ascii="宋体" w:hAnsi="宋体" w:eastAsia="宋体" w:cs="宋体"/>
                <w:kern w:val="0"/>
                <w:sz w:val="22"/>
                <w:szCs w:val="22"/>
              </w:rPr>
              <w:t>205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ascii="宋体" w:hAnsi="宋体" w:eastAsia="宋体" w:cs="宋体"/>
                <w:kern w:val="0"/>
                <w:sz w:val="22"/>
                <w:szCs w:val="22"/>
              </w:rPr>
              <w:t>教育支出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381.11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141.31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239.80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ascii="宋体" w:hAnsi="宋体" w:eastAsia="宋体" w:cs="宋体"/>
                <w:kern w:val="0"/>
                <w:sz w:val="22"/>
                <w:szCs w:val="22"/>
              </w:rPr>
              <w:t>20502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ascii="宋体" w:hAnsi="宋体" w:eastAsia="宋体" w:cs="宋体"/>
                <w:kern w:val="0"/>
                <w:sz w:val="22"/>
                <w:szCs w:val="22"/>
              </w:rPr>
              <w:t>普通教育</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381.11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141.31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239.80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ascii="宋体" w:hAnsi="宋体" w:eastAsia="宋体" w:cs="宋体"/>
                <w:kern w:val="0"/>
                <w:sz w:val="22"/>
                <w:szCs w:val="22"/>
              </w:rPr>
              <w:t>2050201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ascii="宋体" w:hAnsi="宋体" w:eastAsia="宋体" w:cs="宋体"/>
                <w:kern w:val="0"/>
                <w:sz w:val="22"/>
                <w:szCs w:val="22"/>
              </w:rPr>
              <w:t xml:space="preserve">  学前教育</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375.98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141.04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234.95</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ascii="宋体" w:hAnsi="宋体" w:eastAsia="宋体" w:cs="宋体"/>
                <w:kern w:val="0"/>
                <w:sz w:val="22"/>
                <w:szCs w:val="22"/>
              </w:rPr>
              <w:t>2050299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ascii="宋体" w:hAnsi="宋体" w:eastAsia="宋体" w:cs="宋体"/>
                <w:kern w:val="0"/>
                <w:sz w:val="22"/>
                <w:szCs w:val="22"/>
              </w:rPr>
              <w:t xml:space="preserve">  其他普通教育支出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5.13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0.27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4.86</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ascii="宋体" w:hAnsi="宋体" w:eastAsia="宋体" w:cs="宋体"/>
                <w:kern w:val="0"/>
                <w:sz w:val="22"/>
                <w:szCs w:val="22"/>
              </w:rPr>
              <w:t>208</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ascii="宋体" w:hAnsi="宋体" w:eastAsia="宋体" w:cs="宋体"/>
                <w:kern w:val="0"/>
                <w:sz w:val="22"/>
                <w:szCs w:val="22"/>
              </w:rPr>
              <w:t>社会保障和就业支出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18.82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18.82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ascii="宋体" w:hAnsi="宋体" w:eastAsia="宋体" w:cs="宋体"/>
                <w:kern w:val="0"/>
                <w:sz w:val="22"/>
                <w:szCs w:val="22"/>
              </w:rPr>
              <w:t>20805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ascii="宋体" w:hAnsi="宋体" w:eastAsia="宋体" w:cs="宋体"/>
                <w:kern w:val="0"/>
                <w:sz w:val="22"/>
                <w:szCs w:val="22"/>
              </w:rPr>
              <w:t>行政事业单位养老支出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18.82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18.82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ascii="宋体" w:hAnsi="宋体" w:eastAsia="宋体" w:cs="宋体"/>
                <w:kern w:val="0"/>
                <w:sz w:val="22"/>
                <w:szCs w:val="22"/>
              </w:rPr>
              <w:t>2080505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ascii="宋体" w:hAnsi="宋体" w:eastAsia="宋体" w:cs="宋体"/>
                <w:kern w:val="0"/>
                <w:sz w:val="22"/>
                <w:szCs w:val="22"/>
              </w:rPr>
              <w:t xml:space="preserve">  机关事业单位基本养老保险缴费支出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18.82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18.82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ascii="宋体" w:hAnsi="宋体" w:eastAsia="宋体" w:cs="宋体"/>
                <w:kern w:val="0"/>
                <w:sz w:val="22"/>
                <w:szCs w:val="22"/>
              </w:rPr>
              <w:t>221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ascii="宋体" w:hAnsi="宋体" w:eastAsia="宋体" w:cs="宋体"/>
                <w:kern w:val="0"/>
                <w:sz w:val="22"/>
                <w:szCs w:val="22"/>
              </w:rPr>
              <w:t>住房保障支出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13.79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13.79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ascii="宋体" w:hAnsi="宋体" w:eastAsia="宋体" w:cs="宋体"/>
                <w:kern w:val="0"/>
                <w:sz w:val="22"/>
                <w:szCs w:val="22"/>
              </w:rPr>
              <w:t>22102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ascii="宋体" w:hAnsi="宋体" w:eastAsia="宋体" w:cs="宋体"/>
                <w:kern w:val="0"/>
                <w:sz w:val="22"/>
                <w:szCs w:val="22"/>
              </w:rPr>
              <w:t>住房改革支出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13.79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13.79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ascii="宋体" w:hAnsi="宋体" w:eastAsia="宋体" w:cs="宋体"/>
                <w:kern w:val="0"/>
                <w:sz w:val="22"/>
                <w:szCs w:val="22"/>
              </w:rPr>
              <w:t>2210201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ascii="宋体" w:hAnsi="宋体" w:eastAsia="宋体" w:cs="宋体"/>
                <w:kern w:val="0"/>
                <w:sz w:val="22"/>
                <w:szCs w:val="22"/>
              </w:rPr>
              <w:t xml:space="preserve">  住房公积金</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13.79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13.79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ascii="宋体" w:hAnsi="宋体" w:eastAsia="宋体" w:cs="宋体"/>
                <w:kern w:val="0"/>
                <w:sz w:val="22"/>
                <w:szCs w:val="22"/>
              </w:rPr>
              <w:t>229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ascii="宋体" w:hAnsi="宋体" w:eastAsia="宋体" w:cs="宋体"/>
                <w:kern w:val="0"/>
                <w:sz w:val="22"/>
                <w:szCs w:val="22"/>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29.16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14.21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14.95</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ascii="宋体" w:hAnsi="宋体" w:eastAsia="宋体" w:cs="宋体"/>
                <w:kern w:val="0"/>
                <w:sz w:val="22"/>
                <w:szCs w:val="22"/>
              </w:rPr>
              <w:t>22999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ascii="宋体" w:hAnsi="宋体" w:eastAsia="宋体" w:cs="宋体"/>
                <w:kern w:val="0"/>
                <w:sz w:val="22"/>
                <w:szCs w:val="22"/>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29.16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14.21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14.95</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ascii="宋体" w:hAnsi="宋体" w:eastAsia="宋体" w:cs="宋体"/>
                <w:kern w:val="0"/>
                <w:sz w:val="22"/>
                <w:szCs w:val="22"/>
              </w:rPr>
              <w:t>2299999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ascii="宋体" w:hAnsi="宋体" w:eastAsia="宋体" w:cs="宋体"/>
                <w:kern w:val="0"/>
                <w:sz w:val="22"/>
                <w:szCs w:val="22"/>
              </w:rPr>
              <w:t xml:space="preserve">  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29.16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14.21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14.95</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注：本表反映部门本年度各项支出情况。</w:t>
            </w:r>
          </w:p>
        </w:tc>
      </w:tr>
    </w:tbl>
    <w:p>
      <w:pPr>
        <w:rPr>
          <w:rFonts w:ascii="仿宋" w:hAnsi="仿宋" w:eastAsia="仿宋" w:cs="仿宋"/>
          <w:sz w:val="24"/>
        </w:rPr>
      </w:pPr>
    </w:p>
    <w:p>
      <w:pPr>
        <w:rPr>
          <w:rFonts w:ascii="仿宋" w:hAnsi="仿宋" w:eastAsia="仿宋" w:cs="仿宋"/>
          <w:sz w:val="24"/>
        </w:rPr>
      </w:pPr>
      <w:r>
        <w:rPr>
          <w:rFonts w:hint="eastAsia" w:ascii="仿宋" w:hAnsi="仿宋" w:eastAsia="仿宋" w:cs="仿宋"/>
          <w:sz w:val="24"/>
        </w:rPr>
        <w:t>表四：财政拨款收入支出决算总表</w:t>
      </w:r>
    </w:p>
    <w:tbl>
      <w:tblPr>
        <w:tblStyle w:val="7"/>
        <w:tblW w:w="4966" w:type="pct"/>
        <w:tblInd w:w="0" w:type="dxa"/>
        <w:tblLayout w:type="fixed"/>
        <w:tblCellMar>
          <w:top w:w="0" w:type="dxa"/>
          <w:left w:w="108" w:type="dxa"/>
          <w:bottom w:w="0" w:type="dxa"/>
          <w:right w:w="108" w:type="dxa"/>
        </w:tblCellMar>
      </w:tblPr>
      <w:tblGrid>
        <w:gridCol w:w="2213"/>
        <w:gridCol w:w="786"/>
        <w:gridCol w:w="1306"/>
        <w:gridCol w:w="2359"/>
        <w:gridCol w:w="850"/>
        <w:gridCol w:w="1090"/>
        <w:gridCol w:w="1771"/>
        <w:gridCol w:w="1808"/>
        <w:gridCol w:w="1895"/>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widowControl/>
              <w:jc w:val="center"/>
              <w:textAlignment w:val="bottom"/>
              <w:rPr>
                <w:rFonts w:ascii="宋体" w:hAnsi="宋体" w:eastAsia="宋体" w:cs="宋体"/>
                <w:sz w:val="30"/>
                <w:szCs w:val="30"/>
              </w:rPr>
            </w:pPr>
            <w:r>
              <w:rPr>
                <w:rFonts w:hint="eastAsia" w:ascii="宋体" w:hAnsi="宋体" w:eastAsia="宋体" w:cs="宋体"/>
                <w:kern w:val="0"/>
                <w:sz w:val="32"/>
                <w:szCs w:val="32"/>
              </w:rPr>
              <w:t>财政拨款收入支出决算总表</w:t>
            </w:r>
          </w:p>
        </w:tc>
      </w:tr>
      <w:tr>
        <w:tblPrEx>
          <w:tblCellMar>
            <w:top w:w="0" w:type="dxa"/>
            <w:left w:w="108" w:type="dxa"/>
            <w:bottom w:w="0" w:type="dxa"/>
            <w:right w:w="108" w:type="dxa"/>
          </w:tblCellMar>
        </w:tblPrEx>
        <w:trPr>
          <w:trHeight w:val="260" w:hRule="atLeast"/>
        </w:trPr>
        <w:tc>
          <w:tcPr>
            <w:tcW w:w="786" w:type="pct"/>
            <w:tcBorders>
              <w:top w:val="nil"/>
              <w:left w:val="nil"/>
              <w:bottom w:val="nil"/>
              <w:right w:val="nil"/>
            </w:tcBorders>
            <w:shd w:val="clear" w:color="auto" w:fill="auto"/>
            <w:noWrap/>
            <w:vAlign w:val="bottom"/>
          </w:tcPr>
          <w:p>
            <w:pPr>
              <w:rPr>
                <w:rFonts w:ascii="Arial" w:hAnsi="Arial" w:cs="Arial"/>
                <w:sz w:val="20"/>
                <w:szCs w:val="20"/>
              </w:rPr>
            </w:pPr>
          </w:p>
        </w:tc>
        <w:tc>
          <w:tcPr>
            <w:tcW w:w="279" w:type="pct"/>
            <w:tcBorders>
              <w:top w:val="nil"/>
              <w:left w:val="nil"/>
              <w:bottom w:val="nil"/>
              <w:right w:val="nil"/>
            </w:tcBorders>
            <w:shd w:val="clear" w:color="auto" w:fill="auto"/>
            <w:noWrap/>
            <w:vAlign w:val="bottom"/>
          </w:tcPr>
          <w:p>
            <w:pPr>
              <w:rPr>
                <w:rFonts w:ascii="Arial" w:hAnsi="Arial" w:cs="Arial"/>
                <w:sz w:val="20"/>
                <w:szCs w:val="20"/>
              </w:rPr>
            </w:pPr>
          </w:p>
        </w:tc>
        <w:tc>
          <w:tcPr>
            <w:tcW w:w="464" w:type="pct"/>
            <w:tcBorders>
              <w:top w:val="nil"/>
              <w:left w:val="nil"/>
              <w:bottom w:val="nil"/>
              <w:right w:val="nil"/>
            </w:tcBorders>
            <w:shd w:val="clear" w:color="auto" w:fill="auto"/>
            <w:noWrap/>
            <w:vAlign w:val="bottom"/>
          </w:tcPr>
          <w:p>
            <w:pPr>
              <w:rPr>
                <w:rFonts w:ascii="Arial" w:hAnsi="Arial" w:cs="Arial"/>
                <w:sz w:val="20"/>
                <w:szCs w:val="20"/>
              </w:rPr>
            </w:pPr>
          </w:p>
        </w:tc>
        <w:tc>
          <w:tcPr>
            <w:tcW w:w="838" w:type="pct"/>
            <w:tcBorders>
              <w:top w:val="nil"/>
              <w:left w:val="nil"/>
              <w:bottom w:val="nil"/>
              <w:right w:val="nil"/>
            </w:tcBorders>
            <w:shd w:val="clear" w:color="auto" w:fill="auto"/>
            <w:noWrap/>
            <w:vAlign w:val="bottom"/>
          </w:tcPr>
          <w:p>
            <w:pPr>
              <w:rPr>
                <w:rFonts w:ascii="Arial" w:hAnsi="Arial" w:cs="Arial"/>
                <w:sz w:val="20"/>
                <w:szCs w:val="20"/>
              </w:rPr>
            </w:pPr>
          </w:p>
        </w:tc>
        <w:tc>
          <w:tcPr>
            <w:tcW w:w="302" w:type="pct"/>
            <w:tcBorders>
              <w:top w:val="nil"/>
              <w:left w:val="nil"/>
              <w:bottom w:val="nil"/>
              <w:right w:val="nil"/>
            </w:tcBorders>
            <w:shd w:val="clear" w:color="auto" w:fill="auto"/>
            <w:noWrap/>
            <w:vAlign w:val="bottom"/>
          </w:tcPr>
          <w:p>
            <w:pPr>
              <w:rPr>
                <w:rFonts w:ascii="Arial" w:hAnsi="Arial" w:cs="Arial"/>
                <w:sz w:val="20"/>
                <w:szCs w:val="20"/>
              </w:rPr>
            </w:pPr>
          </w:p>
        </w:tc>
        <w:tc>
          <w:tcPr>
            <w:tcW w:w="386" w:type="pct"/>
            <w:tcBorders>
              <w:top w:val="nil"/>
              <w:left w:val="nil"/>
              <w:bottom w:val="nil"/>
              <w:right w:val="nil"/>
            </w:tcBorders>
            <w:shd w:val="clear" w:color="auto" w:fill="auto"/>
            <w:noWrap/>
            <w:vAlign w:val="bottom"/>
          </w:tcPr>
          <w:p>
            <w:pPr>
              <w:rPr>
                <w:rFonts w:ascii="Arial" w:hAnsi="Arial" w:cs="Arial"/>
                <w:sz w:val="20"/>
                <w:szCs w:val="20"/>
              </w:rPr>
            </w:pPr>
          </w:p>
        </w:tc>
        <w:tc>
          <w:tcPr>
            <w:tcW w:w="629" w:type="pct"/>
            <w:tcBorders>
              <w:top w:val="nil"/>
              <w:left w:val="nil"/>
              <w:bottom w:val="nil"/>
              <w:right w:val="nil"/>
            </w:tcBorders>
            <w:shd w:val="clear" w:color="auto" w:fill="auto"/>
            <w:noWrap/>
            <w:vAlign w:val="bottom"/>
          </w:tcPr>
          <w:p>
            <w:pPr>
              <w:rPr>
                <w:rFonts w:ascii="Arial" w:hAnsi="Arial" w:cs="Arial"/>
                <w:sz w:val="20"/>
                <w:szCs w:val="20"/>
              </w:rPr>
            </w:pPr>
          </w:p>
        </w:tc>
        <w:tc>
          <w:tcPr>
            <w:tcW w:w="640" w:type="pct"/>
            <w:tcBorders>
              <w:top w:val="nil"/>
              <w:left w:val="nil"/>
              <w:bottom w:val="nil"/>
              <w:right w:val="nil"/>
            </w:tcBorders>
            <w:shd w:val="clear" w:color="auto" w:fill="auto"/>
            <w:noWrap/>
            <w:vAlign w:val="bottom"/>
          </w:tcPr>
          <w:p>
            <w:pPr>
              <w:rPr>
                <w:rFonts w:ascii="Arial" w:hAnsi="Arial" w:cs="Arial"/>
                <w:sz w:val="20"/>
                <w:szCs w:val="20"/>
              </w:rPr>
            </w:pPr>
          </w:p>
        </w:tc>
        <w:tc>
          <w:tcPr>
            <w:tcW w:w="672" w:type="pct"/>
            <w:tcBorders>
              <w:top w:val="nil"/>
              <w:left w:val="nil"/>
              <w:bottom w:val="nil"/>
              <w:right w:val="nil"/>
            </w:tcBorders>
            <w:shd w:val="clear" w:color="auto" w:fill="auto"/>
            <w:noWrap/>
            <w:vAlign w:val="bottom"/>
          </w:tcPr>
          <w:p>
            <w:pPr>
              <w:widowControl/>
              <w:jc w:val="right"/>
              <w:textAlignment w:val="bottom"/>
              <w:rPr>
                <w:rFonts w:ascii="宋体" w:hAnsi="宋体" w:eastAsia="宋体" w:cs="宋体"/>
                <w:sz w:val="20"/>
                <w:szCs w:val="20"/>
              </w:rPr>
            </w:pPr>
            <w:r>
              <w:rPr>
                <w:rFonts w:hint="eastAsia" w:ascii="宋体" w:hAnsi="宋体" w:eastAsia="宋体" w:cs="宋体"/>
                <w:kern w:val="0"/>
                <w:sz w:val="20"/>
                <w:szCs w:val="20"/>
              </w:rPr>
              <w:t>公开04表</w:t>
            </w:r>
          </w:p>
        </w:tc>
      </w:tr>
      <w:tr>
        <w:tblPrEx>
          <w:tblCellMar>
            <w:top w:w="0" w:type="dxa"/>
            <w:left w:w="108" w:type="dxa"/>
            <w:bottom w:w="0" w:type="dxa"/>
            <w:right w:w="108" w:type="dxa"/>
          </w:tblCellMar>
        </w:tblPrEx>
        <w:trPr>
          <w:trHeight w:val="260" w:hRule="atLeast"/>
        </w:trPr>
        <w:tc>
          <w:tcPr>
            <w:tcW w:w="3056" w:type="pct"/>
            <w:gridSpan w:val="6"/>
            <w:tcBorders>
              <w:top w:val="nil"/>
              <w:left w:val="nil"/>
              <w:bottom w:val="single" w:color="auto" w:sz="4" w:space="0"/>
              <w:right w:val="nil"/>
            </w:tcBorders>
            <w:shd w:val="clear" w:color="auto" w:fill="auto"/>
            <w:noWrap/>
            <w:vAlign w:val="bottom"/>
          </w:tcPr>
          <w:p>
            <w:pPr>
              <w:rPr>
                <w:rFonts w:ascii="Arial" w:hAnsi="Arial" w:cs="Arial"/>
                <w:sz w:val="20"/>
                <w:szCs w:val="20"/>
              </w:rPr>
            </w:pPr>
            <w:r>
              <w:rPr>
                <w:rFonts w:hint="eastAsia" w:ascii="宋体" w:hAnsi="宋体" w:eastAsia="宋体" w:cs="宋体"/>
                <w:kern w:val="0"/>
                <w:sz w:val="20"/>
                <w:szCs w:val="20"/>
              </w:rPr>
              <w:t>部门：</w:t>
            </w:r>
            <w:r>
              <w:rPr>
                <w:rFonts w:ascii="宋体" w:hAnsi="宋体" w:eastAsia="宋体" w:cs="宋体"/>
                <w:sz w:val="20"/>
              </w:rPr>
              <w:t>环江毛南族自治县第二幼儿园</w:t>
            </w:r>
          </w:p>
        </w:tc>
        <w:tc>
          <w:tcPr>
            <w:tcW w:w="629" w:type="pct"/>
            <w:tcBorders>
              <w:top w:val="nil"/>
              <w:left w:val="nil"/>
              <w:bottom w:val="single" w:color="auto" w:sz="4" w:space="0"/>
              <w:right w:val="nil"/>
            </w:tcBorders>
            <w:shd w:val="clear" w:color="auto" w:fill="auto"/>
            <w:noWrap/>
            <w:vAlign w:val="bottom"/>
          </w:tcPr>
          <w:p>
            <w:pPr>
              <w:rPr>
                <w:rFonts w:ascii="Arial" w:hAnsi="Arial" w:cs="Arial"/>
                <w:sz w:val="20"/>
                <w:szCs w:val="20"/>
              </w:rPr>
            </w:pPr>
          </w:p>
        </w:tc>
        <w:tc>
          <w:tcPr>
            <w:tcW w:w="640" w:type="pct"/>
            <w:tcBorders>
              <w:top w:val="nil"/>
              <w:left w:val="nil"/>
              <w:bottom w:val="single" w:color="auto" w:sz="4" w:space="0"/>
              <w:right w:val="nil"/>
            </w:tcBorders>
            <w:shd w:val="clear" w:color="auto" w:fill="auto"/>
            <w:noWrap/>
            <w:vAlign w:val="bottom"/>
          </w:tcPr>
          <w:p>
            <w:pPr>
              <w:rPr>
                <w:rFonts w:ascii="Arial" w:hAnsi="Arial" w:cs="Arial"/>
                <w:sz w:val="20"/>
                <w:szCs w:val="20"/>
              </w:rPr>
            </w:pPr>
          </w:p>
        </w:tc>
        <w:tc>
          <w:tcPr>
            <w:tcW w:w="672" w:type="pct"/>
            <w:tcBorders>
              <w:top w:val="nil"/>
              <w:left w:val="nil"/>
              <w:bottom w:val="single" w:color="auto" w:sz="4" w:space="0"/>
              <w:right w:val="nil"/>
            </w:tcBorders>
            <w:shd w:val="clear" w:color="auto" w:fill="auto"/>
            <w:noWrap/>
            <w:vAlign w:val="bottom"/>
          </w:tcPr>
          <w:p>
            <w:pPr>
              <w:widowControl/>
              <w:jc w:val="right"/>
              <w:textAlignment w:val="bottom"/>
              <w:rPr>
                <w:rFonts w:ascii="宋体" w:hAnsi="宋体" w:eastAsia="宋体" w:cs="宋体"/>
                <w:sz w:val="20"/>
                <w:szCs w:val="20"/>
              </w:rPr>
            </w:pPr>
            <w:r>
              <w:rPr>
                <w:rFonts w:hint="eastAsia" w:ascii="宋体" w:hAnsi="宋体" w:eastAsia="宋体" w:cs="宋体"/>
                <w:kern w:val="0"/>
                <w:sz w:val="20"/>
                <w:szCs w:val="20"/>
              </w:rPr>
              <w:t>金额单位：万元</w:t>
            </w:r>
          </w:p>
        </w:tc>
      </w:tr>
      <w:tr>
        <w:tblPrEx>
          <w:tblCellMar>
            <w:top w:w="0" w:type="dxa"/>
            <w:left w:w="108" w:type="dxa"/>
            <w:bottom w:w="0" w:type="dxa"/>
            <w:right w:w="108" w:type="dxa"/>
          </w:tblCellMar>
        </w:tblPrEx>
        <w:trPr>
          <w:trHeight w:val="268" w:hRule="atLeast"/>
        </w:trPr>
        <w:tc>
          <w:tcPr>
            <w:tcW w:w="15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收     入</w:t>
            </w:r>
          </w:p>
        </w:tc>
        <w:tc>
          <w:tcPr>
            <w:tcW w:w="347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支     出</w:t>
            </w:r>
          </w:p>
        </w:tc>
      </w:tr>
      <w:tr>
        <w:tblPrEx>
          <w:tblCellMar>
            <w:top w:w="0" w:type="dxa"/>
            <w:left w:w="108" w:type="dxa"/>
            <w:bottom w:w="0" w:type="dxa"/>
            <w:right w:w="108" w:type="dxa"/>
          </w:tblCellMar>
        </w:tblPrEx>
        <w:trPr>
          <w:trHeight w:val="312" w:hRule="atLeast"/>
        </w:trPr>
        <w:tc>
          <w:tcPr>
            <w:tcW w:w="7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项目</w:t>
            </w:r>
          </w:p>
        </w:tc>
        <w:tc>
          <w:tcPr>
            <w:tcW w:w="27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行次</w:t>
            </w:r>
          </w:p>
        </w:tc>
        <w:tc>
          <w:tcPr>
            <w:tcW w:w="4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金额</w:t>
            </w:r>
          </w:p>
        </w:tc>
        <w:tc>
          <w:tcPr>
            <w:tcW w:w="8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项目</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行次</w:t>
            </w:r>
          </w:p>
        </w:tc>
        <w:tc>
          <w:tcPr>
            <w:tcW w:w="38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合计</w:t>
            </w:r>
          </w:p>
        </w:tc>
        <w:tc>
          <w:tcPr>
            <w:tcW w:w="6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一般公共预算财政拨款</w:t>
            </w:r>
          </w:p>
        </w:tc>
        <w:tc>
          <w:tcPr>
            <w:tcW w:w="6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政府性基金预算财政拨款</w:t>
            </w:r>
          </w:p>
        </w:tc>
        <w:tc>
          <w:tcPr>
            <w:tcW w:w="6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国有资本经营预算财政拨款</w:t>
            </w:r>
          </w:p>
        </w:tc>
      </w:tr>
      <w:tr>
        <w:tblPrEx>
          <w:tblCellMar>
            <w:top w:w="0" w:type="dxa"/>
            <w:left w:w="108" w:type="dxa"/>
            <w:bottom w:w="0" w:type="dxa"/>
            <w:right w:w="108" w:type="dxa"/>
          </w:tblCellMar>
        </w:tblPrEx>
        <w:trPr>
          <w:trHeight w:val="536" w:hRule="atLeast"/>
        </w:trPr>
        <w:tc>
          <w:tcPr>
            <w:tcW w:w="7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27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8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38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p>
        </w:tc>
        <w:tc>
          <w:tcPr>
            <w:tcW w:w="6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6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6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栏次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栏次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4</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5</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hint="eastAsia" w:ascii="宋体" w:hAnsi="宋体" w:eastAsia="宋体" w:cs="宋体"/>
                <w:kern w:val="0"/>
                <w:sz w:val="22"/>
                <w:szCs w:val="22"/>
              </w:rPr>
              <w:t>一、一般公共预算财政拨款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r>
              <w:rPr>
                <w:rFonts w:hint="eastAsia" w:ascii="宋体" w:hAnsi="宋体" w:eastAsia="宋体" w:cs="宋体"/>
                <w:sz w:val="22"/>
                <w:szCs w:val="22"/>
              </w:rPr>
              <w:t>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445.33</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一、一般公共服务支出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r>
              <w:rPr>
                <w:rFonts w:ascii="宋体" w:hAnsi="宋体" w:eastAsia="宋体" w:cs="宋体"/>
                <w:sz w:val="22"/>
                <w:szCs w:val="22"/>
              </w:rPr>
              <w:t>33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2.44</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2.44</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hint="eastAsia" w:ascii="宋体" w:hAnsi="宋体" w:eastAsia="宋体" w:cs="宋体"/>
                <w:kern w:val="0"/>
                <w:sz w:val="22"/>
                <w:szCs w:val="22"/>
              </w:rPr>
              <w:t>二、政府性基金预算财政拨款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r>
              <w:rPr>
                <w:rFonts w:hint="eastAsia" w:ascii="宋体" w:hAnsi="宋体" w:eastAsia="宋体" w:cs="宋体"/>
                <w:sz w:val="22"/>
                <w:szCs w:val="22"/>
              </w:rPr>
              <w:t>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二、外交支出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r>
              <w:rPr>
                <w:rFonts w:ascii="宋体" w:hAnsi="宋体" w:eastAsia="宋体" w:cs="宋体"/>
                <w:sz w:val="22"/>
                <w:szCs w:val="22"/>
              </w:rPr>
              <w:t>34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hint="eastAsia" w:ascii="宋体" w:hAnsi="宋体" w:eastAsia="宋体" w:cs="宋体"/>
                <w:kern w:val="0"/>
                <w:sz w:val="22"/>
                <w:szCs w:val="22"/>
              </w:rPr>
              <w:t>三、国有资本经营预算财政拨款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r>
              <w:rPr>
                <w:rFonts w:hint="eastAsia" w:ascii="宋体" w:hAnsi="宋体" w:eastAsia="宋体" w:cs="宋体"/>
                <w:sz w:val="22"/>
                <w:szCs w:val="22"/>
              </w:rPr>
              <w:t>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三、国防支出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r>
              <w:rPr>
                <w:rFonts w:ascii="宋体" w:hAnsi="宋体" w:eastAsia="宋体" w:cs="宋体"/>
                <w:sz w:val="22"/>
                <w:szCs w:val="22"/>
              </w:rPr>
              <w:t>35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r>
              <w:rPr>
                <w:rFonts w:hint="eastAsia" w:ascii="宋体" w:hAnsi="宋体" w:eastAsia="宋体" w:cs="宋体"/>
                <w:sz w:val="22"/>
                <w:szCs w:val="22"/>
              </w:rPr>
              <w:t>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四、公共安全支出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r>
              <w:rPr>
                <w:rFonts w:ascii="宋体" w:hAnsi="宋体" w:eastAsia="宋体" w:cs="宋体"/>
                <w:sz w:val="22"/>
                <w:szCs w:val="22"/>
              </w:rPr>
              <w:t>36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r>
              <w:rPr>
                <w:rFonts w:hint="eastAsia" w:ascii="宋体" w:hAnsi="宋体" w:eastAsia="宋体" w:cs="宋体"/>
                <w:sz w:val="22"/>
                <w:szCs w:val="22"/>
              </w:rPr>
              <w:t>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五、教育支出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r>
              <w:rPr>
                <w:rFonts w:ascii="宋体" w:hAnsi="宋体" w:eastAsia="宋体" w:cs="宋体"/>
                <w:sz w:val="22"/>
                <w:szCs w:val="22"/>
              </w:rPr>
              <w:t>37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381.11</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381.11</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r>
              <w:rPr>
                <w:rFonts w:hint="eastAsia" w:ascii="宋体" w:hAnsi="宋体" w:eastAsia="宋体" w:cs="宋体"/>
                <w:sz w:val="22"/>
                <w:szCs w:val="22"/>
              </w:rPr>
              <w:t>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六、科学技术支出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r>
              <w:rPr>
                <w:rFonts w:ascii="宋体" w:hAnsi="宋体" w:eastAsia="宋体" w:cs="宋体"/>
                <w:sz w:val="22"/>
                <w:szCs w:val="22"/>
              </w:rPr>
              <w:t>38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r>
              <w:rPr>
                <w:rFonts w:hint="eastAsia" w:ascii="宋体" w:hAnsi="宋体" w:eastAsia="宋体" w:cs="宋体"/>
                <w:sz w:val="22"/>
                <w:szCs w:val="22"/>
              </w:rPr>
              <w:t>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七、文化旅游体育与传媒支出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r>
              <w:rPr>
                <w:rFonts w:ascii="宋体" w:hAnsi="宋体" w:eastAsia="宋体" w:cs="宋体"/>
                <w:sz w:val="22"/>
                <w:szCs w:val="22"/>
              </w:rPr>
              <w:t>39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r>
              <w:rPr>
                <w:rFonts w:hint="eastAsia" w:ascii="宋体" w:hAnsi="宋体" w:eastAsia="宋体" w:cs="宋体"/>
                <w:sz w:val="22"/>
                <w:szCs w:val="22"/>
              </w:rPr>
              <w:t>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八、社会保障和就业支出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r>
              <w:rPr>
                <w:rFonts w:ascii="宋体" w:hAnsi="宋体" w:eastAsia="宋体" w:cs="宋体"/>
                <w:sz w:val="22"/>
                <w:szCs w:val="22"/>
              </w:rPr>
              <w:t>40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18.82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18.82</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r>
              <w:rPr>
                <w:rFonts w:hint="eastAsia" w:ascii="宋体" w:hAnsi="宋体" w:eastAsia="宋体" w:cs="宋体"/>
                <w:sz w:val="22"/>
                <w:szCs w:val="22"/>
              </w:rPr>
              <w:t>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九、卫生健康支出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r>
              <w:rPr>
                <w:rFonts w:ascii="宋体" w:hAnsi="宋体" w:eastAsia="宋体" w:cs="宋体"/>
                <w:sz w:val="22"/>
                <w:szCs w:val="22"/>
              </w:rPr>
              <w:t>41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r>
              <w:rPr>
                <w:rFonts w:hint="eastAsia" w:ascii="宋体" w:hAnsi="宋体" w:eastAsia="宋体" w:cs="宋体"/>
                <w:sz w:val="22"/>
                <w:szCs w:val="22"/>
              </w:rPr>
              <w:t>10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十、节能环保支出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r>
              <w:rPr>
                <w:rFonts w:ascii="宋体" w:hAnsi="宋体" w:eastAsia="宋体" w:cs="宋体"/>
                <w:sz w:val="22"/>
                <w:szCs w:val="22"/>
              </w:rPr>
              <w:t>42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r>
              <w:rPr>
                <w:rFonts w:hint="eastAsia" w:ascii="宋体" w:hAnsi="宋体" w:eastAsia="宋体" w:cs="宋体"/>
                <w:sz w:val="22"/>
                <w:szCs w:val="22"/>
              </w:rPr>
              <w:t>11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十一、城乡社区支出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r>
              <w:rPr>
                <w:rFonts w:ascii="宋体" w:hAnsi="宋体" w:eastAsia="宋体" w:cs="宋体"/>
                <w:sz w:val="22"/>
                <w:szCs w:val="22"/>
              </w:rPr>
              <w:t>43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r>
              <w:rPr>
                <w:rFonts w:hint="eastAsia" w:ascii="宋体" w:hAnsi="宋体" w:eastAsia="宋体" w:cs="宋体"/>
                <w:sz w:val="22"/>
                <w:szCs w:val="22"/>
              </w:rPr>
              <w:t>12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十二、农林水支出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r>
              <w:rPr>
                <w:rFonts w:ascii="宋体" w:hAnsi="宋体" w:eastAsia="宋体" w:cs="宋体"/>
                <w:sz w:val="22"/>
                <w:szCs w:val="22"/>
              </w:rPr>
              <w:t>44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r>
              <w:rPr>
                <w:rFonts w:hint="eastAsia" w:ascii="宋体" w:hAnsi="宋体" w:eastAsia="宋体" w:cs="宋体"/>
                <w:sz w:val="22"/>
                <w:szCs w:val="22"/>
              </w:rPr>
              <w:t>13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十三、交通运输支出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r>
              <w:rPr>
                <w:rFonts w:ascii="宋体" w:hAnsi="宋体" w:eastAsia="宋体" w:cs="宋体"/>
                <w:sz w:val="22"/>
                <w:szCs w:val="22"/>
              </w:rPr>
              <w:t>45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r>
              <w:rPr>
                <w:rFonts w:hint="eastAsia" w:ascii="宋体" w:hAnsi="宋体" w:eastAsia="宋体" w:cs="宋体"/>
                <w:sz w:val="22"/>
                <w:szCs w:val="22"/>
              </w:rPr>
              <w:t>14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十四、资源勘探工业信息等支出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r>
              <w:rPr>
                <w:rFonts w:ascii="宋体" w:hAnsi="宋体" w:eastAsia="宋体" w:cs="宋体"/>
                <w:sz w:val="22"/>
                <w:szCs w:val="22"/>
              </w:rPr>
              <w:t>46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r>
              <w:rPr>
                <w:rFonts w:hint="eastAsia" w:ascii="宋体" w:hAnsi="宋体" w:eastAsia="宋体" w:cs="宋体"/>
                <w:sz w:val="22"/>
                <w:szCs w:val="22"/>
              </w:rPr>
              <w:t>15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十五、商业服务业等支出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r>
              <w:rPr>
                <w:rFonts w:ascii="宋体" w:hAnsi="宋体" w:eastAsia="宋体" w:cs="宋体"/>
                <w:sz w:val="22"/>
                <w:szCs w:val="22"/>
              </w:rPr>
              <w:t>47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r>
              <w:rPr>
                <w:rFonts w:hint="eastAsia" w:ascii="宋体" w:hAnsi="宋体" w:eastAsia="宋体" w:cs="宋体"/>
                <w:sz w:val="22"/>
                <w:szCs w:val="22"/>
              </w:rPr>
              <w:t>16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十六、金融支出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r>
              <w:rPr>
                <w:rFonts w:ascii="宋体" w:hAnsi="宋体" w:eastAsia="宋体" w:cs="宋体"/>
                <w:sz w:val="22"/>
                <w:szCs w:val="22"/>
              </w:rPr>
              <w:t>48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r>
              <w:rPr>
                <w:rFonts w:hint="eastAsia" w:ascii="宋体" w:hAnsi="宋体" w:eastAsia="宋体" w:cs="宋体"/>
                <w:sz w:val="22"/>
                <w:szCs w:val="22"/>
              </w:rPr>
              <w:t>17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十七、援助其他地区支出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r>
              <w:rPr>
                <w:rFonts w:ascii="宋体" w:hAnsi="宋体" w:eastAsia="宋体" w:cs="宋体"/>
                <w:sz w:val="22"/>
                <w:szCs w:val="22"/>
              </w:rPr>
              <w:t>49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r>
              <w:rPr>
                <w:rFonts w:hint="eastAsia" w:ascii="宋体" w:hAnsi="宋体" w:eastAsia="宋体" w:cs="宋体"/>
                <w:sz w:val="22"/>
                <w:szCs w:val="22"/>
              </w:rPr>
              <w:t>18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十八、自然资源海洋气象等支出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r>
              <w:rPr>
                <w:rFonts w:ascii="宋体" w:hAnsi="宋体" w:eastAsia="宋体" w:cs="宋体"/>
                <w:sz w:val="22"/>
                <w:szCs w:val="22"/>
              </w:rPr>
              <w:t>50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r>
              <w:rPr>
                <w:rFonts w:hint="eastAsia" w:ascii="宋体" w:hAnsi="宋体" w:eastAsia="宋体" w:cs="宋体"/>
                <w:sz w:val="22"/>
                <w:szCs w:val="22"/>
              </w:rPr>
              <w:t>19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十九、住房保障支出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r>
              <w:rPr>
                <w:rFonts w:ascii="宋体" w:hAnsi="宋体" w:eastAsia="宋体" w:cs="宋体"/>
                <w:sz w:val="22"/>
                <w:szCs w:val="22"/>
              </w:rPr>
              <w:t>51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13.79</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13.79</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r>
              <w:rPr>
                <w:rFonts w:hint="eastAsia" w:ascii="宋体" w:hAnsi="宋体" w:eastAsia="宋体" w:cs="宋体"/>
                <w:sz w:val="22"/>
                <w:szCs w:val="22"/>
              </w:rPr>
              <w:t>20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二十、粮油物资储备支出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r>
              <w:rPr>
                <w:rFonts w:ascii="宋体" w:hAnsi="宋体" w:eastAsia="宋体" w:cs="宋体"/>
                <w:sz w:val="22"/>
                <w:szCs w:val="22"/>
              </w:rPr>
              <w:t>52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r>
              <w:rPr>
                <w:rFonts w:hint="eastAsia" w:ascii="宋体" w:hAnsi="宋体" w:eastAsia="宋体" w:cs="宋体"/>
                <w:sz w:val="22"/>
                <w:szCs w:val="22"/>
              </w:rPr>
              <w:t>21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二十一、国有资本经营预算支出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r>
              <w:rPr>
                <w:rFonts w:ascii="宋体" w:hAnsi="宋体" w:eastAsia="宋体" w:cs="宋体"/>
                <w:sz w:val="22"/>
                <w:szCs w:val="22"/>
              </w:rPr>
              <w:t>53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r>
              <w:rPr>
                <w:rFonts w:hint="eastAsia" w:ascii="宋体" w:hAnsi="宋体" w:eastAsia="宋体" w:cs="宋体"/>
                <w:sz w:val="22"/>
                <w:szCs w:val="22"/>
              </w:rPr>
              <w:t>22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二十二、灾害防治及应急管理支出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r>
              <w:rPr>
                <w:rFonts w:ascii="宋体" w:hAnsi="宋体" w:eastAsia="宋体" w:cs="宋体"/>
                <w:sz w:val="22"/>
                <w:szCs w:val="22"/>
              </w:rPr>
              <w:t>54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r>
              <w:rPr>
                <w:rFonts w:hint="eastAsia" w:ascii="宋体" w:hAnsi="宋体" w:eastAsia="宋体" w:cs="宋体"/>
                <w:sz w:val="22"/>
                <w:szCs w:val="22"/>
              </w:rPr>
              <w:t>23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二十三、其他支出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r>
              <w:rPr>
                <w:rFonts w:ascii="宋体" w:hAnsi="宋体" w:eastAsia="宋体" w:cs="宋体"/>
                <w:sz w:val="22"/>
                <w:szCs w:val="22"/>
              </w:rPr>
              <w:t>55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29.16</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29.16</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r>
              <w:rPr>
                <w:rFonts w:hint="eastAsia" w:ascii="宋体" w:hAnsi="宋体" w:eastAsia="宋体" w:cs="宋体"/>
                <w:sz w:val="22"/>
                <w:szCs w:val="22"/>
              </w:rPr>
              <w:t>24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二十四、债务还本支出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r>
              <w:rPr>
                <w:rFonts w:ascii="宋体" w:hAnsi="宋体" w:eastAsia="宋体" w:cs="宋体"/>
                <w:sz w:val="22"/>
                <w:szCs w:val="22"/>
              </w:rPr>
              <w:t>56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r>
              <w:rPr>
                <w:rFonts w:hint="eastAsia" w:ascii="宋体" w:hAnsi="宋体" w:eastAsia="宋体" w:cs="宋体"/>
                <w:sz w:val="22"/>
                <w:szCs w:val="22"/>
              </w:rPr>
              <w:t>25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二十五、债务付息支出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r>
              <w:rPr>
                <w:rFonts w:ascii="宋体" w:hAnsi="宋体" w:eastAsia="宋体" w:cs="宋体"/>
                <w:sz w:val="22"/>
                <w:szCs w:val="22"/>
              </w:rPr>
              <w:t>57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r>
              <w:rPr>
                <w:rFonts w:hint="eastAsia" w:ascii="宋体" w:hAnsi="宋体" w:eastAsia="宋体" w:cs="宋体"/>
                <w:sz w:val="22"/>
                <w:szCs w:val="22"/>
              </w:rPr>
              <w:t>26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二十六、抗疫特别国债安排的支出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r>
              <w:rPr>
                <w:rFonts w:ascii="宋体" w:hAnsi="宋体" w:eastAsia="宋体" w:cs="宋体"/>
                <w:sz w:val="22"/>
                <w:szCs w:val="22"/>
              </w:rPr>
              <w:t>58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hint="eastAsia" w:ascii="宋体" w:hAnsi="宋体" w:eastAsia="宋体" w:cs="宋体"/>
                <w:kern w:val="0"/>
                <w:sz w:val="22"/>
                <w:szCs w:val="22"/>
              </w:rPr>
              <w:t>本年收入合计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r>
              <w:rPr>
                <w:rFonts w:hint="eastAsia" w:ascii="宋体" w:hAnsi="宋体" w:eastAsia="宋体" w:cs="宋体"/>
                <w:sz w:val="22"/>
                <w:szCs w:val="22"/>
              </w:rPr>
              <w:t>27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445.33</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本年支出合计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r>
              <w:rPr>
                <w:rFonts w:ascii="宋体" w:hAnsi="宋体" w:eastAsia="宋体" w:cs="宋体"/>
                <w:sz w:val="22"/>
                <w:szCs w:val="22"/>
              </w:rPr>
              <w:t>59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445.33</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445.33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hint="eastAsia" w:ascii="宋体" w:hAnsi="宋体" w:eastAsia="宋体" w:cs="宋体"/>
                <w:kern w:val="0"/>
                <w:sz w:val="22"/>
                <w:szCs w:val="22"/>
              </w:rPr>
              <w:t>年初财政拨款结转和结余</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r>
              <w:rPr>
                <w:rFonts w:hint="eastAsia" w:ascii="宋体" w:hAnsi="宋体" w:eastAsia="宋体" w:cs="宋体"/>
                <w:sz w:val="22"/>
                <w:szCs w:val="22"/>
              </w:rPr>
              <w:t>28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年末财政拨款结转和结余</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r>
              <w:rPr>
                <w:rFonts w:ascii="宋体" w:hAnsi="宋体" w:eastAsia="宋体" w:cs="宋体"/>
                <w:sz w:val="22"/>
                <w:szCs w:val="22"/>
              </w:rPr>
              <w:t>60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hint="eastAsia" w:ascii="宋体" w:hAnsi="宋体" w:eastAsia="宋体" w:cs="宋体"/>
                <w:kern w:val="0"/>
                <w:sz w:val="22"/>
                <w:szCs w:val="22"/>
              </w:rPr>
              <w:t xml:space="preserve">  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r>
              <w:rPr>
                <w:rFonts w:hint="eastAsia" w:ascii="宋体" w:hAnsi="宋体" w:eastAsia="宋体" w:cs="宋体"/>
                <w:sz w:val="22"/>
                <w:szCs w:val="22"/>
              </w:rPr>
              <w:t>29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r>
              <w:rPr>
                <w:rFonts w:ascii="宋体" w:hAnsi="宋体" w:eastAsia="宋体" w:cs="宋体"/>
                <w:sz w:val="22"/>
                <w:szCs w:val="22"/>
              </w:rPr>
              <w:t>61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hint="eastAsia" w:ascii="宋体" w:hAnsi="宋体" w:eastAsia="宋体" w:cs="宋体"/>
                <w:kern w:val="0"/>
                <w:sz w:val="22"/>
                <w:szCs w:val="22"/>
              </w:rPr>
              <w:t xml:space="preserve">  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r>
              <w:rPr>
                <w:rFonts w:hint="eastAsia" w:ascii="宋体" w:hAnsi="宋体" w:eastAsia="宋体" w:cs="宋体"/>
                <w:sz w:val="22"/>
                <w:szCs w:val="22"/>
              </w:rPr>
              <w:t>30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r>
              <w:rPr>
                <w:rFonts w:ascii="宋体" w:hAnsi="宋体" w:eastAsia="宋体" w:cs="宋体"/>
                <w:sz w:val="22"/>
                <w:szCs w:val="22"/>
              </w:rPr>
              <w:t>62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hint="eastAsia" w:ascii="宋体" w:hAnsi="宋体" w:eastAsia="宋体" w:cs="宋体"/>
                <w:kern w:val="0"/>
                <w:sz w:val="22"/>
                <w:szCs w:val="22"/>
              </w:rPr>
              <w:t xml:space="preserve">  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r>
              <w:rPr>
                <w:rFonts w:hint="eastAsia" w:ascii="宋体" w:hAnsi="宋体" w:eastAsia="宋体" w:cs="宋体"/>
                <w:sz w:val="22"/>
                <w:szCs w:val="22"/>
              </w:rPr>
              <w:t>31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r>
              <w:rPr>
                <w:rFonts w:ascii="宋体" w:hAnsi="宋体" w:eastAsia="宋体" w:cs="宋体"/>
                <w:sz w:val="22"/>
                <w:szCs w:val="22"/>
              </w:rPr>
              <w:t>63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22"/>
                <w:szCs w:val="22"/>
              </w:rPr>
            </w:pPr>
            <w:r>
              <w:rPr>
                <w:rFonts w:hint="eastAsia" w:ascii="宋体" w:hAnsi="宋体" w:eastAsia="宋体" w:cs="宋体"/>
                <w:kern w:val="0"/>
                <w:sz w:val="22"/>
                <w:szCs w:val="22"/>
              </w:rPr>
              <w:t>总计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r>
              <w:rPr>
                <w:rFonts w:hint="eastAsia" w:ascii="宋体" w:hAnsi="宋体" w:eastAsia="宋体" w:cs="宋体"/>
                <w:sz w:val="22"/>
                <w:szCs w:val="22"/>
              </w:rPr>
              <w:t>32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445.33</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总计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r>
              <w:rPr>
                <w:rFonts w:ascii="宋体" w:hAnsi="宋体" w:eastAsia="宋体" w:cs="宋体"/>
                <w:sz w:val="22"/>
                <w:szCs w:val="22"/>
              </w:rPr>
              <w:t>64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kern w:val="0"/>
                <w:sz w:val="22"/>
                <w:szCs w:val="22"/>
              </w:rPr>
            </w:pPr>
            <w:r>
              <w:rPr>
                <w:rFonts w:ascii="宋体" w:hAnsi="宋体" w:eastAsia="宋体" w:cs="宋体"/>
                <w:kern w:val="0"/>
                <w:sz w:val="22"/>
                <w:szCs w:val="22"/>
              </w:rPr>
              <w:t>445.33</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445.33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268" w:hRule="atLeast"/>
        </w:trPr>
        <w:tc>
          <w:tcPr>
            <w:tcW w:w="4327" w:type="pct"/>
            <w:gridSpan w:val="8"/>
            <w:tcBorders>
              <w:top w:val="single" w:color="auto" w:sz="4" w:space="0"/>
              <w:left w:val="nil"/>
              <w:bottom w:val="nil"/>
              <w:right w:val="nil"/>
            </w:tcBorders>
            <w:shd w:val="clear" w:color="auto" w:fill="auto"/>
            <w:noWrap/>
            <w:vAlign w:val="center"/>
          </w:tcPr>
          <w:p>
            <w:pPr>
              <w:widowControl/>
              <w:jc w:val="left"/>
              <w:textAlignment w:val="center"/>
              <w:rPr>
                <w:rFonts w:ascii="宋体" w:hAnsi="宋体" w:eastAsia="宋体" w:cs="宋体"/>
                <w:kern w:val="0"/>
                <w:sz w:val="22"/>
                <w:szCs w:val="22"/>
              </w:rPr>
            </w:pPr>
            <w:r>
              <w:rPr>
                <w:rFonts w:hint="eastAsia" w:ascii="宋体" w:hAnsi="宋体" w:eastAsia="宋体" w:cs="宋体"/>
                <w:kern w:val="0"/>
                <w:sz w:val="22"/>
                <w:szCs w:val="22"/>
              </w:rPr>
              <w:t>注：本表反映部门本年度一般公共预算财政拨款、政府性基金预算财政拨款和国有资本经营预算财政拨款的总收支和年末结转结余情况。</w:t>
            </w:r>
          </w:p>
          <w:p>
            <w:pPr>
              <w:widowControl/>
              <w:jc w:val="left"/>
              <w:textAlignment w:val="center"/>
              <w:rPr>
                <w:rFonts w:ascii="宋体" w:hAnsi="宋体" w:eastAsia="宋体" w:cs="宋体"/>
                <w:kern w:val="0"/>
                <w:sz w:val="22"/>
                <w:szCs w:val="22"/>
              </w:rPr>
            </w:pPr>
          </w:p>
          <w:p>
            <w:pPr>
              <w:widowControl/>
              <w:jc w:val="left"/>
              <w:textAlignment w:val="center"/>
              <w:rPr>
                <w:rFonts w:ascii="宋体" w:hAnsi="宋体" w:eastAsia="宋体" w:cs="宋体"/>
                <w:kern w:val="0"/>
                <w:sz w:val="22"/>
                <w:szCs w:val="22"/>
              </w:rPr>
            </w:pPr>
          </w:p>
          <w:p>
            <w:pPr>
              <w:widowControl/>
              <w:jc w:val="left"/>
              <w:textAlignment w:val="center"/>
              <w:rPr>
                <w:rFonts w:ascii="宋体" w:hAnsi="宋体" w:eastAsia="宋体" w:cs="宋体"/>
                <w:kern w:val="0"/>
                <w:sz w:val="22"/>
                <w:szCs w:val="22"/>
              </w:rPr>
            </w:pPr>
          </w:p>
          <w:p>
            <w:pPr>
              <w:widowControl/>
              <w:jc w:val="left"/>
              <w:textAlignment w:val="center"/>
              <w:rPr>
                <w:rFonts w:ascii="宋体" w:hAnsi="宋体" w:eastAsia="宋体" w:cs="宋体"/>
                <w:kern w:val="0"/>
                <w:sz w:val="22"/>
                <w:szCs w:val="22"/>
              </w:rPr>
            </w:pPr>
          </w:p>
          <w:p>
            <w:pPr>
              <w:widowControl/>
              <w:jc w:val="left"/>
              <w:textAlignment w:val="center"/>
              <w:rPr>
                <w:rFonts w:ascii="宋体" w:hAnsi="宋体" w:eastAsia="宋体" w:cs="宋体"/>
                <w:kern w:val="0"/>
                <w:sz w:val="22"/>
                <w:szCs w:val="22"/>
              </w:rPr>
            </w:pPr>
          </w:p>
          <w:p>
            <w:pPr>
              <w:widowControl/>
              <w:jc w:val="left"/>
              <w:textAlignment w:val="center"/>
              <w:rPr>
                <w:rFonts w:ascii="宋体" w:hAnsi="宋体" w:eastAsia="宋体" w:cs="宋体"/>
                <w:kern w:val="0"/>
                <w:sz w:val="22"/>
                <w:szCs w:val="22"/>
              </w:rPr>
            </w:pPr>
          </w:p>
          <w:p>
            <w:pPr>
              <w:widowControl/>
              <w:jc w:val="left"/>
              <w:textAlignment w:val="center"/>
              <w:rPr>
                <w:rFonts w:ascii="宋体" w:hAnsi="宋体" w:eastAsia="宋体" w:cs="宋体"/>
                <w:kern w:val="0"/>
                <w:sz w:val="22"/>
                <w:szCs w:val="22"/>
              </w:rPr>
            </w:pPr>
          </w:p>
          <w:p>
            <w:pPr>
              <w:widowControl/>
              <w:jc w:val="left"/>
              <w:textAlignment w:val="center"/>
              <w:rPr>
                <w:rFonts w:ascii="宋体" w:hAnsi="宋体" w:eastAsia="宋体" w:cs="宋体"/>
                <w:kern w:val="0"/>
                <w:sz w:val="22"/>
                <w:szCs w:val="22"/>
              </w:rPr>
            </w:pPr>
          </w:p>
          <w:p>
            <w:pPr>
              <w:widowControl/>
              <w:jc w:val="left"/>
              <w:textAlignment w:val="center"/>
              <w:rPr>
                <w:rFonts w:ascii="宋体" w:hAnsi="宋体" w:eastAsia="宋体" w:cs="宋体"/>
                <w:kern w:val="0"/>
                <w:sz w:val="22"/>
                <w:szCs w:val="22"/>
              </w:rPr>
            </w:pPr>
          </w:p>
        </w:tc>
        <w:tc>
          <w:tcPr>
            <w:tcW w:w="672" w:type="pct"/>
            <w:tcBorders>
              <w:top w:val="single" w:color="auto" w:sz="4" w:space="0"/>
              <w:left w:val="nil"/>
              <w:bottom w:val="nil"/>
              <w:right w:val="nil"/>
            </w:tcBorders>
            <w:shd w:val="clear" w:color="auto" w:fill="auto"/>
            <w:noWrap/>
            <w:vAlign w:val="center"/>
          </w:tcPr>
          <w:p>
            <w:pPr>
              <w:jc w:val="left"/>
              <w:rPr>
                <w:rFonts w:ascii="宋体" w:hAnsi="宋体" w:eastAsia="宋体" w:cs="宋体"/>
                <w:sz w:val="20"/>
                <w:szCs w:val="20"/>
              </w:rPr>
            </w:pPr>
          </w:p>
        </w:tc>
      </w:tr>
    </w:tbl>
    <w:p>
      <w:pPr>
        <w:rPr>
          <w:rFonts w:ascii="仿宋" w:hAnsi="仿宋" w:eastAsia="仿宋" w:cs="仿宋"/>
          <w:sz w:val="24"/>
        </w:rPr>
      </w:pPr>
      <w:r>
        <w:rPr>
          <w:rFonts w:hint="eastAsia" w:ascii="仿宋" w:hAnsi="仿宋" w:eastAsia="仿宋" w:cs="仿宋"/>
          <w:sz w:val="24"/>
        </w:rPr>
        <w:t>表五：一般公共预算财政拨款支出决算表</w:t>
      </w:r>
    </w:p>
    <w:tbl>
      <w:tblPr>
        <w:tblStyle w:val="7"/>
        <w:tblW w:w="13980" w:type="dxa"/>
        <w:tblInd w:w="96" w:type="dxa"/>
        <w:tblLayout w:type="fixed"/>
        <w:tblCellMar>
          <w:top w:w="0" w:type="dxa"/>
          <w:left w:w="108" w:type="dxa"/>
          <w:bottom w:w="0" w:type="dxa"/>
          <w:right w:w="108" w:type="dxa"/>
        </w:tblCellMar>
      </w:tblPr>
      <w:tblGrid>
        <w:gridCol w:w="2011"/>
        <w:gridCol w:w="272"/>
        <w:gridCol w:w="238"/>
        <w:gridCol w:w="238"/>
        <w:gridCol w:w="2052"/>
        <w:gridCol w:w="3173"/>
        <w:gridCol w:w="3107"/>
        <w:gridCol w:w="2889"/>
      </w:tblGrid>
      <w:tr>
        <w:tblPrEx>
          <w:tblCellMar>
            <w:top w:w="0" w:type="dxa"/>
            <w:left w:w="108" w:type="dxa"/>
            <w:bottom w:w="0" w:type="dxa"/>
            <w:right w:w="108" w:type="dxa"/>
          </w:tblCellMar>
        </w:tblPrEx>
        <w:trPr>
          <w:trHeight w:val="693" w:hRule="atLeast"/>
        </w:trPr>
        <w:tc>
          <w:tcPr>
            <w:tcW w:w="13980" w:type="dxa"/>
            <w:gridSpan w:val="8"/>
            <w:tcBorders>
              <w:top w:val="nil"/>
              <w:left w:val="nil"/>
              <w:bottom w:val="nil"/>
              <w:right w:val="nil"/>
            </w:tcBorders>
            <w:shd w:val="clear" w:color="auto" w:fill="auto"/>
            <w:noWrap/>
            <w:vAlign w:val="bottom"/>
          </w:tcPr>
          <w:p>
            <w:pPr>
              <w:widowControl/>
              <w:jc w:val="center"/>
              <w:textAlignment w:val="bottom"/>
              <w:rPr>
                <w:rFonts w:ascii="宋体" w:hAnsi="宋体" w:eastAsia="宋体" w:cs="宋体"/>
                <w:sz w:val="30"/>
                <w:szCs w:val="30"/>
              </w:rPr>
            </w:pPr>
            <w:r>
              <w:rPr>
                <w:rFonts w:hint="eastAsia" w:ascii="宋体" w:hAnsi="宋体" w:eastAsia="宋体" w:cs="宋体"/>
                <w:kern w:val="0"/>
                <w:sz w:val="32"/>
                <w:szCs w:val="32"/>
              </w:rPr>
              <w:t>一般公共预算财政拨款支出决算表</w:t>
            </w:r>
          </w:p>
        </w:tc>
      </w:tr>
      <w:tr>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pPr>
              <w:rPr>
                <w:rFonts w:ascii="Arial" w:hAnsi="Arial" w:cs="Arial"/>
                <w:sz w:val="20"/>
                <w:szCs w:val="20"/>
              </w:rPr>
            </w:pPr>
          </w:p>
        </w:tc>
        <w:tc>
          <w:tcPr>
            <w:tcW w:w="238" w:type="dxa"/>
            <w:tcBorders>
              <w:top w:val="nil"/>
              <w:left w:val="nil"/>
              <w:bottom w:val="nil"/>
              <w:right w:val="nil"/>
            </w:tcBorders>
            <w:shd w:val="clear" w:color="auto" w:fill="auto"/>
            <w:noWrap/>
            <w:vAlign w:val="bottom"/>
          </w:tcPr>
          <w:p>
            <w:pPr>
              <w:rPr>
                <w:rFonts w:ascii="Arial" w:hAnsi="Arial" w:cs="Arial"/>
                <w:sz w:val="20"/>
                <w:szCs w:val="20"/>
              </w:rPr>
            </w:pPr>
          </w:p>
        </w:tc>
        <w:tc>
          <w:tcPr>
            <w:tcW w:w="238" w:type="dxa"/>
            <w:tcBorders>
              <w:top w:val="nil"/>
              <w:left w:val="nil"/>
              <w:bottom w:val="nil"/>
              <w:right w:val="nil"/>
            </w:tcBorders>
            <w:shd w:val="clear" w:color="auto" w:fill="auto"/>
            <w:noWrap/>
            <w:vAlign w:val="bottom"/>
          </w:tcPr>
          <w:p>
            <w:pPr>
              <w:rPr>
                <w:rFonts w:ascii="Arial" w:hAnsi="Arial" w:cs="Arial"/>
                <w:sz w:val="20"/>
                <w:szCs w:val="20"/>
              </w:rPr>
            </w:pPr>
          </w:p>
        </w:tc>
        <w:tc>
          <w:tcPr>
            <w:tcW w:w="2052" w:type="dxa"/>
            <w:tcBorders>
              <w:top w:val="nil"/>
              <w:left w:val="nil"/>
              <w:bottom w:val="nil"/>
              <w:right w:val="nil"/>
            </w:tcBorders>
            <w:shd w:val="clear" w:color="auto" w:fill="auto"/>
            <w:noWrap/>
            <w:vAlign w:val="bottom"/>
          </w:tcPr>
          <w:p>
            <w:pPr>
              <w:rPr>
                <w:rFonts w:ascii="Arial" w:hAnsi="Arial" w:cs="Arial"/>
                <w:sz w:val="20"/>
                <w:szCs w:val="20"/>
              </w:rPr>
            </w:pPr>
          </w:p>
        </w:tc>
        <w:tc>
          <w:tcPr>
            <w:tcW w:w="3173" w:type="dxa"/>
            <w:tcBorders>
              <w:top w:val="nil"/>
              <w:left w:val="nil"/>
              <w:bottom w:val="nil"/>
              <w:right w:val="nil"/>
            </w:tcBorders>
            <w:shd w:val="clear" w:color="auto" w:fill="auto"/>
            <w:noWrap/>
            <w:vAlign w:val="bottom"/>
          </w:tcPr>
          <w:p>
            <w:pPr>
              <w:rPr>
                <w:rFonts w:ascii="Arial" w:hAnsi="Arial" w:cs="Arial"/>
                <w:sz w:val="20"/>
                <w:szCs w:val="20"/>
              </w:rPr>
            </w:pPr>
          </w:p>
        </w:tc>
        <w:tc>
          <w:tcPr>
            <w:tcW w:w="3107" w:type="dxa"/>
            <w:tcBorders>
              <w:top w:val="nil"/>
              <w:left w:val="nil"/>
              <w:bottom w:val="nil"/>
              <w:right w:val="nil"/>
            </w:tcBorders>
            <w:shd w:val="clear" w:color="auto" w:fill="auto"/>
            <w:noWrap/>
            <w:vAlign w:val="bottom"/>
          </w:tcPr>
          <w:p>
            <w:pPr>
              <w:rPr>
                <w:rFonts w:ascii="Arial" w:hAnsi="Arial" w:cs="Arial"/>
                <w:sz w:val="20"/>
                <w:szCs w:val="20"/>
              </w:rPr>
            </w:pPr>
          </w:p>
        </w:tc>
        <w:tc>
          <w:tcPr>
            <w:tcW w:w="2889" w:type="dxa"/>
            <w:tcBorders>
              <w:top w:val="nil"/>
              <w:left w:val="nil"/>
              <w:bottom w:val="nil"/>
              <w:right w:val="nil"/>
            </w:tcBorders>
            <w:shd w:val="clear" w:color="auto" w:fill="auto"/>
            <w:noWrap/>
            <w:vAlign w:val="bottom"/>
          </w:tcPr>
          <w:p>
            <w:pPr>
              <w:widowControl/>
              <w:jc w:val="right"/>
              <w:textAlignment w:val="bottom"/>
              <w:rPr>
                <w:rFonts w:ascii="宋体" w:hAnsi="宋体" w:eastAsia="宋体" w:cs="宋体"/>
                <w:sz w:val="20"/>
                <w:szCs w:val="20"/>
              </w:rPr>
            </w:pPr>
            <w:r>
              <w:rPr>
                <w:rFonts w:hint="eastAsia" w:ascii="宋体" w:hAnsi="宋体" w:eastAsia="宋体" w:cs="宋体"/>
                <w:kern w:val="0"/>
                <w:sz w:val="20"/>
                <w:szCs w:val="20"/>
              </w:rPr>
              <w:t>公开05表</w:t>
            </w:r>
          </w:p>
        </w:tc>
      </w:tr>
      <w:tr>
        <w:tblPrEx>
          <w:tblCellMar>
            <w:top w:w="0" w:type="dxa"/>
            <w:left w:w="108" w:type="dxa"/>
            <w:bottom w:w="0" w:type="dxa"/>
            <w:right w:w="108" w:type="dxa"/>
          </w:tblCellMar>
        </w:tblPrEx>
        <w:trPr>
          <w:trHeight w:val="346" w:hRule="atLeast"/>
        </w:trPr>
        <w:tc>
          <w:tcPr>
            <w:tcW w:w="7984" w:type="dxa"/>
            <w:gridSpan w:val="6"/>
            <w:tcBorders>
              <w:top w:val="nil"/>
              <w:left w:val="nil"/>
              <w:bottom w:val="single" w:color="auto" w:sz="4" w:space="0"/>
              <w:right w:val="nil"/>
            </w:tcBorders>
            <w:shd w:val="clear" w:color="auto" w:fill="auto"/>
            <w:noWrap/>
            <w:vAlign w:val="bottom"/>
          </w:tcPr>
          <w:p>
            <w:pPr>
              <w:rPr>
                <w:rFonts w:ascii="Arial" w:hAnsi="Arial" w:cs="Arial"/>
                <w:sz w:val="20"/>
                <w:szCs w:val="20"/>
              </w:rPr>
            </w:pPr>
            <w:r>
              <w:rPr>
                <w:rFonts w:hint="eastAsia" w:ascii="宋体" w:hAnsi="宋体" w:eastAsia="宋体" w:cs="宋体"/>
                <w:kern w:val="0"/>
                <w:sz w:val="20"/>
                <w:szCs w:val="20"/>
              </w:rPr>
              <w:t>部门：</w:t>
            </w:r>
            <w:r>
              <w:rPr>
                <w:rFonts w:ascii="宋体" w:hAnsi="宋体" w:eastAsia="宋体" w:cs="宋体"/>
                <w:sz w:val="20"/>
              </w:rPr>
              <w:t>环江毛南族自治县第二幼儿园</w:t>
            </w:r>
          </w:p>
        </w:tc>
        <w:tc>
          <w:tcPr>
            <w:tcW w:w="3107" w:type="dxa"/>
            <w:tcBorders>
              <w:top w:val="nil"/>
              <w:left w:val="nil"/>
              <w:bottom w:val="single" w:color="auto" w:sz="4" w:space="0"/>
              <w:right w:val="nil"/>
            </w:tcBorders>
            <w:shd w:val="clear" w:color="auto" w:fill="auto"/>
            <w:noWrap/>
            <w:vAlign w:val="bottom"/>
          </w:tcPr>
          <w:p>
            <w:pPr>
              <w:rPr>
                <w:rFonts w:ascii="Arial" w:hAnsi="Arial" w:cs="Arial"/>
                <w:sz w:val="20"/>
                <w:szCs w:val="20"/>
              </w:rPr>
            </w:pPr>
          </w:p>
        </w:tc>
        <w:tc>
          <w:tcPr>
            <w:tcW w:w="2889" w:type="dxa"/>
            <w:tcBorders>
              <w:top w:val="nil"/>
              <w:left w:val="nil"/>
              <w:bottom w:val="single" w:color="auto" w:sz="4" w:space="0"/>
              <w:right w:val="nil"/>
            </w:tcBorders>
            <w:shd w:val="clear" w:color="auto" w:fill="auto"/>
            <w:noWrap/>
            <w:vAlign w:val="bottom"/>
          </w:tcPr>
          <w:p>
            <w:pPr>
              <w:widowControl/>
              <w:jc w:val="right"/>
              <w:textAlignment w:val="bottom"/>
              <w:rPr>
                <w:rFonts w:ascii="宋体" w:hAnsi="宋体" w:eastAsia="宋体" w:cs="宋体"/>
                <w:sz w:val="20"/>
                <w:szCs w:val="20"/>
              </w:rPr>
            </w:pPr>
            <w:r>
              <w:rPr>
                <w:rFonts w:hint="eastAsia" w:ascii="宋体" w:hAnsi="宋体" w:eastAsia="宋体" w:cs="宋体"/>
                <w:kern w:val="0"/>
                <w:sz w:val="20"/>
                <w:szCs w:val="20"/>
              </w:rPr>
              <w:t>金额单位：万元</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项目</w:t>
            </w:r>
          </w:p>
        </w:tc>
        <w:tc>
          <w:tcPr>
            <w:tcW w:w="91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本年支出</w:t>
            </w:r>
          </w:p>
        </w:tc>
      </w:tr>
      <w:tr>
        <w:tblPrEx>
          <w:tblCellMar>
            <w:top w:w="0" w:type="dxa"/>
            <w:left w:w="108" w:type="dxa"/>
            <w:bottom w:w="0" w:type="dxa"/>
            <w:right w:w="108" w:type="dxa"/>
          </w:tblCellMar>
        </w:tblPrEx>
        <w:trPr>
          <w:trHeight w:val="353" w:hRule="atLeast"/>
        </w:trPr>
        <w:tc>
          <w:tcPr>
            <w:tcW w:w="2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功能分类科目编码</w:t>
            </w:r>
          </w:p>
        </w:tc>
        <w:tc>
          <w:tcPr>
            <w:tcW w:w="280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科目名称</w:t>
            </w:r>
          </w:p>
        </w:tc>
        <w:tc>
          <w:tcPr>
            <w:tcW w:w="3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小计</w:t>
            </w: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项目支出</w:t>
            </w:r>
          </w:p>
        </w:tc>
      </w:tr>
      <w:tr>
        <w:tblPrEx>
          <w:tblCellMar>
            <w:top w:w="0" w:type="dxa"/>
            <w:left w:w="108" w:type="dxa"/>
            <w:bottom w:w="0" w:type="dxa"/>
            <w:right w:w="108" w:type="dxa"/>
          </w:tblCellMar>
        </w:tblPrEx>
        <w:trPr>
          <w:trHeight w:val="319"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r>
      <w:tr>
        <w:tblPrEx>
          <w:tblCellMar>
            <w:top w:w="0" w:type="dxa"/>
            <w:left w:w="108" w:type="dxa"/>
            <w:bottom w:w="0" w:type="dxa"/>
            <w:right w:w="108" w:type="dxa"/>
          </w:tblCellMar>
        </w:tblPrEx>
        <w:trPr>
          <w:trHeight w:val="353"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栏次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3</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合计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sz w:val="22"/>
                <w:szCs w:val="22"/>
              </w:rPr>
            </w:pPr>
            <w:r>
              <w:rPr>
                <w:rFonts w:ascii="宋体" w:hAnsi="宋体" w:eastAsia="宋体" w:cs="宋体"/>
                <w:b/>
                <w:bCs/>
                <w:sz w:val="22"/>
                <w:szCs w:val="22"/>
              </w:rPr>
              <w:t>445.33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sz w:val="22"/>
                <w:szCs w:val="22"/>
              </w:rPr>
            </w:pPr>
            <w:r>
              <w:rPr>
                <w:rFonts w:hint="eastAsia" w:ascii="宋体" w:hAnsi="宋体" w:eastAsia="宋体" w:cs="宋体"/>
                <w:b/>
                <w:bCs/>
                <w:sz w:val="22"/>
                <w:szCs w:val="22"/>
              </w:rPr>
              <w:t>190.57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sz w:val="22"/>
                <w:szCs w:val="22"/>
              </w:rPr>
            </w:pPr>
            <w:r>
              <w:rPr>
                <w:rFonts w:hint="eastAsia" w:ascii="宋体" w:hAnsi="宋体" w:eastAsia="宋体" w:cs="宋体"/>
                <w:b/>
                <w:bCs/>
                <w:sz w:val="22"/>
                <w:szCs w:val="22"/>
              </w:rPr>
              <w:t>254.75</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sz w:val="22"/>
                <w:szCs w:val="22"/>
              </w:rPr>
              <w:t>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sz w:val="22"/>
                <w:szCs w:val="22"/>
              </w:rPr>
              <w:t>一般公共服务支出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2.44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2.44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sz w:val="22"/>
                <w:szCs w:val="22"/>
              </w:rPr>
              <w:t>20129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sz w:val="22"/>
                <w:szCs w:val="22"/>
              </w:rPr>
              <w:t>群众团体事务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2.44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2.44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sz w:val="22"/>
                <w:szCs w:val="22"/>
              </w:rPr>
              <w:t>2012999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sz w:val="22"/>
                <w:szCs w:val="22"/>
              </w:rPr>
              <w:t xml:space="preserve">  其他群众团体事务支出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2.44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2.44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sz w:val="22"/>
                <w:szCs w:val="22"/>
              </w:rPr>
              <w:t>205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sz w:val="22"/>
                <w:szCs w:val="22"/>
              </w:rPr>
              <w:t>教育支出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381.11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141.31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239.80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sz w:val="22"/>
                <w:szCs w:val="22"/>
              </w:rPr>
              <w:t>20502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sz w:val="22"/>
                <w:szCs w:val="22"/>
              </w:rPr>
              <w:t>普通教育</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381.11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141.31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239.80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sz w:val="22"/>
                <w:szCs w:val="22"/>
              </w:rPr>
              <w:t>2050201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sz w:val="22"/>
                <w:szCs w:val="22"/>
              </w:rPr>
              <w:t xml:space="preserve">  学前教育</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375.98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141.04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234.95</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sz w:val="22"/>
                <w:szCs w:val="22"/>
              </w:rPr>
              <w:t>2050299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sz w:val="22"/>
                <w:szCs w:val="22"/>
              </w:rPr>
              <w:t xml:space="preserve">  其他普通教育支出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5.13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0.27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4.86</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sz w:val="22"/>
                <w:szCs w:val="22"/>
              </w:rPr>
              <w:t>208</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sz w:val="22"/>
                <w:szCs w:val="22"/>
              </w:rPr>
              <w:t>社会保障和就业支出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18.82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18.82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sz w:val="22"/>
                <w:szCs w:val="22"/>
              </w:rPr>
              <w:t>20805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sz w:val="22"/>
                <w:szCs w:val="22"/>
              </w:rPr>
              <w:t>行政事业单位养老支出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18.82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18.82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sz w:val="22"/>
                <w:szCs w:val="22"/>
              </w:rPr>
              <w:t>2080505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sz w:val="22"/>
                <w:szCs w:val="22"/>
              </w:rPr>
              <w:t xml:space="preserve">  机关事业单位基本养老保险缴费支出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18.82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18.82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sz w:val="22"/>
                <w:szCs w:val="22"/>
              </w:rPr>
              <w:t>221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sz w:val="22"/>
                <w:szCs w:val="22"/>
              </w:rPr>
              <w:t>住房保障支出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13.79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13.79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sz w:val="22"/>
                <w:szCs w:val="22"/>
              </w:rPr>
              <w:t>22102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sz w:val="22"/>
                <w:szCs w:val="22"/>
              </w:rPr>
              <w:t>住房改革支出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13.79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13.79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sz w:val="22"/>
                <w:szCs w:val="22"/>
              </w:rPr>
              <w:t>2210201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sz w:val="22"/>
                <w:szCs w:val="22"/>
              </w:rPr>
              <w:t xml:space="preserve">  住房公积金</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13.79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13.79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sz w:val="22"/>
                <w:szCs w:val="22"/>
              </w:rPr>
              <w:t>229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sz w:val="22"/>
                <w:szCs w:val="22"/>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29.16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14.21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14.95</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sz w:val="22"/>
                <w:szCs w:val="22"/>
              </w:rPr>
              <w:t>22999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sz w:val="22"/>
                <w:szCs w:val="22"/>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29.16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14.21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14.95</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sz w:val="22"/>
                <w:szCs w:val="22"/>
              </w:rPr>
              <w:t>2299999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sz w:val="22"/>
                <w:szCs w:val="22"/>
              </w:rPr>
              <w:t xml:space="preserve">  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29.16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14.21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14.95</w:t>
            </w:r>
          </w:p>
        </w:tc>
      </w:tr>
      <w:tr>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注：本表反映部门本年度一般公共预算财政拨款支出情况。</w:t>
            </w:r>
          </w:p>
        </w:tc>
      </w:tr>
    </w:tbl>
    <w:p>
      <w:pPr>
        <w:rPr>
          <w:rFonts w:ascii="仿宋" w:hAnsi="仿宋" w:eastAsia="仿宋" w:cs="仿宋"/>
          <w:sz w:val="24"/>
        </w:rPr>
      </w:pPr>
      <w:r>
        <w:rPr>
          <w:rFonts w:ascii="仿宋" w:hAnsi="仿宋" w:eastAsia="仿宋" w:cs="仿宋"/>
          <w:sz w:val="24"/>
        </w:rPr>
        <w:br w:type="page"/>
      </w:r>
    </w:p>
    <w:p>
      <w:pPr>
        <w:jc w:val="left"/>
        <w:rPr>
          <w:rFonts w:ascii="仿宋" w:hAnsi="仿宋" w:eastAsia="仿宋" w:cs="仿宋"/>
          <w:sz w:val="24"/>
        </w:rPr>
      </w:pPr>
      <w:r>
        <w:rPr>
          <w:rFonts w:hint="eastAsia" w:ascii="仿宋" w:hAnsi="仿宋" w:eastAsia="仿宋" w:cs="仿宋"/>
          <w:sz w:val="24"/>
        </w:rPr>
        <w:t>表六：一般公共预算财政拨款基本支出决算表</w:t>
      </w:r>
    </w:p>
    <w:tbl>
      <w:tblPr>
        <w:tblStyle w:val="7"/>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widowControl/>
              <w:jc w:val="center"/>
              <w:textAlignment w:val="bottom"/>
              <w:rPr>
                <w:rFonts w:ascii="宋体" w:hAnsi="宋体" w:eastAsia="宋体" w:cs="宋体"/>
                <w:sz w:val="30"/>
                <w:szCs w:val="30"/>
              </w:rPr>
            </w:pPr>
            <w:r>
              <w:rPr>
                <w:rFonts w:hint="eastAsia" w:ascii="宋体" w:hAnsi="宋体" w:eastAsia="宋体" w:cs="宋体"/>
                <w:kern w:val="0"/>
                <w:sz w:val="32"/>
                <w:szCs w:val="32"/>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rPr>
                <w:rFonts w:ascii="Arial" w:hAnsi="Arial" w:cs="Arial"/>
                <w:sz w:val="20"/>
                <w:szCs w:val="20"/>
              </w:rPr>
            </w:pPr>
          </w:p>
        </w:tc>
        <w:tc>
          <w:tcPr>
            <w:tcW w:w="2371" w:type="dxa"/>
            <w:tcBorders>
              <w:top w:val="nil"/>
              <w:left w:val="nil"/>
              <w:bottom w:val="nil"/>
              <w:right w:val="nil"/>
            </w:tcBorders>
            <w:shd w:val="clear" w:color="auto" w:fill="auto"/>
            <w:noWrap/>
            <w:vAlign w:val="bottom"/>
          </w:tcPr>
          <w:p>
            <w:pPr>
              <w:rPr>
                <w:rFonts w:ascii="Arial" w:hAnsi="Arial" w:cs="Arial"/>
                <w:sz w:val="20"/>
                <w:szCs w:val="20"/>
              </w:rPr>
            </w:pPr>
          </w:p>
        </w:tc>
        <w:tc>
          <w:tcPr>
            <w:tcW w:w="1106" w:type="dxa"/>
            <w:tcBorders>
              <w:top w:val="nil"/>
              <w:left w:val="nil"/>
              <w:bottom w:val="nil"/>
              <w:right w:val="nil"/>
            </w:tcBorders>
            <w:shd w:val="clear" w:color="auto" w:fill="auto"/>
            <w:noWrap/>
            <w:vAlign w:val="bottom"/>
          </w:tcPr>
          <w:p>
            <w:pPr>
              <w:rPr>
                <w:rFonts w:ascii="Arial" w:hAnsi="Arial" w:cs="Arial"/>
                <w:sz w:val="20"/>
                <w:szCs w:val="20"/>
              </w:rPr>
            </w:pPr>
          </w:p>
        </w:tc>
        <w:tc>
          <w:tcPr>
            <w:tcW w:w="1280" w:type="dxa"/>
            <w:tcBorders>
              <w:top w:val="nil"/>
              <w:left w:val="nil"/>
              <w:bottom w:val="nil"/>
              <w:right w:val="nil"/>
            </w:tcBorders>
            <w:shd w:val="clear" w:color="auto" w:fill="auto"/>
            <w:noWrap/>
            <w:vAlign w:val="bottom"/>
          </w:tcPr>
          <w:p>
            <w:pPr>
              <w:rPr>
                <w:rFonts w:ascii="Arial" w:hAnsi="Arial" w:cs="Arial"/>
                <w:sz w:val="20"/>
                <w:szCs w:val="20"/>
              </w:rPr>
            </w:pPr>
          </w:p>
        </w:tc>
        <w:tc>
          <w:tcPr>
            <w:tcW w:w="2347" w:type="dxa"/>
            <w:tcBorders>
              <w:top w:val="nil"/>
              <w:left w:val="nil"/>
              <w:bottom w:val="nil"/>
              <w:right w:val="nil"/>
            </w:tcBorders>
            <w:shd w:val="clear" w:color="auto" w:fill="auto"/>
            <w:noWrap/>
            <w:vAlign w:val="bottom"/>
          </w:tcPr>
          <w:p>
            <w:pPr>
              <w:rPr>
                <w:rFonts w:ascii="Arial" w:hAnsi="Arial" w:cs="Arial"/>
                <w:sz w:val="20"/>
                <w:szCs w:val="20"/>
              </w:rPr>
            </w:pPr>
          </w:p>
        </w:tc>
        <w:tc>
          <w:tcPr>
            <w:tcW w:w="1160" w:type="dxa"/>
            <w:tcBorders>
              <w:top w:val="nil"/>
              <w:left w:val="nil"/>
              <w:bottom w:val="nil"/>
              <w:right w:val="nil"/>
            </w:tcBorders>
            <w:shd w:val="clear" w:color="auto" w:fill="auto"/>
            <w:noWrap/>
            <w:vAlign w:val="bottom"/>
          </w:tcPr>
          <w:p>
            <w:pPr>
              <w:rPr>
                <w:rFonts w:ascii="Arial" w:hAnsi="Arial" w:cs="Arial"/>
                <w:sz w:val="20"/>
                <w:szCs w:val="20"/>
              </w:rPr>
            </w:pPr>
          </w:p>
        </w:tc>
        <w:tc>
          <w:tcPr>
            <w:tcW w:w="1173" w:type="dxa"/>
            <w:tcBorders>
              <w:top w:val="nil"/>
              <w:left w:val="nil"/>
              <w:bottom w:val="nil"/>
              <w:right w:val="nil"/>
            </w:tcBorders>
            <w:shd w:val="clear" w:color="auto" w:fill="auto"/>
            <w:noWrap/>
            <w:vAlign w:val="bottom"/>
          </w:tcPr>
          <w:p>
            <w:pPr>
              <w:rPr>
                <w:rFonts w:ascii="Arial" w:hAnsi="Arial" w:cs="Arial"/>
                <w:sz w:val="20"/>
                <w:szCs w:val="20"/>
              </w:rPr>
            </w:pPr>
          </w:p>
        </w:tc>
        <w:tc>
          <w:tcPr>
            <w:tcW w:w="2147" w:type="dxa"/>
            <w:tcBorders>
              <w:top w:val="nil"/>
              <w:left w:val="nil"/>
              <w:bottom w:val="nil"/>
              <w:right w:val="nil"/>
            </w:tcBorders>
            <w:shd w:val="clear" w:color="auto" w:fill="auto"/>
            <w:noWrap/>
            <w:vAlign w:val="bottom"/>
          </w:tcPr>
          <w:p>
            <w:pPr>
              <w:rPr>
                <w:rFonts w:ascii="Arial" w:hAnsi="Arial" w:cs="Arial"/>
                <w:sz w:val="20"/>
                <w:szCs w:val="20"/>
              </w:rPr>
            </w:pPr>
          </w:p>
        </w:tc>
        <w:tc>
          <w:tcPr>
            <w:tcW w:w="1309" w:type="dxa"/>
            <w:tcBorders>
              <w:top w:val="nil"/>
              <w:left w:val="nil"/>
              <w:bottom w:val="nil"/>
              <w:right w:val="nil"/>
            </w:tcBorders>
            <w:shd w:val="clear" w:color="auto" w:fill="auto"/>
            <w:noWrap/>
            <w:vAlign w:val="bottom"/>
          </w:tcPr>
          <w:p>
            <w:pPr>
              <w:widowControl/>
              <w:jc w:val="right"/>
              <w:textAlignment w:val="bottom"/>
              <w:rPr>
                <w:rFonts w:ascii="宋体" w:hAnsi="宋体" w:eastAsia="宋体" w:cs="宋体"/>
                <w:sz w:val="20"/>
                <w:szCs w:val="20"/>
              </w:rPr>
            </w:pPr>
            <w:r>
              <w:rPr>
                <w:rFonts w:hint="eastAsia" w:ascii="宋体" w:hAnsi="宋体" w:eastAsia="宋体" w:cs="宋体"/>
                <w:kern w:val="0"/>
                <w:sz w:val="20"/>
                <w:szCs w:val="20"/>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rPr>
                <w:rFonts w:ascii="Arial" w:hAnsi="Arial" w:cs="Arial"/>
                <w:sz w:val="20"/>
                <w:szCs w:val="20"/>
              </w:rPr>
            </w:pPr>
            <w:r>
              <w:rPr>
                <w:rFonts w:hint="eastAsia" w:ascii="宋体" w:hAnsi="宋体" w:eastAsia="宋体" w:cs="宋体"/>
                <w:kern w:val="0"/>
                <w:sz w:val="20"/>
                <w:szCs w:val="20"/>
              </w:rPr>
              <w:t>部门：</w:t>
            </w:r>
            <w:r>
              <w:rPr>
                <w:rFonts w:ascii="宋体" w:hAnsi="宋体" w:eastAsia="宋体" w:cs="宋体"/>
                <w:sz w:val="20"/>
              </w:rPr>
              <w:t>环江毛南族自治县第二幼儿园</w:t>
            </w:r>
          </w:p>
        </w:tc>
        <w:tc>
          <w:tcPr>
            <w:tcW w:w="1160" w:type="dxa"/>
            <w:tcBorders>
              <w:top w:val="nil"/>
              <w:left w:val="nil"/>
              <w:bottom w:val="single" w:color="auto" w:sz="4" w:space="0"/>
              <w:right w:val="nil"/>
            </w:tcBorders>
            <w:shd w:val="clear" w:color="auto" w:fill="auto"/>
            <w:noWrap/>
            <w:vAlign w:val="bottom"/>
          </w:tcPr>
          <w:p>
            <w:pPr>
              <w:rPr>
                <w:rFonts w:ascii="Arial" w:hAnsi="Arial" w:cs="Arial"/>
                <w:sz w:val="20"/>
                <w:szCs w:val="20"/>
              </w:rPr>
            </w:pPr>
          </w:p>
        </w:tc>
        <w:tc>
          <w:tcPr>
            <w:tcW w:w="1173" w:type="dxa"/>
            <w:tcBorders>
              <w:top w:val="nil"/>
              <w:left w:val="nil"/>
              <w:bottom w:val="single" w:color="auto" w:sz="4" w:space="0"/>
              <w:right w:val="nil"/>
            </w:tcBorders>
            <w:shd w:val="clear" w:color="auto" w:fill="auto"/>
            <w:noWrap/>
            <w:vAlign w:val="bottom"/>
          </w:tcPr>
          <w:p>
            <w:pPr>
              <w:rPr>
                <w:rFonts w:ascii="Arial" w:hAnsi="Arial" w:cs="Arial"/>
                <w:sz w:val="20"/>
                <w:szCs w:val="20"/>
              </w:rPr>
            </w:pPr>
          </w:p>
        </w:tc>
        <w:tc>
          <w:tcPr>
            <w:tcW w:w="3456" w:type="dxa"/>
            <w:gridSpan w:val="2"/>
            <w:tcBorders>
              <w:top w:val="nil"/>
              <w:left w:val="nil"/>
              <w:bottom w:val="single" w:color="auto" w:sz="4" w:space="0"/>
            </w:tcBorders>
            <w:shd w:val="clear" w:color="auto" w:fill="auto"/>
            <w:noWrap/>
            <w:vAlign w:val="bottom"/>
          </w:tcPr>
          <w:p>
            <w:pPr>
              <w:widowControl/>
              <w:jc w:val="right"/>
              <w:textAlignment w:val="bottom"/>
              <w:rPr>
                <w:rFonts w:ascii="宋体" w:hAnsi="宋体" w:eastAsia="宋体" w:cs="宋体"/>
                <w:sz w:val="20"/>
                <w:szCs w:val="20"/>
              </w:rPr>
            </w:pPr>
            <w:r>
              <w:rPr>
                <w:rFonts w:hint="eastAsia" w:ascii="宋体" w:hAnsi="宋体" w:eastAsia="宋体" w:cs="宋体"/>
                <w:kern w:val="0"/>
                <w:sz w:val="20"/>
                <w:szCs w:val="20"/>
              </w:rPr>
              <w:t>金额单位：万元</w:t>
            </w:r>
          </w:p>
        </w:tc>
      </w:tr>
      <w:tr>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公用经费</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科目编码</w:t>
            </w:r>
          </w:p>
          <w:p>
            <w:pPr>
              <w:widowControl/>
              <w:jc w:val="center"/>
              <w:textAlignment w:val="center"/>
              <w:rPr>
                <w:rFonts w:ascii="宋体" w:hAnsi="宋体" w:eastAsia="宋体" w:cs="宋体"/>
                <w:sz w:val="22"/>
                <w:szCs w:val="22"/>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决算数</w:t>
            </w:r>
          </w:p>
        </w:tc>
      </w:tr>
      <w:tr>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sz w:val="22"/>
                <w:szCs w:val="22"/>
              </w:rPr>
            </w:pPr>
            <w:r>
              <w:rPr>
                <w:rFonts w:ascii="宋体" w:hAnsi="宋体" w:eastAsia="宋体" w:cs="宋体"/>
                <w:kern w:val="0"/>
                <w:sz w:val="22"/>
                <w:szCs w:val="22"/>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sz w:val="22"/>
                <w:szCs w:val="22"/>
              </w:rPr>
            </w:pPr>
            <w:r>
              <w:rPr>
                <w:rFonts w:hint="eastAsia" w:ascii="宋体" w:hAnsi="宋体" w:eastAsia="宋体" w:cs="宋体"/>
                <w:kern w:val="0"/>
                <w:sz w:val="22"/>
                <w:szCs w:val="22"/>
              </w:rPr>
              <w:t>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188.13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kern w:val="0"/>
                <w:sz w:val="22"/>
                <w:szCs w:val="22"/>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2.44</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kern w:val="0"/>
                <w:sz w:val="22"/>
                <w:szCs w:val="22"/>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sz w:val="22"/>
                <w:szCs w:val="22"/>
              </w:rPr>
            </w:pPr>
            <w:r>
              <w:rPr>
                <w:rFonts w:hint="eastAsia" w:ascii="宋体" w:hAnsi="宋体" w:eastAsia="宋体" w:cs="宋体"/>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sz w:val="22"/>
                <w:szCs w:val="22"/>
              </w:rPr>
            </w:pPr>
            <w:r>
              <w:rPr>
                <w:rFonts w:ascii="宋体" w:hAnsi="宋体" w:eastAsia="宋体" w:cs="宋体"/>
                <w:kern w:val="0"/>
                <w:sz w:val="22"/>
                <w:szCs w:val="22"/>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sz w:val="22"/>
                <w:szCs w:val="22"/>
              </w:rPr>
            </w:pPr>
            <w:r>
              <w:rPr>
                <w:rFonts w:hint="eastAsia" w:ascii="宋体" w:hAnsi="宋体" w:eastAsia="宋体" w:cs="宋体"/>
                <w:kern w:val="0"/>
                <w:sz w:val="22"/>
                <w:szCs w:val="22"/>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78.79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kern w:val="0"/>
                <w:sz w:val="22"/>
                <w:szCs w:val="22"/>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kern w:val="0"/>
                <w:sz w:val="22"/>
                <w:szCs w:val="22"/>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sz w:val="22"/>
                <w:szCs w:val="22"/>
              </w:rPr>
            </w:pPr>
            <w:r>
              <w:rPr>
                <w:rFonts w:hint="eastAsia" w:ascii="宋体" w:hAnsi="宋体" w:eastAsia="宋体" w:cs="宋体"/>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sz w:val="22"/>
                <w:szCs w:val="22"/>
              </w:rPr>
            </w:pPr>
            <w:r>
              <w:rPr>
                <w:rFonts w:ascii="宋体" w:hAnsi="宋体" w:eastAsia="宋体" w:cs="宋体"/>
                <w:kern w:val="0"/>
                <w:sz w:val="22"/>
                <w:szCs w:val="22"/>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sz w:val="22"/>
                <w:szCs w:val="22"/>
              </w:rPr>
            </w:pPr>
            <w:r>
              <w:rPr>
                <w:rFonts w:hint="eastAsia" w:ascii="宋体" w:hAnsi="宋体" w:eastAsia="宋体" w:cs="宋体"/>
                <w:kern w:val="0"/>
                <w:sz w:val="22"/>
                <w:szCs w:val="22"/>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4.81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kern w:val="0"/>
                <w:sz w:val="22"/>
                <w:szCs w:val="22"/>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kern w:val="0"/>
                <w:sz w:val="22"/>
                <w:szCs w:val="22"/>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sz w:val="22"/>
                <w:szCs w:val="22"/>
              </w:rPr>
            </w:pPr>
            <w:r>
              <w:rPr>
                <w:rFonts w:hint="eastAsia" w:ascii="宋体" w:hAnsi="宋体" w:eastAsia="宋体" w:cs="宋体"/>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sz w:val="22"/>
                <w:szCs w:val="22"/>
              </w:rPr>
            </w:pPr>
            <w:r>
              <w:rPr>
                <w:rFonts w:ascii="宋体" w:hAnsi="宋体" w:eastAsia="宋体" w:cs="宋体"/>
                <w:kern w:val="0"/>
                <w:sz w:val="22"/>
                <w:szCs w:val="22"/>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sz w:val="22"/>
                <w:szCs w:val="22"/>
              </w:rPr>
            </w:pPr>
            <w:r>
              <w:rPr>
                <w:rFonts w:hint="eastAsia" w:ascii="宋体" w:hAnsi="宋体" w:eastAsia="宋体" w:cs="宋体"/>
                <w:kern w:val="0"/>
                <w:sz w:val="22"/>
                <w:szCs w:val="22"/>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25.41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kern w:val="0"/>
                <w:sz w:val="22"/>
                <w:szCs w:val="22"/>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kern w:val="0"/>
                <w:sz w:val="22"/>
                <w:szCs w:val="22"/>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sz w:val="22"/>
                <w:szCs w:val="22"/>
              </w:rPr>
            </w:pPr>
            <w:r>
              <w:rPr>
                <w:rFonts w:hint="eastAsia" w:ascii="宋体" w:hAnsi="宋体" w:eastAsia="宋体" w:cs="宋体"/>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sz w:val="22"/>
                <w:szCs w:val="22"/>
              </w:rPr>
            </w:pPr>
            <w:r>
              <w:rPr>
                <w:rFonts w:ascii="宋体" w:hAnsi="宋体" w:eastAsia="宋体" w:cs="宋体"/>
                <w:kern w:val="0"/>
                <w:sz w:val="22"/>
                <w:szCs w:val="22"/>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sz w:val="22"/>
                <w:szCs w:val="22"/>
              </w:rPr>
            </w:pPr>
            <w:r>
              <w:rPr>
                <w:rFonts w:hint="eastAsia" w:ascii="宋体" w:hAnsi="宋体" w:eastAsia="宋体" w:cs="宋体"/>
                <w:kern w:val="0"/>
                <w:sz w:val="22"/>
                <w:szCs w:val="22"/>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kern w:val="0"/>
                <w:sz w:val="22"/>
                <w:szCs w:val="22"/>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kern w:val="0"/>
                <w:sz w:val="22"/>
                <w:szCs w:val="22"/>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sz w:val="22"/>
                <w:szCs w:val="22"/>
              </w:rPr>
            </w:pPr>
            <w:r>
              <w:rPr>
                <w:rFonts w:hint="eastAsia" w:ascii="宋体" w:hAnsi="宋体" w:eastAsia="宋体" w:cs="宋体"/>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sz w:val="22"/>
                <w:szCs w:val="22"/>
              </w:rPr>
            </w:pPr>
            <w:r>
              <w:rPr>
                <w:rFonts w:ascii="宋体" w:hAnsi="宋体" w:eastAsia="宋体" w:cs="宋体"/>
                <w:kern w:val="0"/>
                <w:sz w:val="22"/>
                <w:szCs w:val="22"/>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sz w:val="22"/>
                <w:szCs w:val="22"/>
              </w:rPr>
            </w:pPr>
            <w:r>
              <w:rPr>
                <w:rFonts w:hint="eastAsia" w:ascii="宋体" w:hAnsi="宋体" w:eastAsia="宋体" w:cs="宋体"/>
                <w:kern w:val="0"/>
                <w:sz w:val="22"/>
                <w:szCs w:val="22"/>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32.94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kern w:val="0"/>
                <w:sz w:val="22"/>
                <w:szCs w:val="22"/>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kern w:val="0"/>
                <w:sz w:val="22"/>
                <w:szCs w:val="22"/>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sz w:val="22"/>
                <w:szCs w:val="22"/>
              </w:rPr>
            </w:pPr>
            <w:r>
              <w:rPr>
                <w:rFonts w:hint="eastAsia" w:ascii="宋体" w:hAnsi="宋体" w:eastAsia="宋体" w:cs="宋体"/>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sz w:val="22"/>
                <w:szCs w:val="22"/>
              </w:rPr>
            </w:pPr>
            <w:r>
              <w:rPr>
                <w:rFonts w:ascii="宋体" w:hAnsi="宋体" w:eastAsia="宋体" w:cs="宋体"/>
                <w:kern w:val="0"/>
                <w:sz w:val="22"/>
                <w:szCs w:val="22"/>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sz w:val="22"/>
                <w:szCs w:val="22"/>
              </w:rPr>
            </w:pPr>
            <w:r>
              <w:rPr>
                <w:rFonts w:hint="eastAsia" w:ascii="宋体" w:hAnsi="宋体" w:eastAsia="宋体" w:cs="宋体"/>
                <w:kern w:val="0"/>
                <w:sz w:val="22"/>
                <w:szCs w:val="22"/>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20.16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kern w:val="0"/>
                <w:sz w:val="22"/>
                <w:szCs w:val="22"/>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kern w:val="0"/>
                <w:sz w:val="22"/>
                <w:szCs w:val="22"/>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sz w:val="22"/>
                <w:szCs w:val="22"/>
              </w:rPr>
            </w:pPr>
            <w:r>
              <w:rPr>
                <w:rFonts w:hint="eastAsia" w:ascii="宋体" w:hAnsi="宋体" w:eastAsia="宋体" w:cs="宋体"/>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sz w:val="22"/>
                <w:szCs w:val="22"/>
              </w:rPr>
            </w:pPr>
            <w:r>
              <w:rPr>
                <w:rFonts w:ascii="宋体" w:hAnsi="宋体" w:eastAsia="宋体" w:cs="宋体"/>
                <w:kern w:val="0"/>
                <w:sz w:val="22"/>
                <w:szCs w:val="22"/>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sz w:val="22"/>
                <w:szCs w:val="22"/>
              </w:rPr>
            </w:pPr>
            <w:r>
              <w:rPr>
                <w:rFonts w:hint="eastAsia" w:ascii="宋体" w:hAnsi="宋体" w:eastAsia="宋体" w:cs="宋体"/>
                <w:kern w:val="0"/>
                <w:sz w:val="22"/>
                <w:szCs w:val="22"/>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kern w:val="0"/>
                <w:sz w:val="22"/>
                <w:szCs w:val="22"/>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kern w:val="0"/>
                <w:sz w:val="22"/>
                <w:szCs w:val="22"/>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sz w:val="22"/>
                <w:szCs w:val="22"/>
              </w:rPr>
            </w:pPr>
            <w:r>
              <w:rPr>
                <w:rFonts w:hint="eastAsia" w:ascii="宋体" w:hAnsi="宋体" w:eastAsia="宋体" w:cs="宋体"/>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sz w:val="22"/>
                <w:szCs w:val="22"/>
              </w:rPr>
            </w:pPr>
            <w:r>
              <w:rPr>
                <w:rFonts w:ascii="宋体" w:hAnsi="宋体" w:eastAsia="宋体" w:cs="宋体"/>
                <w:kern w:val="0"/>
                <w:sz w:val="22"/>
                <w:szCs w:val="22"/>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sz w:val="22"/>
                <w:szCs w:val="22"/>
              </w:rPr>
            </w:pPr>
            <w:r>
              <w:rPr>
                <w:rFonts w:hint="eastAsia" w:ascii="宋体" w:hAnsi="宋体" w:eastAsia="宋体" w:cs="宋体"/>
                <w:kern w:val="0"/>
                <w:sz w:val="22"/>
                <w:szCs w:val="22"/>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11.13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kern w:val="0"/>
                <w:sz w:val="22"/>
                <w:szCs w:val="22"/>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kern w:val="0"/>
                <w:sz w:val="22"/>
                <w:szCs w:val="22"/>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sz w:val="22"/>
                <w:szCs w:val="22"/>
              </w:rPr>
            </w:pPr>
            <w:r>
              <w:rPr>
                <w:rFonts w:hint="eastAsia" w:ascii="宋体" w:hAnsi="宋体" w:eastAsia="宋体" w:cs="宋体"/>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sz w:val="22"/>
                <w:szCs w:val="22"/>
              </w:rPr>
            </w:pPr>
            <w:r>
              <w:rPr>
                <w:rFonts w:ascii="宋体" w:hAnsi="宋体" w:eastAsia="宋体" w:cs="宋体"/>
                <w:kern w:val="0"/>
                <w:sz w:val="22"/>
                <w:szCs w:val="22"/>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sz w:val="22"/>
                <w:szCs w:val="22"/>
              </w:rPr>
            </w:pPr>
            <w:r>
              <w:rPr>
                <w:rFonts w:hint="eastAsia" w:ascii="宋体" w:hAnsi="宋体" w:eastAsia="宋体" w:cs="宋体"/>
                <w:kern w:val="0"/>
                <w:sz w:val="22"/>
                <w:szCs w:val="22"/>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kern w:val="0"/>
                <w:sz w:val="22"/>
                <w:szCs w:val="22"/>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kern w:val="0"/>
                <w:sz w:val="22"/>
                <w:szCs w:val="22"/>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sz w:val="22"/>
                <w:szCs w:val="22"/>
              </w:rPr>
            </w:pPr>
            <w:r>
              <w:rPr>
                <w:rFonts w:hint="eastAsia" w:ascii="宋体" w:hAnsi="宋体" w:eastAsia="宋体" w:cs="宋体"/>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sz w:val="22"/>
                <w:szCs w:val="22"/>
              </w:rPr>
            </w:pPr>
            <w:r>
              <w:rPr>
                <w:rFonts w:ascii="宋体" w:hAnsi="宋体" w:eastAsia="宋体" w:cs="宋体"/>
                <w:kern w:val="0"/>
                <w:sz w:val="22"/>
                <w:szCs w:val="22"/>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sz w:val="22"/>
                <w:szCs w:val="22"/>
              </w:rPr>
            </w:pPr>
            <w:r>
              <w:rPr>
                <w:rFonts w:hint="eastAsia" w:ascii="宋体" w:hAnsi="宋体" w:eastAsia="宋体" w:cs="宋体"/>
                <w:kern w:val="0"/>
                <w:sz w:val="22"/>
                <w:szCs w:val="22"/>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1.10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kern w:val="0"/>
                <w:sz w:val="22"/>
                <w:szCs w:val="22"/>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kern w:val="0"/>
                <w:sz w:val="22"/>
                <w:szCs w:val="22"/>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sz w:val="22"/>
                <w:szCs w:val="22"/>
              </w:rPr>
            </w:pPr>
            <w:r>
              <w:rPr>
                <w:rFonts w:hint="eastAsia" w:ascii="宋体" w:hAnsi="宋体" w:eastAsia="宋体" w:cs="宋体"/>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sz w:val="22"/>
                <w:szCs w:val="22"/>
              </w:rPr>
            </w:pPr>
            <w:r>
              <w:rPr>
                <w:rFonts w:ascii="宋体" w:hAnsi="宋体" w:eastAsia="宋体" w:cs="宋体"/>
                <w:kern w:val="0"/>
                <w:sz w:val="22"/>
                <w:szCs w:val="22"/>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sz w:val="22"/>
                <w:szCs w:val="22"/>
              </w:rPr>
            </w:pPr>
            <w:r>
              <w:rPr>
                <w:rFonts w:hint="eastAsia" w:ascii="宋体" w:hAnsi="宋体" w:eastAsia="宋体" w:cs="宋体"/>
                <w:kern w:val="0"/>
                <w:sz w:val="22"/>
                <w:szCs w:val="22"/>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13.79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kern w:val="0"/>
                <w:sz w:val="22"/>
                <w:szCs w:val="22"/>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kern w:val="0"/>
                <w:sz w:val="22"/>
                <w:szCs w:val="22"/>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sz w:val="22"/>
                <w:szCs w:val="22"/>
              </w:rPr>
            </w:pPr>
            <w:r>
              <w:rPr>
                <w:rFonts w:hint="eastAsia" w:ascii="宋体" w:hAnsi="宋体" w:eastAsia="宋体" w:cs="宋体"/>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sz w:val="22"/>
                <w:szCs w:val="22"/>
              </w:rPr>
            </w:pPr>
            <w:r>
              <w:rPr>
                <w:rFonts w:ascii="宋体" w:hAnsi="宋体" w:eastAsia="宋体" w:cs="宋体"/>
                <w:kern w:val="0"/>
                <w:sz w:val="22"/>
                <w:szCs w:val="22"/>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sz w:val="22"/>
                <w:szCs w:val="22"/>
              </w:rPr>
            </w:pPr>
            <w:r>
              <w:rPr>
                <w:rFonts w:hint="eastAsia" w:ascii="宋体" w:hAnsi="宋体" w:eastAsia="宋体" w:cs="宋体"/>
                <w:kern w:val="0"/>
                <w:sz w:val="22"/>
                <w:szCs w:val="22"/>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kern w:val="0"/>
                <w:sz w:val="22"/>
                <w:szCs w:val="22"/>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kern w:val="0"/>
                <w:sz w:val="22"/>
                <w:szCs w:val="22"/>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sz w:val="22"/>
                <w:szCs w:val="22"/>
              </w:rPr>
            </w:pPr>
            <w:r>
              <w:rPr>
                <w:rFonts w:hint="eastAsia" w:ascii="宋体" w:hAnsi="宋体" w:eastAsia="宋体" w:cs="宋体"/>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sz w:val="22"/>
                <w:szCs w:val="22"/>
              </w:rPr>
            </w:pPr>
            <w:r>
              <w:rPr>
                <w:rFonts w:ascii="宋体" w:hAnsi="宋体" w:eastAsia="宋体" w:cs="宋体"/>
                <w:kern w:val="0"/>
                <w:sz w:val="22"/>
                <w:szCs w:val="22"/>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sz w:val="22"/>
                <w:szCs w:val="22"/>
              </w:rPr>
            </w:pPr>
            <w:r>
              <w:rPr>
                <w:rFonts w:hint="eastAsia" w:ascii="宋体" w:hAnsi="宋体" w:eastAsia="宋体" w:cs="宋体"/>
                <w:kern w:val="0"/>
                <w:sz w:val="22"/>
                <w:szCs w:val="22"/>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kern w:val="0"/>
                <w:sz w:val="22"/>
                <w:szCs w:val="22"/>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kern w:val="0"/>
                <w:sz w:val="22"/>
                <w:szCs w:val="22"/>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sz w:val="22"/>
                <w:szCs w:val="22"/>
              </w:rPr>
            </w:pPr>
            <w:r>
              <w:rPr>
                <w:rFonts w:hint="eastAsia" w:ascii="宋体" w:hAnsi="宋体" w:eastAsia="宋体" w:cs="宋体"/>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sz w:val="22"/>
                <w:szCs w:val="22"/>
              </w:rPr>
            </w:pPr>
            <w:r>
              <w:rPr>
                <w:rFonts w:ascii="宋体" w:hAnsi="宋体" w:eastAsia="宋体" w:cs="宋体"/>
                <w:kern w:val="0"/>
                <w:sz w:val="22"/>
                <w:szCs w:val="22"/>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sz w:val="22"/>
                <w:szCs w:val="22"/>
              </w:rPr>
            </w:pPr>
            <w:r>
              <w:rPr>
                <w:rFonts w:hint="eastAsia" w:ascii="宋体" w:hAnsi="宋体" w:eastAsia="宋体" w:cs="宋体"/>
                <w:kern w:val="0"/>
                <w:sz w:val="22"/>
                <w:szCs w:val="22"/>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kern w:val="0"/>
                <w:sz w:val="22"/>
                <w:szCs w:val="22"/>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kern w:val="0"/>
                <w:sz w:val="22"/>
                <w:szCs w:val="22"/>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sz w:val="22"/>
                <w:szCs w:val="22"/>
              </w:rPr>
            </w:pPr>
            <w:r>
              <w:rPr>
                <w:rFonts w:hint="eastAsia" w:ascii="宋体" w:hAnsi="宋体" w:eastAsia="宋体" w:cs="宋体"/>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sz w:val="22"/>
                <w:szCs w:val="22"/>
              </w:rPr>
            </w:pPr>
            <w:r>
              <w:rPr>
                <w:rFonts w:ascii="宋体" w:hAnsi="宋体" w:eastAsia="宋体" w:cs="宋体"/>
                <w:kern w:val="0"/>
                <w:sz w:val="22"/>
                <w:szCs w:val="22"/>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sz w:val="22"/>
                <w:szCs w:val="22"/>
              </w:rPr>
            </w:pPr>
            <w:r>
              <w:rPr>
                <w:rFonts w:hint="eastAsia" w:ascii="宋体" w:hAnsi="宋体" w:eastAsia="宋体" w:cs="宋体"/>
                <w:kern w:val="0"/>
                <w:sz w:val="22"/>
                <w:szCs w:val="22"/>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kern w:val="0"/>
                <w:sz w:val="22"/>
                <w:szCs w:val="22"/>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kern w:val="0"/>
                <w:sz w:val="22"/>
                <w:szCs w:val="22"/>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sz w:val="22"/>
                <w:szCs w:val="22"/>
              </w:rPr>
            </w:pPr>
            <w:r>
              <w:rPr>
                <w:rFonts w:hint="eastAsia" w:ascii="宋体" w:hAnsi="宋体" w:eastAsia="宋体" w:cs="宋体"/>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sz w:val="22"/>
                <w:szCs w:val="22"/>
              </w:rPr>
            </w:pPr>
            <w:r>
              <w:rPr>
                <w:rFonts w:ascii="宋体" w:hAnsi="宋体" w:eastAsia="宋体" w:cs="宋体"/>
                <w:kern w:val="0"/>
                <w:sz w:val="22"/>
                <w:szCs w:val="22"/>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sz w:val="22"/>
                <w:szCs w:val="22"/>
              </w:rPr>
            </w:pPr>
            <w:r>
              <w:rPr>
                <w:rFonts w:hint="eastAsia" w:ascii="宋体" w:hAnsi="宋体" w:eastAsia="宋体" w:cs="宋体"/>
                <w:kern w:val="0"/>
                <w:sz w:val="22"/>
                <w:szCs w:val="22"/>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kern w:val="0"/>
                <w:sz w:val="22"/>
                <w:szCs w:val="22"/>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kern w:val="0"/>
                <w:sz w:val="22"/>
                <w:szCs w:val="22"/>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sz w:val="22"/>
                <w:szCs w:val="22"/>
              </w:rPr>
            </w:pPr>
            <w:r>
              <w:rPr>
                <w:rFonts w:hint="eastAsia" w:ascii="宋体" w:hAnsi="宋体" w:eastAsia="宋体" w:cs="宋体"/>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sz w:val="22"/>
                <w:szCs w:val="22"/>
              </w:rPr>
            </w:pPr>
            <w:r>
              <w:rPr>
                <w:rFonts w:ascii="宋体" w:hAnsi="宋体" w:eastAsia="宋体" w:cs="宋体"/>
                <w:kern w:val="0"/>
                <w:sz w:val="22"/>
                <w:szCs w:val="22"/>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sz w:val="22"/>
                <w:szCs w:val="22"/>
              </w:rPr>
            </w:pPr>
            <w:r>
              <w:rPr>
                <w:rFonts w:hint="eastAsia" w:ascii="宋体" w:hAnsi="宋体" w:eastAsia="宋体" w:cs="宋体"/>
                <w:kern w:val="0"/>
                <w:sz w:val="22"/>
                <w:szCs w:val="22"/>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kern w:val="0"/>
                <w:sz w:val="22"/>
                <w:szCs w:val="22"/>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kern w:val="0"/>
                <w:sz w:val="22"/>
                <w:szCs w:val="22"/>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sz w:val="22"/>
                <w:szCs w:val="22"/>
              </w:rPr>
            </w:pPr>
            <w:r>
              <w:rPr>
                <w:rFonts w:hint="eastAsia" w:ascii="宋体" w:hAnsi="宋体" w:eastAsia="宋体" w:cs="宋体"/>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sz w:val="22"/>
                <w:szCs w:val="22"/>
              </w:rPr>
            </w:pPr>
            <w:r>
              <w:rPr>
                <w:rFonts w:ascii="宋体" w:hAnsi="宋体" w:eastAsia="宋体" w:cs="宋体"/>
                <w:kern w:val="0"/>
                <w:sz w:val="22"/>
                <w:szCs w:val="22"/>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sz w:val="22"/>
                <w:szCs w:val="22"/>
              </w:rPr>
            </w:pPr>
            <w:r>
              <w:rPr>
                <w:rFonts w:hint="eastAsia" w:ascii="宋体" w:hAnsi="宋体" w:eastAsia="宋体" w:cs="宋体"/>
                <w:kern w:val="0"/>
                <w:sz w:val="22"/>
                <w:szCs w:val="22"/>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kern w:val="0"/>
                <w:sz w:val="22"/>
                <w:szCs w:val="22"/>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kern w:val="0"/>
                <w:sz w:val="22"/>
                <w:szCs w:val="22"/>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sz w:val="22"/>
                <w:szCs w:val="22"/>
              </w:rPr>
            </w:pPr>
            <w:r>
              <w:rPr>
                <w:rFonts w:hint="eastAsia" w:ascii="宋体" w:hAnsi="宋体" w:eastAsia="宋体" w:cs="宋体"/>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sz w:val="22"/>
                <w:szCs w:val="22"/>
              </w:rPr>
            </w:pPr>
            <w:r>
              <w:rPr>
                <w:rFonts w:ascii="宋体" w:hAnsi="宋体" w:eastAsia="宋体" w:cs="宋体"/>
                <w:kern w:val="0"/>
                <w:sz w:val="22"/>
                <w:szCs w:val="22"/>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sz w:val="22"/>
                <w:szCs w:val="22"/>
              </w:rPr>
            </w:pPr>
            <w:r>
              <w:rPr>
                <w:rFonts w:hint="eastAsia" w:ascii="宋体" w:hAnsi="宋体" w:eastAsia="宋体" w:cs="宋体"/>
                <w:kern w:val="0"/>
                <w:sz w:val="22"/>
                <w:szCs w:val="22"/>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kern w:val="0"/>
                <w:sz w:val="22"/>
                <w:szCs w:val="22"/>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kern w:val="0"/>
                <w:sz w:val="22"/>
                <w:szCs w:val="22"/>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sz w:val="22"/>
                <w:szCs w:val="22"/>
              </w:rPr>
            </w:pPr>
            <w:r>
              <w:rPr>
                <w:rFonts w:hint="eastAsia" w:ascii="宋体" w:hAnsi="宋体" w:eastAsia="宋体" w:cs="宋体"/>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sz w:val="22"/>
                <w:szCs w:val="22"/>
              </w:rPr>
            </w:pPr>
            <w:r>
              <w:rPr>
                <w:rFonts w:ascii="宋体" w:hAnsi="宋体" w:eastAsia="宋体" w:cs="宋体"/>
                <w:kern w:val="0"/>
                <w:sz w:val="22"/>
                <w:szCs w:val="22"/>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sz w:val="22"/>
                <w:szCs w:val="22"/>
              </w:rPr>
            </w:pPr>
            <w:r>
              <w:rPr>
                <w:rFonts w:hint="eastAsia" w:ascii="宋体" w:hAnsi="宋体" w:eastAsia="宋体" w:cs="宋体"/>
                <w:kern w:val="0"/>
                <w:sz w:val="22"/>
                <w:szCs w:val="22"/>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kern w:val="0"/>
                <w:sz w:val="22"/>
                <w:szCs w:val="22"/>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kern w:val="0"/>
                <w:sz w:val="22"/>
                <w:szCs w:val="22"/>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sz w:val="22"/>
                <w:szCs w:val="22"/>
              </w:rPr>
            </w:pPr>
            <w:r>
              <w:rPr>
                <w:rFonts w:hint="eastAsia" w:ascii="宋体" w:hAnsi="宋体" w:eastAsia="宋体" w:cs="宋体"/>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sz w:val="22"/>
                <w:szCs w:val="22"/>
              </w:rPr>
            </w:pPr>
            <w:r>
              <w:rPr>
                <w:rFonts w:ascii="宋体" w:hAnsi="宋体" w:eastAsia="宋体" w:cs="宋体"/>
                <w:kern w:val="0"/>
                <w:sz w:val="22"/>
                <w:szCs w:val="22"/>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sz w:val="22"/>
                <w:szCs w:val="22"/>
              </w:rPr>
            </w:pPr>
            <w:r>
              <w:rPr>
                <w:rFonts w:hint="eastAsia" w:ascii="宋体" w:hAnsi="宋体" w:eastAsia="宋体" w:cs="宋体"/>
                <w:kern w:val="0"/>
                <w:sz w:val="22"/>
                <w:szCs w:val="22"/>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kern w:val="0"/>
                <w:sz w:val="22"/>
                <w:szCs w:val="22"/>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kern w:val="0"/>
                <w:sz w:val="22"/>
                <w:szCs w:val="22"/>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sz w:val="22"/>
                <w:szCs w:val="22"/>
              </w:rPr>
            </w:pPr>
            <w:r>
              <w:rPr>
                <w:rFonts w:hint="eastAsia" w:ascii="宋体" w:hAnsi="宋体" w:eastAsia="宋体" w:cs="宋体"/>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sz w:val="22"/>
                <w:szCs w:val="22"/>
              </w:rPr>
            </w:pPr>
            <w:r>
              <w:rPr>
                <w:rFonts w:ascii="宋体" w:hAnsi="宋体" w:eastAsia="宋体" w:cs="宋体"/>
                <w:kern w:val="0"/>
                <w:sz w:val="22"/>
                <w:szCs w:val="22"/>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sz w:val="22"/>
                <w:szCs w:val="22"/>
              </w:rPr>
            </w:pPr>
            <w:r>
              <w:rPr>
                <w:rFonts w:hint="eastAsia" w:ascii="宋体" w:hAnsi="宋体" w:eastAsia="宋体" w:cs="宋体"/>
                <w:kern w:val="0"/>
                <w:sz w:val="22"/>
                <w:szCs w:val="22"/>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kern w:val="0"/>
                <w:sz w:val="22"/>
                <w:szCs w:val="22"/>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2.44</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kern w:val="0"/>
                <w:sz w:val="22"/>
                <w:szCs w:val="22"/>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sz w:val="22"/>
                <w:szCs w:val="22"/>
              </w:rPr>
            </w:pPr>
            <w:r>
              <w:rPr>
                <w:rFonts w:hint="eastAsia" w:ascii="宋体" w:hAnsi="宋体" w:eastAsia="宋体" w:cs="宋体"/>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sz w:val="22"/>
                <w:szCs w:val="22"/>
              </w:rPr>
            </w:pPr>
            <w:r>
              <w:rPr>
                <w:rFonts w:ascii="宋体" w:hAnsi="宋体" w:eastAsia="宋体" w:cs="宋体"/>
                <w:kern w:val="0"/>
                <w:sz w:val="22"/>
                <w:szCs w:val="22"/>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sz w:val="22"/>
                <w:szCs w:val="22"/>
              </w:rPr>
            </w:pPr>
            <w:r>
              <w:rPr>
                <w:rFonts w:hint="eastAsia" w:ascii="宋体" w:hAnsi="宋体" w:eastAsia="宋体" w:cs="宋体"/>
                <w:kern w:val="0"/>
                <w:sz w:val="22"/>
                <w:szCs w:val="22"/>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kern w:val="0"/>
                <w:sz w:val="22"/>
                <w:szCs w:val="22"/>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kern w:val="0"/>
                <w:sz w:val="22"/>
                <w:szCs w:val="22"/>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sz w:val="22"/>
                <w:szCs w:val="22"/>
              </w:rPr>
            </w:pPr>
            <w:r>
              <w:rPr>
                <w:rFonts w:hint="eastAsia" w:ascii="宋体" w:hAnsi="宋体" w:eastAsia="宋体" w:cs="宋体"/>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sz w:val="22"/>
                <w:szCs w:val="22"/>
              </w:rPr>
            </w:pPr>
            <w:r>
              <w:rPr>
                <w:rFonts w:ascii="宋体" w:hAnsi="宋体" w:eastAsia="宋体" w:cs="宋体"/>
                <w:kern w:val="0"/>
                <w:sz w:val="22"/>
                <w:szCs w:val="22"/>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sz w:val="22"/>
                <w:szCs w:val="22"/>
              </w:rPr>
            </w:pPr>
            <w:r>
              <w:rPr>
                <w:rFonts w:hint="eastAsia" w:ascii="宋体" w:hAnsi="宋体" w:eastAsia="宋体" w:cs="宋体"/>
                <w:kern w:val="0"/>
                <w:sz w:val="22"/>
                <w:szCs w:val="22"/>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kern w:val="0"/>
                <w:sz w:val="22"/>
                <w:szCs w:val="22"/>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kern w:val="0"/>
                <w:sz w:val="22"/>
                <w:szCs w:val="22"/>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sz w:val="22"/>
                <w:szCs w:val="22"/>
              </w:rPr>
            </w:pPr>
            <w:r>
              <w:rPr>
                <w:rFonts w:hint="eastAsia" w:ascii="宋体" w:hAnsi="宋体" w:eastAsia="宋体" w:cs="宋体"/>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sz w:val="22"/>
                <w:szCs w:val="22"/>
              </w:rPr>
            </w:pPr>
            <w:r>
              <w:rPr>
                <w:rFonts w:ascii="宋体" w:hAnsi="宋体" w:eastAsia="宋体" w:cs="宋体"/>
                <w:kern w:val="0"/>
                <w:sz w:val="22"/>
                <w:szCs w:val="22"/>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sz w:val="22"/>
                <w:szCs w:val="22"/>
              </w:rPr>
            </w:pPr>
            <w:r>
              <w:rPr>
                <w:rFonts w:hint="eastAsia" w:ascii="宋体" w:hAnsi="宋体" w:eastAsia="宋体" w:cs="宋体"/>
                <w:kern w:val="0"/>
                <w:sz w:val="22"/>
                <w:szCs w:val="22"/>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kern w:val="0"/>
                <w:sz w:val="22"/>
                <w:szCs w:val="22"/>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kern w:val="0"/>
                <w:sz w:val="22"/>
                <w:szCs w:val="22"/>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sz w:val="22"/>
                <w:szCs w:val="22"/>
              </w:rPr>
            </w:pPr>
            <w:r>
              <w:rPr>
                <w:rFonts w:hint="eastAsia" w:ascii="宋体" w:hAnsi="宋体" w:eastAsia="宋体" w:cs="宋体"/>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sz w:val="22"/>
                <w:szCs w:val="22"/>
              </w:rPr>
            </w:pPr>
            <w:r>
              <w:rPr>
                <w:rFonts w:ascii="宋体" w:hAnsi="宋体" w:eastAsia="宋体" w:cs="宋体"/>
                <w:kern w:val="0"/>
                <w:sz w:val="22"/>
                <w:szCs w:val="22"/>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sz w:val="22"/>
                <w:szCs w:val="22"/>
              </w:rPr>
            </w:pPr>
            <w:r>
              <w:rPr>
                <w:rFonts w:hint="eastAsia" w:ascii="宋体" w:hAnsi="宋体" w:eastAsia="宋体" w:cs="宋体"/>
                <w:kern w:val="0"/>
                <w:sz w:val="22"/>
                <w:szCs w:val="22"/>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kern w:val="0"/>
                <w:sz w:val="22"/>
                <w:szCs w:val="22"/>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sz w:val="22"/>
                <w:szCs w:val="22"/>
              </w:rPr>
            </w:pPr>
            <w:r>
              <w:rPr>
                <w:rFonts w:hint="eastAsia" w:ascii="宋体" w:hAnsi="宋体" w:eastAsia="宋体" w:cs="宋体"/>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sz w:val="22"/>
                <w:szCs w:val="22"/>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sz w:val="22"/>
                <w:szCs w:val="22"/>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kern w:val="0"/>
                <w:sz w:val="22"/>
                <w:szCs w:val="22"/>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sz w:val="22"/>
                <w:szCs w:val="22"/>
              </w:rPr>
            </w:pPr>
            <w:r>
              <w:rPr>
                <w:rFonts w:hint="eastAsia" w:ascii="宋体" w:hAnsi="宋体" w:eastAsia="宋体" w:cs="宋体"/>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sz w:val="22"/>
                <w:szCs w:val="22"/>
              </w:rPr>
            </w:pPr>
            <w:r>
              <w:rPr>
                <w:rFonts w:ascii="宋体" w:hAnsi="宋体" w:eastAsia="宋体" w:cs="宋体"/>
                <w:kern w:val="0"/>
                <w:sz w:val="22"/>
                <w:szCs w:val="22"/>
              </w:rPr>
              <w:t>人员经费合计</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sz w:val="22"/>
                <w:szCs w:val="22"/>
              </w:rPr>
            </w:pPr>
            <w:bookmarkStart w:id="0" w:name="OLE_LINK4"/>
            <w:bookmarkEnd w:id="0"/>
            <w:bookmarkStart w:id="1" w:name="OLE_LINK3"/>
            <w:bookmarkEnd w:id="1"/>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188.13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r>
              <w:rPr>
                <w:rFonts w:ascii="宋体" w:hAnsi="宋体" w:eastAsia="宋体" w:cs="宋体"/>
                <w:kern w:val="0"/>
                <w:sz w:val="22"/>
                <w:szCs w:val="22"/>
              </w:rPr>
              <w:t>公用经费合计</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sz w:val="22"/>
                <w:szCs w:val="22"/>
              </w:rPr>
            </w:pPr>
            <w:r>
              <w:rPr>
                <w:rFonts w:ascii="宋体" w:hAnsi="宋体" w:eastAsia="宋体" w:cs="宋体"/>
                <w:kern w:val="0"/>
                <w:sz w:val="22"/>
                <w:szCs w:val="22"/>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sz w:val="22"/>
                <w:szCs w:val="22"/>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sz w:val="22"/>
                <w:szCs w:val="22"/>
              </w:rPr>
            </w:pPr>
            <w:r>
              <w:rPr>
                <w:rFonts w:hint="eastAsia" w:ascii="宋体" w:hAnsi="宋体" w:eastAsia="宋体" w:cs="宋体"/>
                <w:sz w:val="22"/>
                <w:szCs w:val="22"/>
              </w:rPr>
              <w:t>2.44</w:t>
            </w: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rPr>
              <w:t>注：本表反映部门本年度一般公共预算财政拨款基本支出明细情况。</w:t>
            </w:r>
          </w:p>
        </w:tc>
      </w:tr>
    </w:tbl>
    <w:p>
      <w:pPr>
        <w:jc w:val="left"/>
        <w:rPr>
          <w:rFonts w:ascii="仿宋" w:hAnsi="仿宋" w:eastAsia="仿宋" w:cs="仿宋"/>
          <w:sz w:val="24"/>
        </w:rPr>
      </w:pPr>
    </w:p>
    <w:p>
      <w:pPr>
        <w:rPr>
          <w:rFonts w:ascii="仿宋" w:hAnsi="仿宋" w:eastAsia="仿宋" w:cs="仿宋"/>
          <w:sz w:val="24"/>
        </w:rPr>
      </w:pPr>
      <w:r>
        <w:rPr>
          <w:rFonts w:ascii="仿宋" w:hAnsi="仿宋" w:eastAsia="仿宋" w:cs="仿宋"/>
          <w:sz w:val="24"/>
        </w:rPr>
        <w:br w:type="page"/>
      </w:r>
    </w:p>
    <w:p>
      <w:pPr>
        <w:jc w:val="left"/>
        <w:rPr>
          <w:rFonts w:ascii="仿宋" w:hAnsi="仿宋" w:eastAsia="仿宋" w:cs="仿宋"/>
          <w:sz w:val="24"/>
        </w:rPr>
      </w:pPr>
      <w:r>
        <w:rPr>
          <w:rFonts w:hint="eastAsia" w:ascii="仿宋" w:hAnsi="仿宋" w:eastAsia="仿宋" w:cs="仿宋"/>
          <w:sz w:val="24"/>
        </w:rPr>
        <w:t>表七：政府性基金预算财政拨款收入支出决算表</w:t>
      </w:r>
    </w:p>
    <w:tbl>
      <w:tblPr>
        <w:tblStyle w:val="7"/>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30"/>
        <w:gridCol w:w="1948"/>
      </w:tblGrid>
      <w:tr>
        <w:tblPrEx>
          <w:tblCellMar>
            <w:top w:w="0" w:type="dxa"/>
            <w:left w:w="108" w:type="dxa"/>
            <w:bottom w:w="0" w:type="dxa"/>
            <w:right w:w="108" w:type="dxa"/>
          </w:tblCellMar>
        </w:tblPrEx>
        <w:trPr>
          <w:trHeight w:val="536" w:hRule="atLeast"/>
        </w:trPr>
        <w:tc>
          <w:tcPr>
            <w:tcW w:w="13982" w:type="dxa"/>
            <w:gridSpan w:val="10"/>
            <w:tcBorders>
              <w:top w:val="nil"/>
              <w:left w:val="nil"/>
              <w:bottom w:val="nil"/>
              <w:right w:val="nil"/>
            </w:tcBorders>
            <w:shd w:val="clear" w:color="auto" w:fill="auto"/>
            <w:noWrap/>
            <w:vAlign w:val="bottom"/>
          </w:tcPr>
          <w:p>
            <w:pPr>
              <w:widowControl/>
              <w:jc w:val="center"/>
              <w:textAlignment w:val="bottom"/>
              <w:rPr>
                <w:rFonts w:ascii="宋体" w:hAnsi="宋体" w:eastAsia="宋体" w:cs="宋体"/>
                <w:sz w:val="30"/>
                <w:szCs w:val="30"/>
              </w:rPr>
            </w:pPr>
            <w:r>
              <w:rPr>
                <w:rFonts w:hint="eastAsia" w:ascii="宋体" w:hAnsi="宋体" w:eastAsia="宋体" w:cs="宋体"/>
                <w:kern w:val="0"/>
                <w:sz w:val="32"/>
                <w:szCs w:val="32"/>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rPr>
                <w:rFonts w:ascii="Arial" w:hAnsi="Arial" w:cs="Arial"/>
                <w:sz w:val="20"/>
                <w:szCs w:val="20"/>
              </w:rPr>
            </w:pPr>
          </w:p>
        </w:tc>
        <w:tc>
          <w:tcPr>
            <w:tcW w:w="240" w:type="dxa"/>
            <w:tcBorders>
              <w:top w:val="nil"/>
              <w:left w:val="nil"/>
              <w:bottom w:val="nil"/>
              <w:right w:val="nil"/>
            </w:tcBorders>
            <w:shd w:val="clear" w:color="auto" w:fill="auto"/>
            <w:noWrap/>
            <w:vAlign w:val="bottom"/>
          </w:tcPr>
          <w:p>
            <w:pPr>
              <w:rPr>
                <w:rFonts w:ascii="Arial" w:hAnsi="Arial" w:cs="Arial"/>
                <w:sz w:val="20"/>
                <w:szCs w:val="20"/>
              </w:rPr>
            </w:pPr>
          </w:p>
        </w:tc>
        <w:tc>
          <w:tcPr>
            <w:tcW w:w="236" w:type="dxa"/>
            <w:tcBorders>
              <w:top w:val="nil"/>
              <w:left w:val="nil"/>
              <w:bottom w:val="nil"/>
              <w:right w:val="nil"/>
            </w:tcBorders>
            <w:shd w:val="clear" w:color="auto" w:fill="auto"/>
            <w:noWrap/>
            <w:vAlign w:val="bottom"/>
          </w:tcPr>
          <w:p>
            <w:pPr>
              <w:rPr>
                <w:rFonts w:ascii="Arial" w:hAnsi="Arial" w:cs="Arial"/>
                <w:sz w:val="20"/>
                <w:szCs w:val="20"/>
              </w:rPr>
            </w:pPr>
          </w:p>
        </w:tc>
        <w:tc>
          <w:tcPr>
            <w:tcW w:w="1625" w:type="dxa"/>
            <w:tcBorders>
              <w:top w:val="nil"/>
              <w:left w:val="nil"/>
              <w:bottom w:val="nil"/>
              <w:right w:val="nil"/>
            </w:tcBorders>
            <w:shd w:val="clear" w:color="auto" w:fill="auto"/>
            <w:noWrap/>
            <w:vAlign w:val="bottom"/>
          </w:tcPr>
          <w:p>
            <w:pPr>
              <w:rPr>
                <w:rFonts w:ascii="Arial" w:hAnsi="Arial" w:cs="Arial"/>
                <w:sz w:val="20"/>
                <w:szCs w:val="20"/>
              </w:rPr>
            </w:pPr>
          </w:p>
        </w:tc>
        <w:tc>
          <w:tcPr>
            <w:tcW w:w="1973" w:type="dxa"/>
            <w:tcBorders>
              <w:top w:val="nil"/>
              <w:left w:val="nil"/>
              <w:bottom w:val="nil"/>
              <w:right w:val="nil"/>
            </w:tcBorders>
            <w:shd w:val="clear" w:color="auto" w:fill="auto"/>
            <w:noWrap/>
            <w:vAlign w:val="bottom"/>
          </w:tcPr>
          <w:p>
            <w:pPr>
              <w:rPr>
                <w:rFonts w:ascii="Arial" w:hAnsi="Arial" w:cs="Arial"/>
                <w:sz w:val="20"/>
                <w:szCs w:val="20"/>
              </w:rPr>
            </w:pPr>
          </w:p>
        </w:tc>
        <w:tc>
          <w:tcPr>
            <w:tcW w:w="1653" w:type="dxa"/>
            <w:tcBorders>
              <w:top w:val="nil"/>
              <w:left w:val="nil"/>
              <w:bottom w:val="nil"/>
              <w:right w:val="nil"/>
            </w:tcBorders>
            <w:shd w:val="clear" w:color="auto" w:fill="auto"/>
            <w:noWrap/>
            <w:vAlign w:val="bottom"/>
          </w:tcPr>
          <w:p>
            <w:pPr>
              <w:rPr>
                <w:rFonts w:ascii="Arial" w:hAnsi="Arial" w:cs="Arial"/>
                <w:sz w:val="20"/>
                <w:szCs w:val="20"/>
              </w:rPr>
            </w:pPr>
          </w:p>
        </w:tc>
        <w:tc>
          <w:tcPr>
            <w:tcW w:w="1600" w:type="dxa"/>
            <w:tcBorders>
              <w:top w:val="nil"/>
              <w:left w:val="nil"/>
              <w:bottom w:val="nil"/>
              <w:right w:val="nil"/>
            </w:tcBorders>
            <w:shd w:val="clear" w:color="auto" w:fill="auto"/>
            <w:noWrap/>
            <w:vAlign w:val="bottom"/>
          </w:tcPr>
          <w:p>
            <w:pPr>
              <w:rPr>
                <w:rFonts w:ascii="Arial" w:hAnsi="Arial" w:cs="Arial"/>
                <w:sz w:val="20"/>
                <w:szCs w:val="20"/>
              </w:rPr>
            </w:pPr>
          </w:p>
        </w:tc>
        <w:tc>
          <w:tcPr>
            <w:tcW w:w="1680" w:type="dxa"/>
            <w:tcBorders>
              <w:top w:val="nil"/>
              <w:left w:val="nil"/>
              <w:bottom w:val="nil"/>
              <w:right w:val="nil"/>
            </w:tcBorders>
            <w:shd w:val="clear" w:color="auto" w:fill="auto"/>
            <w:noWrap/>
            <w:vAlign w:val="bottom"/>
          </w:tcPr>
          <w:p>
            <w:pPr>
              <w:rPr>
                <w:rFonts w:ascii="Arial" w:hAnsi="Arial" w:cs="Arial"/>
                <w:sz w:val="20"/>
                <w:szCs w:val="20"/>
              </w:rPr>
            </w:pPr>
          </w:p>
        </w:tc>
        <w:tc>
          <w:tcPr>
            <w:tcW w:w="1730" w:type="dxa"/>
            <w:tcBorders>
              <w:top w:val="nil"/>
              <w:left w:val="nil"/>
              <w:bottom w:val="nil"/>
              <w:right w:val="nil"/>
            </w:tcBorders>
            <w:shd w:val="clear" w:color="auto" w:fill="auto"/>
            <w:noWrap/>
            <w:vAlign w:val="bottom"/>
          </w:tcPr>
          <w:p>
            <w:pPr>
              <w:rPr>
                <w:rFonts w:ascii="Arial" w:hAnsi="Arial" w:cs="Arial"/>
                <w:sz w:val="20"/>
                <w:szCs w:val="20"/>
              </w:rPr>
            </w:pPr>
          </w:p>
        </w:tc>
        <w:tc>
          <w:tcPr>
            <w:tcW w:w="1948" w:type="dxa"/>
            <w:tcBorders>
              <w:top w:val="nil"/>
              <w:left w:val="nil"/>
              <w:bottom w:val="nil"/>
              <w:right w:val="nil"/>
            </w:tcBorders>
            <w:shd w:val="clear" w:color="auto" w:fill="auto"/>
            <w:noWrap/>
            <w:vAlign w:val="bottom"/>
          </w:tcPr>
          <w:p>
            <w:pPr>
              <w:widowControl/>
              <w:jc w:val="right"/>
              <w:textAlignment w:val="bottom"/>
              <w:rPr>
                <w:rFonts w:ascii="宋体" w:hAnsi="宋体" w:eastAsia="宋体" w:cs="宋体"/>
                <w:sz w:val="20"/>
                <w:szCs w:val="20"/>
              </w:rPr>
            </w:pPr>
            <w:r>
              <w:rPr>
                <w:rFonts w:hint="eastAsia" w:ascii="宋体" w:hAnsi="宋体" w:eastAsia="宋体" w:cs="宋体"/>
                <w:kern w:val="0"/>
                <w:sz w:val="20"/>
                <w:szCs w:val="20"/>
              </w:rPr>
              <w:t>公开07表</w:t>
            </w:r>
          </w:p>
        </w:tc>
      </w:tr>
      <w:tr>
        <w:tblPrEx>
          <w:tblCellMar>
            <w:top w:w="0" w:type="dxa"/>
            <w:left w:w="108" w:type="dxa"/>
            <w:bottom w:w="0" w:type="dxa"/>
            <w:right w:w="108" w:type="dxa"/>
          </w:tblCellMar>
        </w:tblPrEx>
        <w:trPr>
          <w:trHeight w:val="268" w:hRule="atLeast"/>
        </w:trPr>
        <w:tc>
          <w:tcPr>
            <w:tcW w:w="8624" w:type="dxa"/>
            <w:gridSpan w:val="7"/>
            <w:tcBorders>
              <w:top w:val="nil"/>
              <w:left w:val="nil"/>
              <w:bottom w:val="single" w:color="auto" w:sz="4" w:space="0"/>
              <w:right w:val="nil"/>
            </w:tcBorders>
            <w:shd w:val="clear" w:color="auto" w:fill="auto"/>
            <w:noWrap/>
            <w:vAlign w:val="bottom"/>
          </w:tcPr>
          <w:p>
            <w:pPr>
              <w:rPr>
                <w:rFonts w:ascii="Arial" w:hAnsi="Arial" w:cs="Arial"/>
                <w:sz w:val="20"/>
                <w:szCs w:val="20"/>
              </w:rPr>
            </w:pPr>
            <w:r>
              <w:rPr>
                <w:rFonts w:hint="eastAsia" w:ascii="宋体" w:hAnsi="宋体" w:eastAsia="宋体" w:cs="宋体"/>
                <w:kern w:val="0"/>
                <w:sz w:val="20"/>
                <w:szCs w:val="20"/>
              </w:rPr>
              <w:t>部门：</w:t>
            </w:r>
            <w:r>
              <w:rPr>
                <w:rFonts w:ascii="宋体" w:hAnsi="宋体" w:eastAsia="宋体" w:cs="宋体"/>
                <w:sz w:val="20"/>
              </w:rPr>
              <w:t>环江毛南族自治县第二幼儿园</w:t>
            </w:r>
          </w:p>
        </w:tc>
        <w:tc>
          <w:tcPr>
            <w:tcW w:w="1680" w:type="dxa"/>
            <w:tcBorders>
              <w:top w:val="nil"/>
              <w:left w:val="nil"/>
              <w:bottom w:val="single" w:color="auto" w:sz="4" w:space="0"/>
              <w:right w:val="nil"/>
            </w:tcBorders>
            <w:shd w:val="clear" w:color="auto" w:fill="auto"/>
            <w:noWrap/>
            <w:vAlign w:val="bottom"/>
          </w:tcPr>
          <w:p>
            <w:pPr>
              <w:rPr>
                <w:rFonts w:ascii="Arial" w:hAnsi="Arial" w:cs="Arial"/>
                <w:sz w:val="20"/>
                <w:szCs w:val="20"/>
              </w:rPr>
            </w:pPr>
          </w:p>
        </w:tc>
        <w:tc>
          <w:tcPr>
            <w:tcW w:w="1730" w:type="dxa"/>
            <w:tcBorders>
              <w:top w:val="nil"/>
              <w:left w:val="nil"/>
              <w:bottom w:val="single" w:color="auto" w:sz="4" w:space="0"/>
              <w:right w:val="nil"/>
            </w:tcBorders>
            <w:shd w:val="clear" w:color="auto" w:fill="auto"/>
            <w:noWrap/>
            <w:vAlign w:val="bottom"/>
          </w:tcPr>
          <w:p>
            <w:pPr>
              <w:rPr>
                <w:rFonts w:ascii="Arial" w:hAnsi="Arial" w:cs="Arial"/>
                <w:sz w:val="20"/>
                <w:szCs w:val="20"/>
              </w:rPr>
            </w:pPr>
          </w:p>
        </w:tc>
        <w:tc>
          <w:tcPr>
            <w:tcW w:w="1948" w:type="dxa"/>
            <w:tcBorders>
              <w:top w:val="nil"/>
              <w:left w:val="nil"/>
              <w:bottom w:val="single" w:color="auto" w:sz="4" w:space="0"/>
              <w:right w:val="nil"/>
            </w:tcBorders>
            <w:shd w:val="clear" w:color="auto" w:fill="auto"/>
            <w:noWrap/>
            <w:vAlign w:val="bottom"/>
          </w:tcPr>
          <w:p>
            <w:pPr>
              <w:widowControl/>
              <w:jc w:val="right"/>
              <w:textAlignment w:val="bottom"/>
              <w:rPr>
                <w:rFonts w:ascii="宋体" w:hAnsi="宋体" w:eastAsia="宋体" w:cs="宋体"/>
                <w:sz w:val="20"/>
                <w:szCs w:val="20"/>
              </w:rPr>
            </w:pPr>
            <w:r>
              <w:rPr>
                <w:rFonts w:hint="eastAsia" w:ascii="宋体" w:hAnsi="宋体" w:eastAsia="宋体" w:cs="宋体"/>
                <w:kern w:val="0"/>
                <w:sz w:val="20"/>
                <w:szCs w:val="20"/>
              </w:rPr>
              <w:t>金额单位：万元</w:t>
            </w:r>
          </w:p>
        </w:tc>
      </w:tr>
      <w:tr>
        <w:tblPrEx>
          <w:tblCellMar>
            <w:top w:w="0" w:type="dxa"/>
            <w:left w:w="108" w:type="dxa"/>
            <w:bottom w:w="0" w:type="dxa"/>
            <w:right w:w="108" w:type="dxa"/>
          </w:tblCellMar>
        </w:tblPrEx>
        <w:trPr>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本年收入</w:t>
            </w:r>
          </w:p>
        </w:tc>
        <w:tc>
          <w:tcPr>
            <w:tcW w:w="50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本年支出</w:t>
            </w:r>
          </w:p>
        </w:tc>
        <w:tc>
          <w:tcPr>
            <w:tcW w:w="194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年末结转和结余</w:t>
            </w:r>
          </w:p>
        </w:tc>
      </w:tr>
      <w:tr>
        <w:tblPrEx>
          <w:tblCellMar>
            <w:top w:w="0" w:type="dxa"/>
            <w:left w:w="108" w:type="dxa"/>
            <w:bottom w:w="0" w:type="dxa"/>
            <w:right w:w="108" w:type="dxa"/>
          </w:tblCellMar>
        </w:tblPrEx>
        <w:trPr>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基本支出</w:t>
            </w:r>
          </w:p>
        </w:tc>
        <w:tc>
          <w:tcPr>
            <w:tcW w:w="17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项目支出</w:t>
            </w:r>
          </w:p>
        </w:tc>
        <w:tc>
          <w:tcPr>
            <w:tcW w:w="19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r>
      <w:tr>
        <w:tblPrEx>
          <w:tblCellMar>
            <w:top w:w="0" w:type="dxa"/>
            <w:left w:w="108" w:type="dxa"/>
            <w:bottom w:w="0" w:type="dxa"/>
            <w:right w:w="108" w:type="dxa"/>
          </w:tblCellMar>
        </w:tblPrEx>
        <w:trPr>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17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19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r>
      <w:tr>
        <w:tblPrEx>
          <w:tblCellMar>
            <w:top w:w="0" w:type="dxa"/>
            <w:left w:w="108" w:type="dxa"/>
            <w:bottom w:w="0" w:type="dxa"/>
            <w:right w:w="108" w:type="dxa"/>
          </w:tblCellMar>
        </w:tblPrEx>
        <w:trPr>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szCs w:val="22"/>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17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19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r>
      <w:tr>
        <w:tblPrEx>
          <w:tblCellMar>
            <w:top w:w="0" w:type="dxa"/>
            <w:left w:w="108" w:type="dxa"/>
            <w:bottom w:w="0" w:type="dxa"/>
            <w:right w:w="108" w:type="dxa"/>
          </w:tblCellMar>
        </w:tblPrEx>
        <w:trPr>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4</w:t>
            </w:r>
          </w:p>
        </w:tc>
        <w:tc>
          <w:tcPr>
            <w:tcW w:w="173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5</w:t>
            </w:r>
          </w:p>
        </w:tc>
        <w:tc>
          <w:tcPr>
            <w:tcW w:w="19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6</w:t>
            </w:r>
          </w:p>
        </w:tc>
      </w:tr>
      <w:tr>
        <w:tblPrEx>
          <w:tblCellMar>
            <w:top w:w="0" w:type="dxa"/>
            <w:left w:w="108" w:type="dxa"/>
            <w:bottom w:w="0" w:type="dxa"/>
            <w:right w:w="108" w:type="dxa"/>
          </w:tblCellMar>
        </w:tblPrEx>
        <w:trPr>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sz w:val="22"/>
                <w:szCs w:val="22"/>
              </w:rPr>
            </w:pPr>
            <w:r>
              <w:rPr>
                <w:rFonts w:hint="eastAsia" w:ascii="宋体" w:hAnsi="宋体" w:eastAsia="宋体" w:cs="宋体"/>
                <w:b/>
                <w:bCs/>
                <w:sz w:val="22"/>
                <w:szCs w:val="22"/>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sz w:val="22"/>
                <w:szCs w:val="22"/>
              </w:rPr>
            </w:pPr>
            <w:r>
              <w:rPr>
                <w:rFonts w:hint="eastAsia" w:ascii="宋体" w:hAnsi="宋体" w:eastAsia="宋体" w:cs="宋体"/>
                <w:b/>
                <w:bCs/>
                <w:sz w:val="22"/>
                <w:szCs w:val="22"/>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sz w:val="22"/>
                <w:szCs w:val="22"/>
              </w:rPr>
            </w:pPr>
            <w:r>
              <w:rPr>
                <w:rFonts w:hint="eastAsia" w:ascii="宋体" w:hAnsi="宋体" w:eastAsia="宋体" w:cs="宋体"/>
                <w:b/>
                <w:bCs/>
                <w:sz w:val="22"/>
                <w:szCs w:val="22"/>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sz w:val="22"/>
                <w:szCs w:val="22"/>
              </w:rPr>
            </w:pPr>
            <w:r>
              <w:rPr>
                <w:rFonts w:hint="eastAsia" w:ascii="宋体" w:hAnsi="宋体" w:eastAsia="宋体" w:cs="宋体"/>
                <w:b/>
                <w:bCs/>
                <w:sz w:val="22"/>
                <w:szCs w:val="22"/>
              </w:rPr>
              <w:t>0.00</w:t>
            </w:r>
          </w:p>
        </w:tc>
        <w:tc>
          <w:tcPr>
            <w:tcW w:w="173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sz w:val="22"/>
                <w:szCs w:val="22"/>
              </w:rPr>
            </w:pPr>
            <w:r>
              <w:rPr>
                <w:rFonts w:hint="eastAsia" w:ascii="宋体" w:hAnsi="宋体" w:eastAsia="宋体" w:cs="宋体"/>
                <w:b/>
                <w:bCs/>
                <w:sz w:val="22"/>
                <w:szCs w:val="22"/>
              </w:rPr>
              <w:t>0.00</w:t>
            </w:r>
          </w:p>
        </w:tc>
        <w:tc>
          <w:tcPr>
            <w:tcW w:w="194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sz w:val="22"/>
                <w:szCs w:val="22"/>
              </w:rPr>
            </w:pPr>
            <w:r>
              <w:rPr>
                <w:rFonts w:hint="eastAsia" w:ascii="宋体" w:hAnsi="宋体" w:eastAsia="宋体" w:cs="宋体"/>
                <w:b/>
                <w:bCs/>
                <w:sz w:val="22"/>
                <w:szCs w:val="22"/>
              </w:rPr>
              <w:t>0.00</w:t>
            </w:r>
          </w:p>
        </w:tc>
      </w:tr>
      <w:tr>
        <w:tblPrEx>
          <w:tblCellMar>
            <w:top w:w="0" w:type="dxa"/>
            <w:left w:w="108" w:type="dxa"/>
            <w:bottom w:w="0" w:type="dxa"/>
            <w:right w:w="108" w:type="dxa"/>
          </w:tblCellMar>
        </w:tblPrEx>
        <w:trPr>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sz w:val="22"/>
                <w:szCs w:val="22"/>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sz w:val="22"/>
                <w:szCs w:val="22"/>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sz w:val="22"/>
                <w:szCs w:val="22"/>
              </w:rPr>
            </w:pPr>
            <w:r>
              <w:rPr>
                <w:rFonts w:ascii="宋体" w:hAnsi="宋体" w:eastAsia="宋体" w:cs="宋体"/>
                <w:sz w:val="22"/>
                <w:szCs w:val="22"/>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sz w:val="22"/>
                <w:szCs w:val="22"/>
              </w:rPr>
            </w:pPr>
            <w:r>
              <w:rPr>
                <w:rFonts w:ascii="宋体" w:hAnsi="宋体" w:eastAsia="宋体" w:cs="宋体"/>
                <w:sz w:val="22"/>
                <w:szCs w:val="22"/>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sz w:val="22"/>
                <w:szCs w:val="22"/>
              </w:rPr>
            </w:pPr>
            <w:r>
              <w:rPr>
                <w:rFonts w:ascii="宋体" w:hAnsi="宋体" w:eastAsia="宋体" w:cs="宋体"/>
                <w:sz w:val="22"/>
                <w:szCs w:val="22"/>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sz w:val="22"/>
                <w:szCs w:val="22"/>
              </w:rPr>
            </w:pPr>
            <w:r>
              <w:rPr>
                <w:rFonts w:hint="eastAsia" w:ascii="宋体" w:hAnsi="宋体" w:eastAsia="宋体" w:cs="宋体"/>
                <w:sz w:val="22"/>
                <w:szCs w:val="22"/>
              </w:rPr>
              <w:t>0.00</w:t>
            </w:r>
          </w:p>
        </w:tc>
        <w:tc>
          <w:tcPr>
            <w:tcW w:w="173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sz w:val="22"/>
                <w:szCs w:val="22"/>
              </w:rPr>
            </w:pPr>
            <w:r>
              <w:rPr>
                <w:rFonts w:hint="eastAsia" w:ascii="宋体" w:hAnsi="宋体" w:eastAsia="宋体" w:cs="宋体"/>
                <w:sz w:val="22"/>
                <w:szCs w:val="22"/>
              </w:rPr>
              <w:t>0.00</w:t>
            </w:r>
          </w:p>
        </w:tc>
        <w:tc>
          <w:tcPr>
            <w:tcW w:w="194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sz w:val="22"/>
                <w:szCs w:val="22"/>
              </w:rPr>
            </w:pPr>
            <w:r>
              <w:rPr>
                <w:rFonts w:ascii="宋体" w:hAnsi="宋体" w:eastAsia="宋体" w:cs="宋体"/>
                <w:sz w:val="22"/>
                <w:szCs w:val="22"/>
              </w:rPr>
              <w:t>0.00</w:t>
            </w:r>
          </w:p>
        </w:tc>
      </w:tr>
      <w:tr>
        <w:tblPrEx>
          <w:tblCellMar>
            <w:top w:w="0" w:type="dxa"/>
            <w:left w:w="108" w:type="dxa"/>
            <w:bottom w:w="0" w:type="dxa"/>
            <w:right w:w="108" w:type="dxa"/>
          </w:tblCellMar>
        </w:tblPrEx>
        <w:trPr>
          <w:trHeight w:val="277" w:hRule="atLeast"/>
        </w:trPr>
        <w:tc>
          <w:tcPr>
            <w:tcW w:w="13982" w:type="dxa"/>
            <w:gridSpan w:val="10"/>
            <w:tcBorders>
              <w:top w:val="nil"/>
              <w:left w:val="nil"/>
              <w:bottom w:val="nil"/>
              <w:right w:val="nil"/>
            </w:tcBorders>
            <w:shd w:val="clear" w:color="auto" w:fill="auto"/>
            <w:noWrap/>
            <w:vAlign w:val="center"/>
          </w:tcPr>
          <w:p>
            <w:pPr>
              <w:widowControl/>
              <w:jc w:val="left"/>
              <w:textAlignment w:val="center"/>
              <w:rPr>
                <w:rFonts w:ascii="宋体" w:hAnsi="宋体" w:eastAsia="宋体" w:cs="宋体"/>
                <w:kern w:val="0"/>
                <w:sz w:val="22"/>
                <w:szCs w:val="22"/>
              </w:rPr>
            </w:pPr>
            <w:r>
              <w:rPr>
                <w:rFonts w:hint="eastAsia" w:ascii="宋体" w:hAnsi="宋体" w:eastAsia="宋体" w:cs="宋体"/>
                <w:kern w:val="0"/>
                <w:sz w:val="22"/>
                <w:szCs w:val="22"/>
              </w:rPr>
              <w:t>注：本表反映部门本年度政府性基金预算财政拨款收入、支出及结转和结余情况。</w:t>
            </w:r>
          </w:p>
          <w:p>
            <w:pPr>
              <w:rPr>
                <w:rFonts w:ascii="宋体" w:hAnsi="宋体" w:eastAsia="宋体" w:cs="宋体"/>
                <w:kern w:val="0"/>
                <w:sz w:val="22"/>
                <w:szCs w:val="22"/>
              </w:rPr>
            </w:pPr>
            <w:r>
              <w:rPr>
                <w:rFonts w:hint="eastAsia" w:ascii="宋体" w:hAnsi="宋体" w:eastAsia="宋体" w:cs="宋体"/>
                <w:szCs w:val="21"/>
              </w:rPr>
              <w:t>本部门</w:t>
            </w:r>
            <w:r>
              <w:rPr>
                <w:rFonts w:ascii="Times New Roman" w:hAnsi="Times New Roman" w:eastAsia="宋体" w:cs="Times New Roman"/>
                <w:szCs w:val="21"/>
              </w:rPr>
              <w:t>2022</w:t>
            </w:r>
            <w:r>
              <w:rPr>
                <w:rFonts w:hint="eastAsia" w:ascii="宋体" w:hAnsi="宋体" w:eastAsia="宋体" w:cs="宋体"/>
                <w:szCs w:val="21"/>
              </w:rPr>
              <w:t>年度没有政府性基金预算财政拨款收入，也没有政府性基金预算财政拨款安排的支出，故本表无数据”。</w:t>
            </w:r>
          </w:p>
        </w:tc>
      </w:tr>
    </w:tbl>
    <w:p>
      <w:pPr>
        <w:rPr>
          <w:rFonts w:ascii="仿宋" w:hAnsi="仿宋" w:eastAsia="仿宋" w:cs="仿宋"/>
          <w:sz w:val="24"/>
        </w:rPr>
      </w:pPr>
      <w:r>
        <w:rPr>
          <w:rFonts w:ascii="仿宋" w:hAnsi="仿宋" w:eastAsia="仿宋" w:cs="仿宋"/>
          <w:sz w:val="24"/>
        </w:rPr>
        <w:br w:type="page"/>
      </w:r>
    </w:p>
    <w:p>
      <w:pPr>
        <w:jc w:val="left"/>
        <w:rPr>
          <w:rFonts w:ascii="仿宋" w:hAnsi="仿宋" w:eastAsia="仿宋" w:cs="仿宋"/>
          <w:sz w:val="24"/>
        </w:rPr>
      </w:pPr>
      <w:r>
        <w:rPr>
          <w:rFonts w:hint="eastAsia" w:ascii="仿宋" w:hAnsi="仿宋" w:eastAsia="仿宋" w:cs="仿宋"/>
          <w:sz w:val="24"/>
        </w:rPr>
        <w:t>表八：国有资本经营预算财政拨款支出决算表</w:t>
      </w:r>
    </w:p>
    <w:p>
      <w:pPr>
        <w:jc w:val="left"/>
        <w:rPr>
          <w:rFonts w:ascii="仿宋" w:hAnsi="仿宋" w:eastAsia="仿宋" w:cs="仿宋"/>
          <w:sz w:val="24"/>
        </w:rPr>
      </w:pPr>
    </w:p>
    <w:tbl>
      <w:tblPr>
        <w:tblStyle w:val="7"/>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widowControl/>
              <w:jc w:val="center"/>
              <w:textAlignment w:val="bottom"/>
              <w:rPr>
                <w:rFonts w:ascii="宋体" w:hAnsi="宋体" w:eastAsia="宋体" w:cs="宋体"/>
                <w:sz w:val="30"/>
                <w:szCs w:val="30"/>
              </w:rPr>
            </w:pPr>
            <w:r>
              <w:rPr>
                <w:rFonts w:hint="eastAsia" w:ascii="宋体" w:hAnsi="宋体" w:eastAsia="宋体" w:cs="宋体"/>
                <w:kern w:val="0"/>
                <w:sz w:val="32"/>
                <w:szCs w:val="32"/>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rPr>
                <w:rFonts w:ascii="Arial" w:hAnsi="Arial" w:cs="Arial"/>
                <w:sz w:val="20"/>
                <w:szCs w:val="20"/>
              </w:rPr>
            </w:pPr>
          </w:p>
        </w:tc>
        <w:tc>
          <w:tcPr>
            <w:tcW w:w="285" w:type="dxa"/>
            <w:tcBorders>
              <w:top w:val="nil"/>
              <w:left w:val="nil"/>
              <w:bottom w:val="nil"/>
              <w:right w:val="nil"/>
            </w:tcBorders>
            <w:shd w:val="clear" w:color="auto" w:fill="auto"/>
            <w:noWrap/>
            <w:vAlign w:val="bottom"/>
          </w:tcPr>
          <w:p>
            <w:pPr>
              <w:rPr>
                <w:rFonts w:ascii="Arial" w:hAnsi="Arial" w:cs="Arial"/>
                <w:sz w:val="20"/>
                <w:szCs w:val="20"/>
              </w:rPr>
            </w:pPr>
          </w:p>
        </w:tc>
        <w:tc>
          <w:tcPr>
            <w:tcW w:w="363" w:type="dxa"/>
            <w:tcBorders>
              <w:top w:val="nil"/>
              <w:left w:val="nil"/>
              <w:bottom w:val="nil"/>
              <w:right w:val="nil"/>
            </w:tcBorders>
            <w:shd w:val="clear" w:color="auto" w:fill="auto"/>
            <w:noWrap/>
            <w:vAlign w:val="bottom"/>
          </w:tcPr>
          <w:p>
            <w:pPr>
              <w:rPr>
                <w:rFonts w:ascii="Arial" w:hAnsi="Arial" w:cs="Arial"/>
                <w:sz w:val="20"/>
                <w:szCs w:val="20"/>
              </w:rPr>
            </w:pPr>
          </w:p>
        </w:tc>
        <w:tc>
          <w:tcPr>
            <w:tcW w:w="1960" w:type="dxa"/>
            <w:tcBorders>
              <w:top w:val="nil"/>
              <w:left w:val="nil"/>
              <w:bottom w:val="nil"/>
              <w:right w:val="nil"/>
            </w:tcBorders>
            <w:shd w:val="clear" w:color="auto" w:fill="auto"/>
            <w:noWrap/>
            <w:vAlign w:val="bottom"/>
          </w:tcPr>
          <w:p>
            <w:pPr>
              <w:rPr>
                <w:rFonts w:ascii="Arial" w:hAnsi="Arial" w:cs="Arial"/>
                <w:sz w:val="20"/>
                <w:szCs w:val="20"/>
              </w:rPr>
            </w:pPr>
          </w:p>
        </w:tc>
        <w:tc>
          <w:tcPr>
            <w:tcW w:w="2993" w:type="dxa"/>
            <w:tcBorders>
              <w:top w:val="nil"/>
              <w:left w:val="nil"/>
              <w:bottom w:val="nil"/>
              <w:right w:val="nil"/>
            </w:tcBorders>
            <w:shd w:val="clear" w:color="auto" w:fill="auto"/>
            <w:noWrap/>
            <w:vAlign w:val="bottom"/>
          </w:tcPr>
          <w:p>
            <w:pPr>
              <w:rPr>
                <w:rFonts w:ascii="Arial" w:hAnsi="Arial" w:cs="Arial"/>
                <w:sz w:val="20"/>
                <w:szCs w:val="20"/>
              </w:rPr>
            </w:pPr>
          </w:p>
        </w:tc>
        <w:tc>
          <w:tcPr>
            <w:tcW w:w="3135" w:type="dxa"/>
            <w:tcBorders>
              <w:top w:val="nil"/>
              <w:left w:val="nil"/>
              <w:bottom w:val="nil"/>
              <w:right w:val="nil"/>
            </w:tcBorders>
            <w:shd w:val="clear" w:color="auto" w:fill="auto"/>
            <w:noWrap/>
            <w:vAlign w:val="bottom"/>
          </w:tcPr>
          <w:p>
            <w:pPr>
              <w:rPr>
                <w:rFonts w:ascii="Arial" w:hAnsi="Arial" w:cs="Arial"/>
                <w:sz w:val="20"/>
                <w:szCs w:val="20"/>
              </w:rPr>
            </w:pPr>
          </w:p>
        </w:tc>
        <w:tc>
          <w:tcPr>
            <w:tcW w:w="3065" w:type="dxa"/>
            <w:tcBorders>
              <w:top w:val="nil"/>
              <w:left w:val="nil"/>
              <w:bottom w:val="nil"/>
              <w:right w:val="nil"/>
            </w:tcBorders>
            <w:shd w:val="clear" w:color="auto" w:fill="auto"/>
            <w:noWrap/>
            <w:vAlign w:val="bottom"/>
          </w:tcPr>
          <w:p>
            <w:pPr>
              <w:widowControl/>
              <w:jc w:val="right"/>
              <w:textAlignment w:val="bottom"/>
              <w:rPr>
                <w:rFonts w:ascii="宋体" w:hAnsi="宋体" w:eastAsia="宋体" w:cs="宋体"/>
                <w:sz w:val="20"/>
                <w:szCs w:val="20"/>
              </w:rPr>
            </w:pPr>
            <w:r>
              <w:rPr>
                <w:rFonts w:hint="eastAsia" w:ascii="宋体" w:hAnsi="宋体" w:eastAsia="宋体" w:cs="宋体"/>
                <w:kern w:val="0"/>
                <w:sz w:val="20"/>
                <w:szCs w:val="20"/>
              </w:rPr>
              <w:t>公开08表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rPr>
                <w:rFonts w:ascii="Arial" w:hAnsi="Arial" w:cs="Arial"/>
                <w:sz w:val="20"/>
                <w:szCs w:val="20"/>
              </w:rPr>
            </w:pPr>
            <w:r>
              <w:rPr>
                <w:rFonts w:hint="eastAsia" w:ascii="宋体" w:hAnsi="宋体" w:eastAsia="宋体" w:cs="宋体"/>
                <w:kern w:val="0"/>
                <w:sz w:val="20"/>
                <w:szCs w:val="20"/>
              </w:rPr>
              <w:t>部门：</w:t>
            </w:r>
            <w:r>
              <w:rPr>
                <w:rFonts w:ascii="宋体" w:hAnsi="宋体" w:eastAsia="宋体" w:cs="宋体"/>
                <w:sz w:val="20"/>
              </w:rPr>
              <w:t>环江毛南族自治县第二幼儿园</w:t>
            </w:r>
          </w:p>
        </w:tc>
        <w:tc>
          <w:tcPr>
            <w:tcW w:w="3135" w:type="dxa"/>
            <w:tcBorders>
              <w:top w:val="nil"/>
              <w:left w:val="nil"/>
              <w:bottom w:val="nil"/>
              <w:right w:val="nil"/>
            </w:tcBorders>
            <w:shd w:val="clear" w:color="auto" w:fill="auto"/>
            <w:noWrap/>
            <w:vAlign w:val="bottom"/>
          </w:tcPr>
          <w:p>
            <w:pPr>
              <w:rPr>
                <w:rFonts w:ascii="Arial" w:hAnsi="Arial" w:cs="Arial"/>
                <w:sz w:val="20"/>
                <w:szCs w:val="20"/>
              </w:rPr>
            </w:pPr>
          </w:p>
        </w:tc>
        <w:tc>
          <w:tcPr>
            <w:tcW w:w="3065" w:type="dxa"/>
            <w:tcBorders>
              <w:top w:val="nil"/>
              <w:left w:val="nil"/>
              <w:bottom w:val="nil"/>
              <w:right w:val="nil"/>
            </w:tcBorders>
            <w:shd w:val="clear" w:color="auto" w:fill="auto"/>
            <w:noWrap/>
            <w:vAlign w:val="bottom"/>
          </w:tcPr>
          <w:p>
            <w:pPr>
              <w:widowControl/>
              <w:jc w:val="right"/>
              <w:textAlignment w:val="bottom"/>
              <w:rPr>
                <w:rFonts w:ascii="宋体" w:hAnsi="宋体" w:eastAsia="宋体" w:cs="宋体"/>
                <w:sz w:val="20"/>
                <w:szCs w:val="20"/>
              </w:rPr>
            </w:pPr>
            <w:r>
              <w:rPr>
                <w:rFonts w:hint="eastAsia" w:ascii="宋体" w:hAnsi="宋体" w:eastAsia="宋体" w:cs="宋体"/>
                <w:kern w:val="0"/>
                <w:sz w:val="20"/>
                <w:szCs w:val="20"/>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宋体"/>
                <w:sz w:val="22"/>
                <w:szCs w:val="22"/>
              </w:rPr>
            </w:pPr>
          </w:p>
        </w:tc>
        <w:tc>
          <w:tcPr>
            <w:tcW w:w="2993"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3135"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3065"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宋体"/>
                <w:sz w:val="22"/>
                <w:szCs w:val="22"/>
              </w:rPr>
            </w:pPr>
          </w:p>
        </w:tc>
        <w:tc>
          <w:tcPr>
            <w:tcW w:w="2993"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3135"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3065"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栏次</w:t>
            </w:r>
          </w:p>
        </w:tc>
        <w:tc>
          <w:tcPr>
            <w:tcW w:w="2993"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1</w:t>
            </w:r>
          </w:p>
        </w:tc>
        <w:tc>
          <w:tcPr>
            <w:tcW w:w="3135"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2</w:t>
            </w:r>
          </w:p>
        </w:tc>
        <w:tc>
          <w:tcPr>
            <w:tcW w:w="3065"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合计</w:t>
            </w:r>
          </w:p>
        </w:tc>
        <w:tc>
          <w:tcPr>
            <w:tcW w:w="29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b/>
                <w:bCs/>
                <w:sz w:val="22"/>
                <w:szCs w:val="22"/>
              </w:rPr>
            </w:pPr>
            <w:r>
              <w:rPr>
                <w:rFonts w:hint="eastAsia" w:ascii="宋体" w:hAnsi="宋体" w:eastAsia="宋体" w:cs="宋体"/>
                <w:b/>
                <w:bCs/>
                <w:sz w:val="22"/>
                <w:szCs w:val="22"/>
              </w:rPr>
              <w:t>0.00</w:t>
            </w:r>
          </w:p>
        </w:tc>
        <w:tc>
          <w:tcPr>
            <w:tcW w:w="31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b/>
                <w:bCs/>
                <w:sz w:val="22"/>
                <w:szCs w:val="22"/>
              </w:rPr>
            </w:pPr>
            <w:r>
              <w:rPr>
                <w:rFonts w:hint="eastAsia" w:ascii="宋体" w:hAnsi="宋体" w:eastAsia="宋体" w:cs="宋体"/>
                <w:b/>
                <w:bCs/>
                <w:sz w:val="22"/>
                <w:szCs w:val="22"/>
              </w:rPr>
              <w:t>0.00</w:t>
            </w:r>
          </w:p>
        </w:tc>
        <w:tc>
          <w:tcPr>
            <w:tcW w:w="306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b/>
                <w:bCs/>
                <w:sz w:val="22"/>
                <w:szCs w:val="22"/>
              </w:rPr>
            </w:pPr>
            <w:r>
              <w:rPr>
                <w:rFonts w:hint="eastAsia" w:ascii="宋体" w:hAnsi="宋体" w:eastAsia="宋体" w:cs="宋体"/>
                <w:b/>
                <w:bCs/>
                <w:sz w:val="22"/>
                <w:szCs w:val="22"/>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sz w:val="22"/>
                <w:szCs w:val="22"/>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jc w:val="left"/>
              <w:rPr>
                <w:rFonts w:ascii="宋体" w:hAnsi="宋体" w:eastAsia="宋体" w:cs="宋体"/>
                <w:sz w:val="22"/>
                <w:szCs w:val="22"/>
              </w:rPr>
            </w:pPr>
          </w:p>
        </w:tc>
        <w:tc>
          <w:tcPr>
            <w:tcW w:w="29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sz w:val="22"/>
                <w:szCs w:val="22"/>
              </w:rPr>
            </w:pPr>
            <w:r>
              <w:rPr>
                <w:rFonts w:hint="eastAsia" w:ascii="宋体" w:hAnsi="宋体" w:eastAsia="宋体" w:cs="宋体"/>
                <w:sz w:val="22"/>
                <w:szCs w:val="22"/>
              </w:rPr>
              <w:t>0.00</w:t>
            </w:r>
          </w:p>
        </w:tc>
        <w:tc>
          <w:tcPr>
            <w:tcW w:w="31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sz w:val="22"/>
                <w:szCs w:val="22"/>
              </w:rPr>
            </w:pPr>
            <w:r>
              <w:rPr>
                <w:rFonts w:hint="eastAsia" w:ascii="宋体" w:hAnsi="宋体" w:eastAsia="宋体" w:cs="宋体"/>
                <w:sz w:val="22"/>
                <w:szCs w:val="22"/>
              </w:rPr>
              <w:t>0.00</w:t>
            </w:r>
          </w:p>
        </w:tc>
        <w:tc>
          <w:tcPr>
            <w:tcW w:w="306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sz w:val="22"/>
                <w:szCs w:val="22"/>
              </w:rPr>
            </w:pPr>
            <w:r>
              <w:rPr>
                <w:rFonts w:hint="eastAsia" w:ascii="宋体" w:hAnsi="宋体" w:eastAsia="宋体" w:cs="宋体"/>
                <w:sz w:val="22"/>
                <w:szCs w:val="22"/>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sz w:val="22"/>
                <w:szCs w:val="22"/>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jc w:val="left"/>
              <w:rPr>
                <w:rFonts w:ascii="宋体" w:hAnsi="宋体" w:eastAsia="宋体" w:cs="宋体"/>
                <w:sz w:val="22"/>
                <w:szCs w:val="22"/>
              </w:rPr>
            </w:pPr>
          </w:p>
        </w:tc>
        <w:tc>
          <w:tcPr>
            <w:tcW w:w="29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sz w:val="22"/>
                <w:szCs w:val="22"/>
              </w:rPr>
            </w:pPr>
            <w:r>
              <w:rPr>
                <w:rFonts w:hint="eastAsia" w:ascii="宋体" w:hAnsi="宋体" w:eastAsia="宋体" w:cs="宋体"/>
                <w:sz w:val="22"/>
                <w:szCs w:val="22"/>
              </w:rPr>
              <w:t>0.00</w:t>
            </w:r>
          </w:p>
        </w:tc>
        <w:tc>
          <w:tcPr>
            <w:tcW w:w="31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sz w:val="22"/>
                <w:szCs w:val="22"/>
              </w:rPr>
            </w:pPr>
            <w:r>
              <w:rPr>
                <w:rFonts w:hint="eastAsia" w:ascii="宋体" w:hAnsi="宋体" w:eastAsia="宋体" w:cs="宋体"/>
                <w:sz w:val="22"/>
                <w:szCs w:val="22"/>
              </w:rPr>
              <w:t>0.00</w:t>
            </w:r>
          </w:p>
        </w:tc>
        <w:tc>
          <w:tcPr>
            <w:tcW w:w="306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sz w:val="22"/>
                <w:szCs w:val="22"/>
              </w:rPr>
            </w:pPr>
            <w:r>
              <w:rPr>
                <w:rFonts w:hint="eastAsia" w:ascii="宋体" w:hAnsi="宋体" w:eastAsia="宋体" w:cs="宋体"/>
                <w:sz w:val="22"/>
                <w:szCs w:val="22"/>
              </w:rPr>
              <w:t>0.00</w:t>
            </w:r>
          </w:p>
        </w:tc>
      </w:tr>
    </w:tbl>
    <w:p>
      <w:pPr>
        <w:widowControl/>
        <w:jc w:val="left"/>
        <w:textAlignment w:val="center"/>
        <w:rPr>
          <w:rFonts w:ascii="宋体" w:hAnsi="宋体" w:eastAsia="宋体" w:cs="宋体"/>
          <w:kern w:val="0"/>
          <w:sz w:val="22"/>
          <w:szCs w:val="22"/>
        </w:rPr>
      </w:pPr>
      <w:r>
        <w:rPr>
          <w:rFonts w:hint="eastAsia" w:ascii="宋体" w:hAnsi="宋体" w:eastAsia="宋体" w:cs="宋体"/>
          <w:kern w:val="0"/>
          <w:sz w:val="22"/>
          <w:szCs w:val="22"/>
        </w:rPr>
        <w:t>注：本表反映部门本年度国有资本经营预算财政拨款支出情况。</w:t>
      </w:r>
    </w:p>
    <w:p>
      <w:pPr>
        <w:widowControl/>
        <w:jc w:val="left"/>
        <w:textAlignment w:val="center"/>
        <w:rPr>
          <w:rFonts w:ascii="宋体" w:hAnsi="宋体" w:eastAsia="宋体" w:cs="宋体"/>
          <w:kern w:val="0"/>
          <w:sz w:val="22"/>
          <w:szCs w:val="22"/>
        </w:rPr>
      </w:pPr>
      <w:r>
        <w:rPr>
          <w:rFonts w:hint="eastAsia" w:ascii="宋体" w:hAnsi="宋体" w:eastAsia="宋体" w:cs="宋体"/>
          <w:szCs w:val="21"/>
        </w:rPr>
        <w:t>本部门</w:t>
      </w:r>
      <w:r>
        <w:rPr>
          <w:rFonts w:ascii="Times New Roman" w:hAnsi="Times New Roman" w:eastAsia="宋体" w:cs="Times New Roman"/>
          <w:szCs w:val="21"/>
        </w:rPr>
        <w:t>2022</w:t>
      </w:r>
      <w:r>
        <w:rPr>
          <w:rFonts w:hint="eastAsia" w:ascii="宋体" w:hAnsi="宋体" w:eastAsia="宋体" w:cs="宋体"/>
          <w:szCs w:val="21"/>
        </w:rPr>
        <w:t>年度没有国有资本经营预算财政拨款收入，也没有国有资本经营预算财政拨款安排的支出，故本表无数据</w:t>
      </w:r>
    </w:p>
    <w:tbl>
      <w:tblPr>
        <w:tblStyle w:val="7"/>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widowControl/>
              <w:jc w:val="left"/>
              <w:textAlignment w:val="center"/>
              <w:rPr>
                <w:rFonts w:ascii="宋体" w:hAnsi="宋体" w:eastAsia="宋体" w:cs="宋体"/>
                <w:kern w:val="0"/>
                <w:sz w:val="22"/>
                <w:szCs w:val="22"/>
              </w:rPr>
            </w:pPr>
          </w:p>
          <w:p>
            <w:pPr>
              <w:widowControl/>
              <w:jc w:val="left"/>
              <w:textAlignment w:val="center"/>
              <w:rPr>
                <w:rFonts w:ascii="宋体" w:hAnsi="宋体" w:eastAsia="宋体" w:cs="宋体"/>
                <w:kern w:val="0"/>
                <w:sz w:val="22"/>
                <w:szCs w:val="22"/>
              </w:rPr>
            </w:pPr>
          </w:p>
          <w:p>
            <w:pPr>
              <w:widowControl/>
              <w:jc w:val="left"/>
              <w:textAlignment w:val="center"/>
              <w:rPr>
                <w:rFonts w:ascii="宋体" w:hAnsi="宋体" w:eastAsia="宋体" w:cs="宋体"/>
                <w:kern w:val="0"/>
                <w:sz w:val="22"/>
                <w:szCs w:val="22"/>
              </w:rPr>
            </w:pPr>
          </w:p>
          <w:p>
            <w:pPr>
              <w:widowControl/>
              <w:jc w:val="left"/>
              <w:textAlignment w:val="center"/>
              <w:rPr>
                <w:rFonts w:ascii="宋体" w:hAnsi="宋体" w:eastAsia="宋体" w:cs="宋体"/>
                <w:kern w:val="0"/>
                <w:sz w:val="22"/>
                <w:szCs w:val="22"/>
              </w:rPr>
            </w:pPr>
          </w:p>
          <w:p>
            <w:pPr>
              <w:widowControl/>
              <w:jc w:val="left"/>
              <w:textAlignment w:val="center"/>
              <w:rPr>
                <w:rFonts w:ascii="宋体" w:hAnsi="宋体" w:eastAsia="宋体" w:cs="宋体"/>
                <w:kern w:val="0"/>
                <w:sz w:val="22"/>
                <w:szCs w:val="22"/>
              </w:rPr>
            </w:pPr>
          </w:p>
          <w:p>
            <w:pPr>
              <w:widowControl/>
              <w:jc w:val="left"/>
              <w:textAlignment w:val="center"/>
              <w:rPr>
                <w:rFonts w:ascii="宋体" w:hAnsi="宋体" w:eastAsia="宋体" w:cs="宋体"/>
                <w:kern w:val="0"/>
                <w:sz w:val="22"/>
                <w:szCs w:val="22"/>
              </w:rPr>
            </w:pPr>
          </w:p>
          <w:p>
            <w:pPr>
              <w:widowControl/>
              <w:jc w:val="left"/>
              <w:textAlignment w:val="center"/>
              <w:rPr>
                <w:rFonts w:ascii="宋体" w:hAnsi="宋体" w:eastAsia="宋体" w:cs="宋体"/>
                <w:kern w:val="0"/>
                <w:sz w:val="22"/>
                <w:szCs w:val="22"/>
              </w:rPr>
            </w:pPr>
          </w:p>
          <w:p>
            <w:pPr>
              <w:widowControl/>
              <w:jc w:val="left"/>
              <w:textAlignment w:val="center"/>
              <w:rPr>
                <w:rFonts w:ascii="宋体" w:hAnsi="宋体" w:eastAsia="宋体" w:cs="宋体"/>
                <w:kern w:val="0"/>
                <w:sz w:val="22"/>
                <w:szCs w:val="22"/>
              </w:rPr>
            </w:pPr>
          </w:p>
          <w:p>
            <w:pPr>
              <w:widowControl/>
              <w:jc w:val="left"/>
              <w:textAlignment w:val="center"/>
              <w:rPr>
                <w:rFonts w:ascii="宋体" w:hAnsi="宋体" w:eastAsia="宋体" w:cs="宋体"/>
                <w:kern w:val="0"/>
                <w:sz w:val="22"/>
                <w:szCs w:val="22"/>
              </w:rPr>
            </w:pPr>
          </w:p>
          <w:p>
            <w:pPr>
              <w:widowControl/>
              <w:jc w:val="left"/>
              <w:textAlignment w:val="center"/>
              <w:rPr>
                <w:rFonts w:ascii="宋体" w:hAnsi="宋体" w:eastAsia="宋体" w:cs="宋体"/>
                <w:kern w:val="0"/>
                <w:sz w:val="22"/>
                <w:szCs w:val="22"/>
              </w:rPr>
            </w:pPr>
          </w:p>
          <w:p>
            <w:pPr>
              <w:widowControl/>
              <w:jc w:val="left"/>
              <w:textAlignment w:val="center"/>
              <w:rPr>
                <w:rFonts w:ascii="宋体" w:hAnsi="宋体" w:eastAsia="宋体" w:cs="宋体"/>
                <w:kern w:val="0"/>
                <w:sz w:val="22"/>
                <w:szCs w:val="22"/>
              </w:rPr>
            </w:pPr>
          </w:p>
          <w:p>
            <w:pPr>
              <w:widowControl/>
              <w:jc w:val="left"/>
              <w:textAlignment w:val="center"/>
              <w:rPr>
                <w:rFonts w:ascii="宋体" w:hAnsi="宋体" w:eastAsia="宋体" w:cs="宋体"/>
                <w:kern w:val="0"/>
                <w:sz w:val="22"/>
                <w:szCs w:val="22"/>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jc w:val="left"/>
              <w:rPr>
                <w:rFonts w:ascii="仿宋" w:hAnsi="仿宋" w:eastAsia="仿宋" w:cs="仿宋"/>
                <w:sz w:val="24"/>
              </w:rPr>
            </w:pPr>
            <w:r>
              <w:rPr>
                <w:rFonts w:hint="eastAsia" w:ascii="仿宋" w:hAnsi="仿宋" w:eastAsia="仿宋" w:cs="仿宋"/>
                <w:sz w:val="24"/>
              </w:rPr>
              <w:t>表九：财政拨款“三公”经费支出决算表</w:t>
            </w:r>
          </w:p>
          <w:p>
            <w:pPr>
              <w:widowControl/>
              <w:jc w:val="center"/>
              <w:textAlignment w:val="bottom"/>
              <w:rPr>
                <w:rFonts w:ascii="宋体" w:hAnsi="宋体" w:eastAsia="宋体" w:cs="宋体"/>
                <w:kern w:val="0"/>
                <w:sz w:val="30"/>
                <w:szCs w:val="30"/>
              </w:rPr>
            </w:pPr>
          </w:p>
          <w:p>
            <w:pPr>
              <w:widowControl/>
              <w:jc w:val="center"/>
              <w:textAlignment w:val="bottom"/>
              <w:rPr>
                <w:rFonts w:ascii="宋体" w:hAnsi="宋体" w:eastAsia="宋体" w:cs="宋体"/>
                <w:sz w:val="30"/>
                <w:szCs w:val="30"/>
              </w:rPr>
            </w:pPr>
            <w:r>
              <w:rPr>
                <w:rFonts w:hint="eastAsia" w:ascii="宋体" w:hAnsi="宋体" w:eastAsia="宋体" w:cs="宋体"/>
                <w:kern w:val="0"/>
                <w:sz w:val="32"/>
                <w:szCs w:val="32"/>
              </w:rPr>
              <w:t>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rPr>
                <w:rFonts w:ascii="Arial" w:hAnsi="Arial" w:cs="Arial"/>
                <w:sz w:val="20"/>
                <w:szCs w:val="20"/>
              </w:rPr>
            </w:pPr>
          </w:p>
        </w:tc>
        <w:tc>
          <w:tcPr>
            <w:tcW w:w="1425" w:type="dxa"/>
            <w:tcBorders>
              <w:top w:val="nil"/>
              <w:left w:val="nil"/>
              <w:bottom w:val="nil"/>
              <w:right w:val="nil"/>
            </w:tcBorders>
            <w:shd w:val="clear" w:color="auto" w:fill="auto"/>
            <w:noWrap/>
            <w:vAlign w:val="bottom"/>
          </w:tcPr>
          <w:p>
            <w:pPr>
              <w:rPr>
                <w:rFonts w:ascii="Arial" w:hAnsi="Arial" w:cs="Arial"/>
                <w:sz w:val="20"/>
                <w:szCs w:val="20"/>
              </w:rPr>
            </w:pPr>
          </w:p>
        </w:tc>
        <w:tc>
          <w:tcPr>
            <w:tcW w:w="1094" w:type="dxa"/>
            <w:tcBorders>
              <w:top w:val="nil"/>
              <w:left w:val="nil"/>
              <w:bottom w:val="nil"/>
              <w:right w:val="nil"/>
            </w:tcBorders>
            <w:shd w:val="clear" w:color="auto" w:fill="auto"/>
            <w:noWrap/>
            <w:vAlign w:val="bottom"/>
          </w:tcPr>
          <w:p>
            <w:pPr>
              <w:rPr>
                <w:rFonts w:ascii="Arial" w:hAnsi="Arial" w:cs="Arial"/>
                <w:sz w:val="20"/>
                <w:szCs w:val="20"/>
              </w:rPr>
            </w:pPr>
          </w:p>
        </w:tc>
        <w:tc>
          <w:tcPr>
            <w:tcW w:w="1159" w:type="dxa"/>
            <w:tcBorders>
              <w:top w:val="nil"/>
              <w:left w:val="nil"/>
              <w:bottom w:val="nil"/>
              <w:right w:val="nil"/>
            </w:tcBorders>
            <w:shd w:val="clear" w:color="auto" w:fill="auto"/>
            <w:noWrap/>
            <w:vAlign w:val="bottom"/>
          </w:tcPr>
          <w:p>
            <w:pPr>
              <w:rPr>
                <w:rFonts w:ascii="Arial" w:hAnsi="Arial" w:cs="Arial"/>
                <w:sz w:val="20"/>
                <w:szCs w:val="20"/>
              </w:rPr>
            </w:pPr>
          </w:p>
        </w:tc>
        <w:tc>
          <w:tcPr>
            <w:tcW w:w="1133" w:type="dxa"/>
            <w:tcBorders>
              <w:top w:val="nil"/>
              <w:left w:val="nil"/>
              <w:bottom w:val="nil"/>
              <w:right w:val="nil"/>
            </w:tcBorders>
            <w:shd w:val="clear" w:color="auto" w:fill="auto"/>
            <w:noWrap/>
            <w:vAlign w:val="bottom"/>
          </w:tcPr>
          <w:p>
            <w:pPr>
              <w:rPr>
                <w:rFonts w:ascii="Arial" w:hAnsi="Arial" w:cs="Arial"/>
                <w:sz w:val="20"/>
                <w:szCs w:val="20"/>
              </w:rPr>
            </w:pPr>
          </w:p>
        </w:tc>
        <w:tc>
          <w:tcPr>
            <w:tcW w:w="1040" w:type="dxa"/>
            <w:tcBorders>
              <w:top w:val="nil"/>
              <w:left w:val="nil"/>
              <w:bottom w:val="nil"/>
              <w:right w:val="nil"/>
            </w:tcBorders>
            <w:shd w:val="clear" w:color="auto" w:fill="auto"/>
            <w:noWrap/>
            <w:vAlign w:val="bottom"/>
          </w:tcPr>
          <w:p>
            <w:pPr>
              <w:rPr>
                <w:rFonts w:ascii="Arial" w:hAnsi="Arial" w:cs="Arial"/>
                <w:sz w:val="20"/>
                <w:szCs w:val="20"/>
              </w:rPr>
            </w:pPr>
          </w:p>
        </w:tc>
        <w:tc>
          <w:tcPr>
            <w:tcW w:w="1066" w:type="dxa"/>
            <w:tcBorders>
              <w:top w:val="nil"/>
              <w:left w:val="nil"/>
              <w:bottom w:val="nil"/>
              <w:right w:val="nil"/>
            </w:tcBorders>
            <w:shd w:val="clear" w:color="auto" w:fill="auto"/>
            <w:noWrap/>
            <w:vAlign w:val="bottom"/>
          </w:tcPr>
          <w:p>
            <w:pPr>
              <w:rPr>
                <w:rFonts w:ascii="Arial" w:hAnsi="Arial" w:cs="Arial"/>
                <w:sz w:val="20"/>
                <w:szCs w:val="20"/>
              </w:rPr>
            </w:pPr>
          </w:p>
        </w:tc>
        <w:tc>
          <w:tcPr>
            <w:tcW w:w="1161" w:type="dxa"/>
            <w:tcBorders>
              <w:top w:val="nil"/>
              <w:left w:val="nil"/>
              <w:bottom w:val="nil"/>
              <w:right w:val="nil"/>
            </w:tcBorders>
            <w:shd w:val="clear" w:color="auto" w:fill="auto"/>
            <w:noWrap/>
            <w:vAlign w:val="bottom"/>
          </w:tcPr>
          <w:p>
            <w:pPr>
              <w:rPr>
                <w:rFonts w:ascii="Arial" w:hAnsi="Arial" w:cs="Arial"/>
                <w:sz w:val="20"/>
                <w:szCs w:val="20"/>
              </w:rPr>
            </w:pPr>
          </w:p>
        </w:tc>
        <w:tc>
          <w:tcPr>
            <w:tcW w:w="1053" w:type="dxa"/>
            <w:tcBorders>
              <w:top w:val="nil"/>
              <w:left w:val="nil"/>
              <w:bottom w:val="nil"/>
              <w:right w:val="nil"/>
            </w:tcBorders>
            <w:shd w:val="clear" w:color="auto" w:fill="auto"/>
            <w:noWrap/>
            <w:vAlign w:val="bottom"/>
          </w:tcPr>
          <w:p>
            <w:pPr>
              <w:rPr>
                <w:rFonts w:ascii="Arial" w:hAnsi="Arial" w:cs="Arial"/>
                <w:sz w:val="20"/>
                <w:szCs w:val="20"/>
              </w:rPr>
            </w:pPr>
          </w:p>
        </w:tc>
        <w:tc>
          <w:tcPr>
            <w:tcW w:w="1148" w:type="dxa"/>
            <w:tcBorders>
              <w:top w:val="nil"/>
              <w:left w:val="nil"/>
              <w:bottom w:val="nil"/>
              <w:right w:val="nil"/>
            </w:tcBorders>
            <w:shd w:val="clear" w:color="auto" w:fill="auto"/>
            <w:noWrap/>
            <w:vAlign w:val="bottom"/>
          </w:tcPr>
          <w:p>
            <w:pPr>
              <w:rPr>
                <w:rFonts w:ascii="Arial" w:hAnsi="Arial" w:cs="Arial"/>
                <w:sz w:val="20"/>
                <w:szCs w:val="20"/>
              </w:rPr>
            </w:pPr>
          </w:p>
        </w:tc>
        <w:tc>
          <w:tcPr>
            <w:tcW w:w="1133" w:type="dxa"/>
            <w:tcBorders>
              <w:top w:val="nil"/>
              <w:left w:val="nil"/>
              <w:bottom w:val="nil"/>
              <w:right w:val="nil"/>
            </w:tcBorders>
            <w:shd w:val="clear" w:color="auto" w:fill="auto"/>
            <w:noWrap/>
            <w:vAlign w:val="bottom"/>
          </w:tcPr>
          <w:p>
            <w:pPr>
              <w:rPr>
                <w:rFonts w:ascii="Arial" w:hAnsi="Arial" w:cs="Arial"/>
                <w:sz w:val="20"/>
                <w:szCs w:val="20"/>
              </w:rPr>
            </w:pPr>
          </w:p>
        </w:tc>
        <w:tc>
          <w:tcPr>
            <w:tcW w:w="1073" w:type="dxa"/>
            <w:tcBorders>
              <w:top w:val="nil"/>
              <w:left w:val="nil"/>
              <w:bottom w:val="nil"/>
              <w:right w:val="nil"/>
            </w:tcBorders>
            <w:shd w:val="clear" w:color="auto" w:fill="auto"/>
            <w:noWrap/>
            <w:vAlign w:val="bottom"/>
          </w:tcPr>
          <w:p>
            <w:pPr>
              <w:widowControl/>
              <w:jc w:val="right"/>
              <w:textAlignment w:val="bottom"/>
              <w:rPr>
                <w:rFonts w:ascii="宋体" w:hAnsi="宋体" w:eastAsia="宋体" w:cs="宋体"/>
                <w:sz w:val="20"/>
                <w:szCs w:val="20"/>
              </w:rPr>
            </w:pPr>
            <w:r>
              <w:rPr>
                <w:rFonts w:hint="eastAsia" w:ascii="宋体" w:hAnsi="宋体" w:eastAsia="宋体" w:cs="宋体"/>
                <w:kern w:val="0"/>
                <w:sz w:val="20"/>
                <w:szCs w:val="20"/>
              </w:rPr>
              <w:t>公开09表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rPr>
                <w:rFonts w:ascii="Arial" w:hAnsi="Arial" w:cs="Arial"/>
                <w:sz w:val="20"/>
                <w:szCs w:val="20"/>
              </w:rPr>
            </w:pPr>
            <w:r>
              <w:rPr>
                <w:rFonts w:hint="eastAsia" w:ascii="宋体" w:hAnsi="宋体" w:eastAsia="宋体" w:cs="宋体"/>
                <w:kern w:val="0"/>
                <w:sz w:val="20"/>
                <w:szCs w:val="20"/>
              </w:rPr>
              <w:t>部门：</w:t>
            </w:r>
            <w:r>
              <w:rPr>
                <w:rFonts w:ascii="宋体" w:hAnsi="宋体" w:eastAsia="宋体" w:cs="宋体"/>
                <w:sz w:val="20"/>
              </w:rPr>
              <w:t>环江毛南族自治县第二幼儿园</w:t>
            </w:r>
          </w:p>
        </w:tc>
        <w:tc>
          <w:tcPr>
            <w:tcW w:w="1066" w:type="dxa"/>
            <w:tcBorders>
              <w:top w:val="nil"/>
              <w:left w:val="nil"/>
              <w:bottom w:val="nil"/>
              <w:right w:val="nil"/>
            </w:tcBorders>
            <w:shd w:val="clear" w:color="auto" w:fill="auto"/>
            <w:noWrap/>
            <w:vAlign w:val="bottom"/>
          </w:tcPr>
          <w:p>
            <w:pPr>
              <w:rPr>
                <w:rFonts w:ascii="Arial" w:hAnsi="Arial" w:cs="Arial"/>
                <w:sz w:val="20"/>
                <w:szCs w:val="20"/>
              </w:rPr>
            </w:pPr>
          </w:p>
        </w:tc>
        <w:tc>
          <w:tcPr>
            <w:tcW w:w="1161" w:type="dxa"/>
            <w:tcBorders>
              <w:top w:val="nil"/>
              <w:left w:val="nil"/>
              <w:bottom w:val="nil"/>
              <w:right w:val="nil"/>
            </w:tcBorders>
            <w:shd w:val="clear" w:color="auto" w:fill="auto"/>
            <w:noWrap/>
            <w:vAlign w:val="bottom"/>
          </w:tcPr>
          <w:p>
            <w:pPr>
              <w:rPr>
                <w:rFonts w:ascii="Arial" w:hAnsi="Arial" w:cs="Arial"/>
                <w:sz w:val="20"/>
                <w:szCs w:val="20"/>
              </w:rPr>
            </w:pPr>
          </w:p>
        </w:tc>
        <w:tc>
          <w:tcPr>
            <w:tcW w:w="1053" w:type="dxa"/>
            <w:tcBorders>
              <w:top w:val="nil"/>
              <w:left w:val="nil"/>
              <w:bottom w:val="nil"/>
              <w:right w:val="nil"/>
            </w:tcBorders>
            <w:shd w:val="clear" w:color="auto" w:fill="auto"/>
            <w:noWrap/>
            <w:vAlign w:val="bottom"/>
          </w:tcPr>
          <w:p>
            <w:pPr>
              <w:rPr>
                <w:rFonts w:ascii="Arial" w:hAnsi="Arial" w:cs="Arial"/>
                <w:sz w:val="20"/>
                <w:szCs w:val="20"/>
              </w:rPr>
            </w:pPr>
          </w:p>
        </w:tc>
        <w:tc>
          <w:tcPr>
            <w:tcW w:w="1148" w:type="dxa"/>
            <w:tcBorders>
              <w:top w:val="nil"/>
              <w:left w:val="nil"/>
              <w:bottom w:val="nil"/>
              <w:right w:val="nil"/>
            </w:tcBorders>
            <w:shd w:val="clear" w:color="auto" w:fill="auto"/>
            <w:noWrap/>
            <w:vAlign w:val="bottom"/>
          </w:tcPr>
          <w:p>
            <w:pPr>
              <w:rPr>
                <w:rFonts w:ascii="Arial" w:hAnsi="Arial" w:cs="Arial"/>
                <w:sz w:val="20"/>
                <w:szCs w:val="20"/>
              </w:rPr>
            </w:pPr>
          </w:p>
        </w:tc>
        <w:tc>
          <w:tcPr>
            <w:tcW w:w="2206" w:type="dxa"/>
            <w:gridSpan w:val="2"/>
            <w:tcBorders>
              <w:top w:val="nil"/>
              <w:left w:val="nil"/>
              <w:bottom w:val="nil"/>
              <w:right w:val="nil"/>
            </w:tcBorders>
            <w:shd w:val="clear" w:color="auto" w:fill="auto"/>
            <w:noWrap/>
            <w:vAlign w:val="bottom"/>
          </w:tcPr>
          <w:p>
            <w:pPr>
              <w:widowControl/>
              <w:jc w:val="right"/>
              <w:textAlignment w:val="bottom"/>
              <w:rPr>
                <w:rFonts w:ascii="宋体" w:hAnsi="宋体" w:eastAsia="宋体" w:cs="宋体"/>
                <w:sz w:val="20"/>
                <w:szCs w:val="20"/>
              </w:rPr>
            </w:pPr>
            <w:r>
              <w:rPr>
                <w:rFonts w:hint="eastAsia" w:ascii="宋体" w:hAnsi="宋体" w:eastAsia="宋体" w:cs="宋体"/>
                <w:kern w:val="0"/>
                <w:sz w:val="20"/>
                <w:szCs w:val="20"/>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1425"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1094"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小计</w:t>
            </w:r>
          </w:p>
        </w:tc>
        <w:tc>
          <w:tcPr>
            <w:tcW w:w="1159"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1066"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1161"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105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小计</w:t>
            </w:r>
          </w:p>
        </w:tc>
        <w:tc>
          <w:tcPr>
            <w:tcW w:w="1148"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1</w:t>
            </w:r>
          </w:p>
          <w:p>
            <w:pPr>
              <w:widowControl/>
              <w:jc w:val="center"/>
              <w:textAlignment w:val="center"/>
              <w:rPr>
                <w:rFonts w:ascii="宋体" w:hAnsi="宋体" w:eastAsia="宋体" w:cs="宋体"/>
                <w:sz w:val="22"/>
                <w:szCs w:val="22"/>
              </w:rPr>
            </w:pPr>
          </w:p>
        </w:tc>
        <w:tc>
          <w:tcPr>
            <w:tcW w:w="142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2</w:t>
            </w:r>
          </w:p>
        </w:tc>
        <w:tc>
          <w:tcPr>
            <w:tcW w:w="1094"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3</w:t>
            </w:r>
          </w:p>
        </w:tc>
        <w:tc>
          <w:tcPr>
            <w:tcW w:w="1159"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4</w:t>
            </w:r>
          </w:p>
        </w:tc>
        <w:tc>
          <w:tcPr>
            <w:tcW w:w="113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5</w:t>
            </w:r>
          </w:p>
        </w:tc>
        <w:tc>
          <w:tcPr>
            <w:tcW w:w="1040"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6</w:t>
            </w:r>
          </w:p>
        </w:tc>
        <w:tc>
          <w:tcPr>
            <w:tcW w:w="1066"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7</w:t>
            </w:r>
          </w:p>
        </w:tc>
        <w:tc>
          <w:tcPr>
            <w:tcW w:w="1161"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8</w:t>
            </w:r>
          </w:p>
        </w:tc>
        <w:tc>
          <w:tcPr>
            <w:tcW w:w="105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9</w:t>
            </w:r>
          </w:p>
        </w:tc>
        <w:tc>
          <w:tcPr>
            <w:tcW w:w="1148"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10</w:t>
            </w:r>
          </w:p>
        </w:tc>
        <w:tc>
          <w:tcPr>
            <w:tcW w:w="113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11</w:t>
            </w:r>
          </w:p>
        </w:tc>
        <w:tc>
          <w:tcPr>
            <w:tcW w:w="107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0.00</w:t>
            </w:r>
          </w:p>
        </w:tc>
        <w:tc>
          <w:tcPr>
            <w:tcW w:w="142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sz w:val="22"/>
                <w:szCs w:val="22"/>
              </w:rPr>
            </w:pPr>
            <w:r>
              <w:rPr>
                <w:rFonts w:hint="eastAsia" w:ascii="宋体" w:hAnsi="宋体" w:eastAsia="宋体" w:cs="宋体"/>
                <w:sz w:val="22"/>
                <w:szCs w:val="22"/>
              </w:rPr>
              <w:t>0.00</w:t>
            </w:r>
          </w:p>
        </w:tc>
        <w:tc>
          <w:tcPr>
            <w:tcW w:w="109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sz w:val="22"/>
                <w:szCs w:val="22"/>
              </w:rPr>
            </w:pPr>
            <w:r>
              <w:rPr>
                <w:rFonts w:hint="eastAsia" w:ascii="宋体" w:hAnsi="宋体" w:eastAsia="宋体" w:cs="宋体"/>
                <w:sz w:val="22"/>
                <w:szCs w:val="22"/>
              </w:rPr>
              <w:t>0.00</w:t>
            </w:r>
          </w:p>
        </w:tc>
        <w:tc>
          <w:tcPr>
            <w:tcW w:w="11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sz w:val="22"/>
                <w:szCs w:val="22"/>
              </w:rPr>
            </w:pPr>
            <w:r>
              <w:rPr>
                <w:rFonts w:hint="eastAsia" w:ascii="宋体" w:hAnsi="宋体" w:eastAsia="宋体" w:cs="宋体"/>
                <w:sz w:val="22"/>
                <w:szCs w:val="22"/>
              </w:rPr>
              <w:t>0.00</w:t>
            </w:r>
          </w:p>
        </w:tc>
        <w:tc>
          <w:tcPr>
            <w:tcW w:w="113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sz w:val="22"/>
                <w:szCs w:val="22"/>
              </w:rPr>
            </w:pPr>
            <w:r>
              <w:rPr>
                <w:rFonts w:ascii="宋体" w:hAnsi="宋体" w:eastAsia="宋体" w:cs="宋体"/>
                <w:sz w:val="22"/>
                <w:szCs w:val="22"/>
              </w:rPr>
              <w:t>0.00</w:t>
            </w:r>
          </w:p>
        </w:tc>
        <w:tc>
          <w:tcPr>
            <w:tcW w:w="104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0.00</w:t>
            </w:r>
          </w:p>
        </w:tc>
        <w:tc>
          <w:tcPr>
            <w:tcW w:w="1066"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0.00</w:t>
            </w:r>
          </w:p>
        </w:tc>
        <w:tc>
          <w:tcPr>
            <w:tcW w:w="116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sz w:val="22"/>
                <w:szCs w:val="22"/>
              </w:rPr>
            </w:pPr>
            <w:r>
              <w:rPr>
                <w:rFonts w:hint="eastAsia" w:ascii="宋体" w:hAnsi="宋体" w:eastAsia="宋体" w:cs="宋体"/>
                <w:sz w:val="22"/>
                <w:szCs w:val="22"/>
              </w:rPr>
              <w:t>0.00</w:t>
            </w:r>
          </w:p>
        </w:tc>
        <w:tc>
          <w:tcPr>
            <w:tcW w:w="105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sz w:val="22"/>
                <w:szCs w:val="22"/>
              </w:rPr>
            </w:pPr>
            <w:r>
              <w:rPr>
                <w:rFonts w:hint="eastAsia" w:ascii="宋体" w:hAnsi="宋体" w:eastAsia="宋体" w:cs="宋体"/>
                <w:sz w:val="22"/>
                <w:szCs w:val="22"/>
              </w:rPr>
              <w:t>0.00</w:t>
            </w:r>
          </w:p>
        </w:tc>
        <w:tc>
          <w:tcPr>
            <w:tcW w:w="1148"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sz w:val="22"/>
                <w:szCs w:val="22"/>
              </w:rPr>
            </w:pPr>
            <w:r>
              <w:rPr>
                <w:rFonts w:hint="eastAsia" w:ascii="宋体" w:hAnsi="宋体" w:eastAsia="宋体" w:cs="宋体"/>
                <w:sz w:val="22"/>
                <w:szCs w:val="22"/>
              </w:rPr>
              <w:t>0.00</w:t>
            </w:r>
          </w:p>
        </w:tc>
        <w:tc>
          <w:tcPr>
            <w:tcW w:w="1133" w:type="dxa"/>
            <w:tcBorders>
              <w:top w:val="nil"/>
              <w:left w:val="nil"/>
              <w:bottom w:val="single" w:color="000000" w:sz="4" w:space="0"/>
              <w:right w:val="single" w:color="000000" w:sz="4" w:space="0"/>
            </w:tcBorders>
            <w:shd w:val="clear" w:color="auto" w:fill="auto"/>
            <w:noWrap/>
          </w:tcPr>
          <w:p>
            <w:pPr>
              <w:jc w:val="right"/>
            </w:pPr>
            <w:r>
              <w:t>0.00</w:t>
            </w:r>
          </w:p>
        </w:tc>
        <w:tc>
          <w:tcPr>
            <w:tcW w:w="1073" w:type="dxa"/>
            <w:tcBorders>
              <w:top w:val="nil"/>
              <w:left w:val="nil"/>
              <w:bottom w:val="single" w:color="000000" w:sz="4" w:space="0"/>
              <w:right w:val="single" w:color="000000" w:sz="4" w:space="0"/>
            </w:tcBorders>
            <w:shd w:val="clear" w:color="auto" w:fill="auto"/>
            <w:noWrap/>
          </w:tcPr>
          <w:p>
            <w:pPr>
              <w:jc w:val="right"/>
            </w:pPr>
            <w:r>
              <w:rPr>
                <w:rFonts w:hint="eastAsia" w:ascii="宋体" w:hAnsi="宋体" w:eastAsia="宋体" w:cs="宋体"/>
                <w:kern w:val="0"/>
                <w:sz w:val="22"/>
                <w:szCs w:val="22"/>
              </w:rPr>
              <w:t>0.00</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widowControl/>
              <w:jc w:val="left"/>
              <w:textAlignment w:val="center"/>
              <w:rPr>
                <w:rFonts w:ascii="宋体" w:hAnsi="宋体" w:eastAsia="宋体" w:cs="宋体"/>
                <w:kern w:val="0"/>
                <w:sz w:val="22"/>
                <w:szCs w:val="22"/>
              </w:rPr>
            </w:pPr>
            <w:r>
              <w:rPr>
                <w:rFonts w:hint="eastAsia" w:ascii="宋体" w:hAnsi="宋体" w:eastAsia="宋体" w:cs="宋体"/>
                <w:kern w:val="0"/>
                <w:sz w:val="22"/>
                <w:szCs w:val="22"/>
              </w:rPr>
              <w:t>注：本表反映部门本年度“三公”经费支出预决算情况。其中，预算数为“三公”经费全年预算数，反映按规定程序调整后的预算数；决算数是包括当年一般公共预算财政拨款和以前年度结转资金安排的实际支出。</w:t>
            </w:r>
          </w:p>
          <w:p>
            <w:pPr>
              <w:widowControl/>
              <w:jc w:val="left"/>
              <w:textAlignment w:val="center"/>
              <w:rPr>
                <w:rFonts w:ascii="宋体" w:hAnsi="宋体" w:eastAsia="宋体" w:cs="宋体"/>
                <w:kern w:val="0"/>
                <w:sz w:val="22"/>
                <w:szCs w:val="22"/>
              </w:rPr>
            </w:pPr>
            <w:r>
              <w:rPr>
                <w:rFonts w:hint="eastAsia" w:ascii="宋体" w:hAnsi="宋体" w:eastAsia="宋体" w:cs="宋体"/>
                <w:szCs w:val="21"/>
              </w:rPr>
              <w:t>本部门</w:t>
            </w:r>
            <w:r>
              <w:rPr>
                <w:rFonts w:ascii="Times New Roman" w:hAnsi="Times New Roman" w:eastAsia="宋体" w:cs="Times New Roman"/>
                <w:szCs w:val="21"/>
              </w:rPr>
              <w:t>2022</w:t>
            </w:r>
            <w:r>
              <w:rPr>
                <w:rFonts w:hint="eastAsia" w:ascii="宋体" w:hAnsi="宋体" w:eastAsia="宋体" w:cs="宋体"/>
                <w:szCs w:val="21"/>
              </w:rPr>
              <w:t xml:space="preserve">年度没有财政拨款“三公”经费收入，也没有财政拨款“三公”经费安排的支出，故本表无数据 </w:t>
            </w:r>
          </w:p>
        </w:tc>
      </w:tr>
    </w:tbl>
    <w:p>
      <w:pPr>
        <w:ind w:firstLine="420"/>
        <w:jc w:val="left"/>
        <w:rPr>
          <w:rFonts w:ascii="仿宋" w:hAnsi="仿宋" w:eastAsia="仿宋" w:cs="仿宋"/>
          <w:sz w:val="24"/>
        </w:rPr>
        <w:sectPr>
          <w:pgSz w:w="16838" w:h="11906" w:orient="landscape"/>
          <w:pgMar w:top="1418" w:right="1440" w:bottom="1418" w:left="1440" w:header="851" w:footer="992" w:gutter="0"/>
          <w:cols w:space="425" w:num="1"/>
          <w:docGrid w:type="lines" w:linePitch="312" w:charSpace="0"/>
        </w:sectPr>
      </w:pPr>
    </w:p>
    <w:p>
      <w:pPr>
        <w:jc w:val="left"/>
        <w:rPr>
          <w:rFonts w:ascii="仿宋" w:hAnsi="仿宋" w:eastAsia="仿宋" w:cs="仿宋"/>
          <w:sz w:val="24"/>
        </w:rPr>
      </w:pPr>
    </w:p>
    <w:p>
      <w:pPr>
        <w:jc w:val="center"/>
        <w:rPr>
          <w:rFonts w:ascii="仿宋" w:hAnsi="仿宋" w:eastAsia="仿宋" w:cs="仿宋"/>
          <w:sz w:val="32"/>
          <w:szCs w:val="32"/>
        </w:rPr>
      </w:pPr>
      <w:r>
        <w:rPr>
          <w:rFonts w:hint="eastAsia" w:ascii="黑体" w:hAnsi="黑体" w:eastAsia="黑体" w:cs="黑体"/>
          <w:sz w:val="32"/>
          <w:szCs w:val="32"/>
        </w:rPr>
        <w:t>第三部分：</w:t>
      </w:r>
      <w:r>
        <w:rPr>
          <w:rFonts w:ascii="黑体" w:hAnsi="黑体" w:eastAsia="黑体" w:cs="黑体"/>
          <w:sz w:val="32"/>
        </w:rPr>
        <w:t>环江毛南族自治县第二幼儿园</w:t>
      </w:r>
      <w:r>
        <w:rPr>
          <w:rFonts w:hint="eastAsia" w:ascii="黑体" w:hAnsi="黑体" w:eastAsia="黑体" w:cs="黑体"/>
          <w:sz w:val="32"/>
          <w:szCs w:val="32"/>
        </w:rPr>
        <w:t>2022年度部门决算情况说明</w:t>
      </w:r>
    </w:p>
    <w:p>
      <w:pPr>
        <w:jc w:val="left"/>
        <w:rPr>
          <w:rFonts w:ascii="黑体" w:hAnsi="黑体" w:eastAsia="黑体" w:cs="黑体"/>
          <w:sz w:val="32"/>
          <w:szCs w:val="32"/>
        </w:rPr>
      </w:pPr>
      <w:r>
        <w:rPr>
          <w:rFonts w:hint="eastAsia" w:ascii="黑体" w:hAnsi="黑体" w:eastAsia="黑体" w:cs="黑体"/>
          <w:sz w:val="32"/>
          <w:szCs w:val="32"/>
        </w:rPr>
        <w:t>一、2022年度收入支出决算总体情况</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（一）本部门2022年度总收入</w:t>
      </w:r>
      <w:r>
        <w:rPr>
          <w:rFonts w:ascii="仿宋" w:hAnsi="仿宋" w:eastAsia="仿宋" w:cs="仿宋"/>
          <w:sz w:val="32"/>
        </w:rPr>
        <w:t>445.33</w:t>
      </w:r>
      <w:r>
        <w:rPr>
          <w:rFonts w:hint="eastAsia" w:ascii="仿宋" w:hAnsi="仿宋" w:eastAsia="仿宋" w:cs="仿宋"/>
          <w:sz w:val="32"/>
          <w:szCs w:val="32"/>
        </w:rPr>
        <w:t>万元，较2021年度决算数</w:t>
      </w:r>
      <w:r>
        <w:rPr>
          <w:rFonts w:ascii="仿宋" w:hAnsi="仿宋" w:eastAsia="仿宋" w:cs="仿宋"/>
          <w:sz w:val="32"/>
        </w:rPr>
        <w:t>增加96.35</w:t>
      </w:r>
      <w:r>
        <w:rPr>
          <w:rFonts w:hint="eastAsia" w:ascii="仿宋" w:hAnsi="仿宋" w:eastAsia="仿宋" w:cs="仿宋"/>
          <w:sz w:val="32"/>
          <w:szCs w:val="32"/>
        </w:rPr>
        <w:t>万元，</w:t>
      </w:r>
      <w:r>
        <w:rPr>
          <w:rFonts w:ascii="仿宋" w:hAnsi="仿宋" w:eastAsia="仿宋" w:cs="仿宋"/>
          <w:sz w:val="32"/>
        </w:rPr>
        <w:t>增长27.61%</w:t>
      </w:r>
      <w:r>
        <w:rPr>
          <w:rFonts w:hint="eastAsia" w:ascii="仿宋" w:hAnsi="仿宋" w:eastAsia="仿宋" w:cs="仿宋"/>
          <w:sz w:val="32"/>
          <w:szCs w:val="32"/>
        </w:rPr>
        <w:t>，其中本年收入</w:t>
      </w:r>
      <w:r>
        <w:rPr>
          <w:rFonts w:ascii="仿宋" w:hAnsi="仿宋" w:eastAsia="仿宋" w:cs="仿宋"/>
          <w:sz w:val="32"/>
        </w:rPr>
        <w:t>445.33</w:t>
      </w:r>
      <w:r>
        <w:rPr>
          <w:rFonts w:hint="eastAsia" w:ascii="仿宋" w:hAnsi="仿宋" w:eastAsia="仿宋" w:cs="仿宋"/>
          <w:sz w:val="32"/>
          <w:szCs w:val="32"/>
        </w:rPr>
        <w:t>万元。收入具体情况如下。</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1.一般公共预算财政拨款收入</w:t>
      </w:r>
      <w:r>
        <w:rPr>
          <w:rFonts w:ascii="仿宋" w:hAnsi="仿宋" w:eastAsia="仿宋" w:cs="仿宋"/>
          <w:sz w:val="32"/>
        </w:rPr>
        <w:t>445.33</w:t>
      </w:r>
      <w:r>
        <w:rPr>
          <w:rFonts w:hint="eastAsia" w:ascii="仿宋" w:hAnsi="仿宋" w:eastAsia="仿宋" w:cs="仿宋"/>
          <w:sz w:val="32"/>
          <w:szCs w:val="32"/>
        </w:rPr>
        <w:t>万元，为环江毛南族自治县本级财政当年拨付的资金。较2021年度决算数</w:t>
      </w:r>
      <w:r>
        <w:rPr>
          <w:rFonts w:ascii="仿宋" w:hAnsi="仿宋" w:eastAsia="仿宋" w:cs="仿宋"/>
          <w:sz w:val="32"/>
        </w:rPr>
        <w:t>增加131.44</w:t>
      </w:r>
      <w:r>
        <w:rPr>
          <w:rFonts w:hint="eastAsia" w:ascii="仿宋" w:hAnsi="仿宋" w:eastAsia="仿宋" w:cs="仿宋"/>
          <w:sz w:val="32"/>
          <w:szCs w:val="32"/>
        </w:rPr>
        <w:t>万元，</w:t>
      </w:r>
      <w:r>
        <w:rPr>
          <w:rFonts w:ascii="仿宋" w:hAnsi="仿宋" w:eastAsia="仿宋" w:cs="仿宋"/>
          <w:sz w:val="32"/>
        </w:rPr>
        <w:t>增长41.87%</w:t>
      </w:r>
      <w:r>
        <w:rPr>
          <w:rFonts w:hint="eastAsia" w:ascii="仿宋" w:hAnsi="仿宋" w:eastAsia="仿宋" w:cs="仿宋"/>
          <w:sz w:val="32"/>
          <w:szCs w:val="32"/>
        </w:rPr>
        <w:t>，主要原因：本部门2</w:t>
      </w:r>
      <w:r>
        <w:rPr>
          <w:rFonts w:ascii="仿宋" w:hAnsi="仿宋" w:eastAsia="仿宋" w:cs="仿宋"/>
          <w:sz w:val="32"/>
          <w:szCs w:val="32"/>
        </w:rPr>
        <w:t>022</w:t>
      </w:r>
      <w:r>
        <w:rPr>
          <w:rFonts w:hint="eastAsia" w:ascii="仿宋" w:hAnsi="仿宋" w:eastAsia="仿宋" w:cs="仿宋"/>
          <w:sz w:val="32"/>
          <w:szCs w:val="32"/>
        </w:rPr>
        <w:t>年度新公招8名教师控制数；2</w:t>
      </w:r>
      <w:r>
        <w:rPr>
          <w:rFonts w:ascii="仿宋" w:hAnsi="仿宋" w:eastAsia="仿宋" w:cs="仿宋"/>
          <w:sz w:val="32"/>
          <w:szCs w:val="32"/>
        </w:rPr>
        <w:t>022</w:t>
      </w:r>
      <w:r>
        <w:rPr>
          <w:rFonts w:hint="eastAsia" w:ascii="仿宋" w:hAnsi="仿宋" w:eastAsia="仿宋" w:cs="仿宋"/>
          <w:sz w:val="32"/>
          <w:szCs w:val="32"/>
        </w:rPr>
        <w:t>年度调整工资标准。</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2.政府性基金预算财政拨款收入</w:t>
      </w:r>
      <w:r>
        <w:rPr>
          <w:rFonts w:ascii="仿宋" w:hAnsi="仿宋" w:eastAsia="仿宋" w:cs="仿宋"/>
          <w:sz w:val="32"/>
        </w:rPr>
        <w:t>0.00</w:t>
      </w:r>
      <w:r>
        <w:rPr>
          <w:rFonts w:hint="eastAsia" w:ascii="仿宋" w:hAnsi="仿宋" w:eastAsia="仿宋" w:cs="仿宋"/>
          <w:sz w:val="32"/>
          <w:szCs w:val="32"/>
        </w:rPr>
        <w:t>万元，为环江毛南族自治县本级财政当年拨付的资金。较2021年度决算数</w:t>
      </w:r>
      <w:r>
        <w:rPr>
          <w:rFonts w:ascii="仿宋" w:hAnsi="仿宋" w:eastAsia="仿宋" w:cs="仿宋"/>
          <w:sz w:val="32"/>
        </w:rPr>
        <w:t>增加0.00</w:t>
      </w:r>
      <w:r>
        <w:rPr>
          <w:rFonts w:hint="eastAsia" w:ascii="仿宋" w:hAnsi="仿宋" w:eastAsia="仿宋" w:cs="仿宋"/>
          <w:sz w:val="32"/>
          <w:szCs w:val="32"/>
        </w:rPr>
        <w:t>万元，</w:t>
      </w:r>
      <w:r>
        <w:rPr>
          <w:rFonts w:ascii="仿宋" w:hAnsi="仿宋" w:eastAsia="仿宋" w:cs="仿宋"/>
          <w:sz w:val="32"/>
        </w:rPr>
        <w:t>增长0%</w:t>
      </w:r>
      <w:r>
        <w:rPr>
          <w:rFonts w:hint="eastAsia" w:ascii="仿宋" w:hAnsi="仿宋" w:eastAsia="仿宋" w:cs="仿宋"/>
          <w:sz w:val="32"/>
          <w:szCs w:val="32"/>
        </w:rPr>
        <w:t>，主要原因：</w:t>
      </w:r>
      <w:r>
        <w:rPr>
          <w:rFonts w:hint="eastAsia" w:ascii="仿宋" w:hAnsi="仿宋" w:eastAsia="仿宋" w:cs="Times New Roman"/>
          <w:sz w:val="32"/>
          <w:szCs w:val="32"/>
        </w:rPr>
        <w:t>本单位2022年没有政府性基金预算财政拨款资金收入。</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3.国有资本经营预算财政拨款收入</w:t>
      </w:r>
      <w:r>
        <w:rPr>
          <w:rFonts w:ascii="仿宋" w:hAnsi="仿宋" w:eastAsia="仿宋" w:cs="仿宋"/>
          <w:sz w:val="32"/>
        </w:rPr>
        <w:t>0.00</w:t>
      </w:r>
      <w:r>
        <w:rPr>
          <w:rFonts w:hint="eastAsia" w:ascii="仿宋" w:hAnsi="仿宋" w:eastAsia="仿宋" w:cs="仿宋"/>
          <w:sz w:val="32"/>
          <w:szCs w:val="32"/>
        </w:rPr>
        <w:t>万元。为环江毛南族自治县本级财政当年拨付的资金。较2021年度决算数</w:t>
      </w:r>
      <w:r>
        <w:rPr>
          <w:rFonts w:ascii="仿宋" w:hAnsi="仿宋" w:eastAsia="仿宋" w:cs="仿宋"/>
          <w:sz w:val="32"/>
        </w:rPr>
        <w:t>增加0.00</w:t>
      </w:r>
      <w:r>
        <w:rPr>
          <w:rFonts w:hint="eastAsia" w:ascii="仿宋" w:hAnsi="仿宋" w:eastAsia="仿宋" w:cs="仿宋"/>
          <w:sz w:val="32"/>
          <w:szCs w:val="32"/>
        </w:rPr>
        <w:t>万元,</w:t>
      </w:r>
      <w:r>
        <w:rPr>
          <w:rFonts w:ascii="仿宋" w:hAnsi="仿宋" w:eastAsia="仿宋" w:cs="仿宋"/>
          <w:sz w:val="32"/>
        </w:rPr>
        <w:t>增长0%</w:t>
      </w:r>
      <w:r>
        <w:rPr>
          <w:rFonts w:hint="eastAsia" w:ascii="仿宋" w:hAnsi="仿宋" w:eastAsia="仿宋" w:cs="仿宋"/>
          <w:sz w:val="32"/>
          <w:szCs w:val="32"/>
        </w:rPr>
        <w:t>，主要原因是：本单位2022年度无国有资本经营预算财政拨款收入。</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4.上级补助收入</w:t>
      </w:r>
      <w:r>
        <w:rPr>
          <w:rFonts w:ascii="仿宋" w:hAnsi="仿宋" w:eastAsia="仿宋" w:cs="仿宋"/>
          <w:sz w:val="32"/>
        </w:rPr>
        <w:t>0.00</w:t>
      </w:r>
      <w:r>
        <w:rPr>
          <w:rFonts w:hint="eastAsia" w:ascii="仿宋" w:hAnsi="仿宋" w:eastAsia="仿宋" w:cs="仿宋"/>
          <w:sz w:val="32"/>
          <w:szCs w:val="32"/>
        </w:rPr>
        <w:t>万元，为上级部门当年拨付的资金。较2021年度决算数</w:t>
      </w:r>
      <w:r>
        <w:rPr>
          <w:rFonts w:ascii="仿宋" w:hAnsi="仿宋" w:eastAsia="仿宋" w:cs="仿宋"/>
          <w:sz w:val="32"/>
        </w:rPr>
        <w:t>增加0.00</w:t>
      </w:r>
      <w:r>
        <w:rPr>
          <w:rFonts w:hint="eastAsia" w:ascii="仿宋" w:hAnsi="仿宋" w:eastAsia="仿宋" w:cs="仿宋"/>
          <w:sz w:val="32"/>
          <w:szCs w:val="32"/>
        </w:rPr>
        <w:t>万元,</w:t>
      </w:r>
      <w:r>
        <w:rPr>
          <w:rFonts w:ascii="仿宋" w:hAnsi="仿宋" w:eastAsia="仿宋" w:cs="仿宋"/>
          <w:sz w:val="32"/>
        </w:rPr>
        <w:t>增长0%</w:t>
      </w:r>
      <w:r>
        <w:rPr>
          <w:rFonts w:hint="eastAsia" w:ascii="仿宋" w:hAnsi="仿宋" w:eastAsia="仿宋" w:cs="仿宋"/>
          <w:sz w:val="32"/>
          <w:szCs w:val="32"/>
        </w:rPr>
        <w:t>，主要原因是：本单位没有上级补助收入。</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5.事业收入</w:t>
      </w:r>
      <w:r>
        <w:rPr>
          <w:rFonts w:ascii="仿宋" w:hAnsi="仿宋" w:eastAsia="仿宋" w:cs="仿宋"/>
          <w:sz w:val="32"/>
        </w:rPr>
        <w:t>0.00</w:t>
      </w:r>
      <w:r>
        <w:rPr>
          <w:rFonts w:hint="eastAsia" w:ascii="仿宋" w:hAnsi="仿宋" w:eastAsia="仿宋" w:cs="仿宋"/>
          <w:sz w:val="32"/>
          <w:szCs w:val="32"/>
        </w:rPr>
        <w:t>万元，为事业单位开展业务活动取得的收入。较2021年度决算数</w:t>
      </w:r>
      <w:r>
        <w:rPr>
          <w:rFonts w:ascii="仿宋" w:hAnsi="仿宋" w:eastAsia="仿宋" w:cs="仿宋"/>
          <w:sz w:val="32"/>
        </w:rPr>
        <w:t>增加0.00</w:t>
      </w:r>
      <w:r>
        <w:rPr>
          <w:rFonts w:hint="eastAsia" w:ascii="仿宋" w:hAnsi="仿宋" w:eastAsia="仿宋" w:cs="仿宋"/>
          <w:sz w:val="32"/>
          <w:szCs w:val="32"/>
        </w:rPr>
        <w:t>万元,</w:t>
      </w:r>
      <w:r>
        <w:rPr>
          <w:rFonts w:ascii="仿宋" w:hAnsi="仿宋" w:eastAsia="仿宋" w:cs="仿宋"/>
          <w:sz w:val="32"/>
        </w:rPr>
        <w:t>增长0%</w:t>
      </w:r>
      <w:r>
        <w:rPr>
          <w:rFonts w:hint="eastAsia" w:ascii="仿宋" w:hAnsi="仿宋" w:eastAsia="仿宋" w:cs="仿宋"/>
          <w:sz w:val="32"/>
          <w:szCs w:val="32"/>
        </w:rPr>
        <w:t>，主要原因是：本单位没有事业收入。</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6.经营收入0.00万,为事业单位在业务活动之外开展非独立核算经营活动取得的收入。较2021年度决算数</w:t>
      </w:r>
      <w:r>
        <w:rPr>
          <w:rFonts w:ascii="仿宋" w:hAnsi="仿宋" w:eastAsia="仿宋" w:cs="仿宋"/>
          <w:sz w:val="32"/>
        </w:rPr>
        <w:t>增加0.00</w:t>
      </w:r>
      <w:r>
        <w:rPr>
          <w:rFonts w:hint="eastAsia" w:ascii="仿宋" w:hAnsi="仿宋" w:eastAsia="仿宋" w:cs="仿宋"/>
          <w:sz w:val="32"/>
          <w:szCs w:val="32"/>
        </w:rPr>
        <w:t>万元，</w:t>
      </w:r>
      <w:r>
        <w:rPr>
          <w:rFonts w:ascii="仿宋" w:hAnsi="仿宋" w:eastAsia="仿宋" w:cs="仿宋"/>
          <w:sz w:val="32"/>
        </w:rPr>
        <w:t>增长0%</w:t>
      </w:r>
      <w:r>
        <w:rPr>
          <w:rFonts w:hint="eastAsia" w:ascii="仿宋" w:hAnsi="仿宋" w:eastAsia="仿宋" w:cs="仿宋"/>
          <w:sz w:val="32"/>
          <w:szCs w:val="32"/>
        </w:rPr>
        <w:t>，主要原因是：本单位没有经营性收入。</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7.附属单位上缴收入</w:t>
      </w:r>
      <w:r>
        <w:rPr>
          <w:rFonts w:ascii="仿宋" w:hAnsi="仿宋" w:eastAsia="仿宋" w:cs="仿宋"/>
          <w:sz w:val="32"/>
        </w:rPr>
        <w:t>0.00</w:t>
      </w:r>
      <w:r>
        <w:rPr>
          <w:rFonts w:hint="eastAsia" w:ascii="仿宋" w:hAnsi="仿宋" w:eastAsia="仿宋" w:cs="仿宋"/>
          <w:sz w:val="32"/>
          <w:szCs w:val="32"/>
        </w:rPr>
        <w:t>万元。较2021年度决算数</w:t>
      </w:r>
      <w:r>
        <w:rPr>
          <w:rFonts w:ascii="仿宋" w:hAnsi="仿宋" w:eastAsia="仿宋" w:cs="仿宋"/>
          <w:sz w:val="32"/>
        </w:rPr>
        <w:t>增加0.00</w:t>
      </w:r>
      <w:r>
        <w:rPr>
          <w:rFonts w:hint="eastAsia" w:ascii="仿宋" w:hAnsi="仿宋" w:eastAsia="仿宋" w:cs="仿宋"/>
          <w:sz w:val="32"/>
          <w:szCs w:val="32"/>
        </w:rPr>
        <w:t>万元，</w:t>
      </w:r>
      <w:r>
        <w:rPr>
          <w:rFonts w:ascii="仿宋" w:hAnsi="仿宋" w:eastAsia="仿宋" w:cs="仿宋"/>
          <w:sz w:val="32"/>
        </w:rPr>
        <w:t>增长0%</w:t>
      </w:r>
      <w:r>
        <w:rPr>
          <w:rFonts w:hint="eastAsia" w:ascii="仿宋" w:hAnsi="仿宋" w:eastAsia="仿宋" w:cs="仿宋"/>
          <w:sz w:val="32"/>
          <w:szCs w:val="32"/>
        </w:rPr>
        <w:t>，主要原因是：本单位无附属单位上缴收入。</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8.其他收入</w:t>
      </w:r>
      <w:r>
        <w:rPr>
          <w:rFonts w:ascii="仿宋" w:hAnsi="仿宋" w:eastAsia="仿宋" w:cs="仿宋"/>
          <w:sz w:val="32"/>
        </w:rPr>
        <w:t>0.00</w:t>
      </w:r>
      <w:r>
        <w:rPr>
          <w:rFonts w:hint="eastAsia" w:ascii="仿宋" w:hAnsi="仿宋" w:eastAsia="仿宋" w:cs="仿宋"/>
          <w:sz w:val="32"/>
          <w:szCs w:val="32"/>
        </w:rPr>
        <w:t>万元,为预算单位在“财政拨款收入”“事业收入”“经营收入”之外取得的收入。较2021年度决算数</w:t>
      </w:r>
      <w:r>
        <w:rPr>
          <w:rFonts w:ascii="仿宋" w:hAnsi="仿宋" w:eastAsia="仿宋" w:cs="仿宋"/>
          <w:sz w:val="32"/>
        </w:rPr>
        <w:t>增加0.00</w:t>
      </w:r>
      <w:r>
        <w:rPr>
          <w:rFonts w:hint="eastAsia" w:ascii="仿宋" w:hAnsi="仿宋" w:eastAsia="仿宋" w:cs="仿宋"/>
          <w:sz w:val="32"/>
          <w:szCs w:val="32"/>
        </w:rPr>
        <w:t>万元，</w:t>
      </w:r>
      <w:r>
        <w:rPr>
          <w:rFonts w:ascii="仿宋" w:hAnsi="仿宋" w:eastAsia="仿宋" w:cs="仿宋"/>
          <w:sz w:val="32"/>
        </w:rPr>
        <w:t>增长0%</w:t>
      </w:r>
      <w:r>
        <w:rPr>
          <w:rFonts w:hint="eastAsia" w:ascii="仿宋" w:hAnsi="仿宋" w:eastAsia="仿宋" w:cs="仿宋"/>
          <w:sz w:val="32"/>
          <w:szCs w:val="32"/>
        </w:rPr>
        <w:t>，主要原因是：本单位没有其他收入。</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9.使用非财政拨款结余</w:t>
      </w:r>
      <w:r>
        <w:rPr>
          <w:rFonts w:ascii="仿宋" w:hAnsi="仿宋" w:eastAsia="仿宋" w:cs="仿宋"/>
          <w:sz w:val="32"/>
        </w:rPr>
        <w:t>0.00</w:t>
      </w:r>
      <w:r>
        <w:rPr>
          <w:rFonts w:hint="eastAsia" w:ascii="仿宋" w:hAnsi="仿宋" w:eastAsia="仿宋" w:cs="仿宋"/>
          <w:sz w:val="32"/>
          <w:szCs w:val="32"/>
        </w:rPr>
        <w:t>万元,主要是所属事业单位在当年的“财政拨款收入”“事业收入”“经营收入”及“其他收入”不能保证其支出的情况下，使用以前年度积累的非财政拨款结余弥补本年度收支缺口的资金。较2021年度决算数</w:t>
      </w:r>
      <w:r>
        <w:rPr>
          <w:rFonts w:ascii="仿宋" w:hAnsi="仿宋" w:eastAsia="仿宋" w:cs="仿宋"/>
          <w:sz w:val="32"/>
        </w:rPr>
        <w:t>增加0.00</w:t>
      </w:r>
      <w:r>
        <w:rPr>
          <w:rFonts w:hint="eastAsia" w:ascii="仿宋" w:hAnsi="仿宋" w:eastAsia="仿宋" w:cs="仿宋"/>
          <w:sz w:val="32"/>
          <w:szCs w:val="32"/>
        </w:rPr>
        <w:t>万元，</w:t>
      </w:r>
      <w:r>
        <w:rPr>
          <w:rFonts w:ascii="仿宋" w:hAnsi="仿宋" w:eastAsia="仿宋" w:cs="仿宋"/>
          <w:sz w:val="32"/>
        </w:rPr>
        <w:t>增长0%</w:t>
      </w:r>
      <w:r>
        <w:rPr>
          <w:rFonts w:hint="eastAsia" w:ascii="仿宋" w:hAnsi="仿宋" w:eastAsia="仿宋" w:cs="仿宋"/>
          <w:sz w:val="32"/>
          <w:szCs w:val="32"/>
        </w:rPr>
        <w:t>，主要原因是：本单位没有非财政拨款结余。</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10.上年结转和结余</w:t>
      </w:r>
      <w:r>
        <w:rPr>
          <w:rFonts w:ascii="仿宋" w:hAnsi="仿宋" w:eastAsia="仿宋" w:cs="仿宋"/>
          <w:sz w:val="32"/>
        </w:rPr>
        <w:t>0.00</w:t>
      </w:r>
      <w:r>
        <w:rPr>
          <w:rFonts w:hint="eastAsia" w:ascii="仿宋" w:hAnsi="仿宋" w:eastAsia="仿宋" w:cs="仿宋"/>
          <w:sz w:val="32"/>
          <w:szCs w:val="32"/>
        </w:rPr>
        <w:t>万元，为以前年度支出预算因客观条件变化未执行完毕、结转到本年度按有关规定继续使用的资金。较2021年度决算数</w:t>
      </w:r>
      <w:r>
        <w:rPr>
          <w:rFonts w:ascii="仿宋" w:hAnsi="仿宋" w:eastAsia="仿宋" w:cs="仿宋"/>
          <w:sz w:val="32"/>
        </w:rPr>
        <w:t>减少35.09</w:t>
      </w:r>
      <w:r>
        <w:rPr>
          <w:rFonts w:hint="eastAsia" w:ascii="仿宋" w:hAnsi="仿宋" w:eastAsia="仿宋" w:cs="仿宋"/>
          <w:sz w:val="32"/>
          <w:szCs w:val="32"/>
        </w:rPr>
        <w:t>万元，</w:t>
      </w:r>
      <w:r>
        <w:rPr>
          <w:rFonts w:ascii="仿宋" w:hAnsi="仿宋" w:eastAsia="仿宋" w:cs="仿宋"/>
          <w:sz w:val="32"/>
        </w:rPr>
        <w:t>下降100.00%</w:t>
      </w:r>
      <w:r>
        <w:rPr>
          <w:rFonts w:hint="eastAsia" w:ascii="仿宋" w:hAnsi="仿宋" w:eastAsia="仿宋" w:cs="仿宋"/>
          <w:sz w:val="32"/>
          <w:szCs w:val="32"/>
        </w:rPr>
        <w:t>，主要原因：部分项目已在本年执行完毕，不需要结转至下年继续执行。</w:t>
      </w:r>
    </w:p>
    <w:p>
      <w:pPr>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5076190" cy="3270885"/>
            <wp:effectExtent l="4445" t="4445" r="5715" b="2032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jc w:val="left"/>
        <w:rPr>
          <w:rFonts w:ascii="仿宋" w:hAnsi="仿宋" w:eastAsia="仿宋" w:cs="仿宋"/>
          <w:sz w:val="32"/>
          <w:szCs w:val="32"/>
        </w:rPr>
      </w:pPr>
      <w:r>
        <w:rPr>
          <w:rFonts w:hint="eastAsia" w:ascii="仿宋" w:hAnsi="仿宋" w:eastAsia="仿宋" w:cs="仿宋"/>
          <w:sz w:val="32"/>
          <w:szCs w:val="32"/>
        </w:rPr>
        <w:t>（二）本部门2022年度总支出</w:t>
      </w:r>
      <w:r>
        <w:rPr>
          <w:rFonts w:ascii="仿宋" w:hAnsi="仿宋" w:eastAsia="仿宋" w:cs="仿宋"/>
          <w:sz w:val="32"/>
        </w:rPr>
        <w:t>445.33</w:t>
      </w:r>
      <w:r>
        <w:rPr>
          <w:rFonts w:hint="eastAsia" w:ascii="仿宋" w:hAnsi="仿宋" w:eastAsia="仿宋" w:cs="仿宋"/>
          <w:sz w:val="32"/>
          <w:szCs w:val="32"/>
        </w:rPr>
        <w:t>万元，其中本年支出</w:t>
      </w:r>
      <w:r>
        <w:rPr>
          <w:rFonts w:ascii="仿宋" w:hAnsi="仿宋" w:eastAsia="仿宋" w:cs="仿宋"/>
          <w:sz w:val="32"/>
        </w:rPr>
        <w:t>445.33</w:t>
      </w:r>
      <w:r>
        <w:rPr>
          <w:rFonts w:hint="eastAsia" w:ascii="仿宋" w:hAnsi="仿宋" w:eastAsia="仿宋" w:cs="仿宋"/>
          <w:sz w:val="32"/>
          <w:szCs w:val="32"/>
        </w:rPr>
        <w:t>万元，较2021年度决算数</w:t>
      </w:r>
      <w:r>
        <w:rPr>
          <w:rFonts w:ascii="仿宋" w:hAnsi="仿宋" w:eastAsia="仿宋" w:cs="仿宋"/>
          <w:sz w:val="32"/>
        </w:rPr>
        <w:t>增加96.35</w:t>
      </w:r>
      <w:r>
        <w:rPr>
          <w:rFonts w:hint="eastAsia" w:ascii="仿宋" w:hAnsi="仿宋" w:eastAsia="仿宋" w:cs="仿宋"/>
          <w:sz w:val="32"/>
          <w:szCs w:val="32"/>
        </w:rPr>
        <w:t>万元，</w:t>
      </w:r>
      <w:r>
        <w:rPr>
          <w:rFonts w:ascii="仿宋" w:hAnsi="仿宋" w:eastAsia="仿宋" w:cs="仿宋"/>
          <w:sz w:val="32"/>
        </w:rPr>
        <w:t>增长27.61%</w:t>
      </w:r>
      <w:r>
        <w:rPr>
          <w:rFonts w:hint="eastAsia" w:ascii="仿宋" w:hAnsi="仿宋" w:eastAsia="仿宋" w:cs="仿宋"/>
          <w:sz w:val="32"/>
          <w:szCs w:val="32"/>
        </w:rPr>
        <w:t>。支出具体情况如下：</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1</w:t>
      </w:r>
      <w:r>
        <w:rPr>
          <w:rFonts w:ascii="仿宋" w:hAnsi="仿宋" w:eastAsia="仿宋" w:cs="仿宋"/>
          <w:sz w:val="32"/>
        </w:rPr>
        <w:t>.</w:t>
      </w:r>
      <w:r>
        <w:rPr>
          <w:rFonts w:hint="eastAsia" w:ascii="仿宋" w:hAnsi="仿宋" w:eastAsia="仿宋" w:cs="仿宋"/>
          <w:sz w:val="32"/>
          <w:szCs w:val="32"/>
        </w:rPr>
        <w:t>一般公共服务支出（201</w:t>
      </w:r>
      <w:r>
        <w:rPr>
          <w:rFonts w:ascii="Calibri" w:hAnsi="Calibri" w:eastAsia="宋体" w:cs="Times New Roman"/>
        </w:rPr>
        <w:t xml:space="preserve"> </w:t>
      </w:r>
      <w:r>
        <w:rPr>
          <w:rFonts w:hint="eastAsia" w:ascii="仿宋" w:hAnsi="仿宋" w:eastAsia="仿宋" w:cs="仿宋"/>
          <w:sz w:val="32"/>
          <w:szCs w:val="32"/>
        </w:rPr>
        <w:t>类）2.44万元：主要用于：教职工工会活动费。较2021年度决算数增加2.44万元，增长100%，主要原因是：本部门2</w:t>
      </w:r>
      <w:r>
        <w:rPr>
          <w:rFonts w:ascii="仿宋" w:hAnsi="仿宋" w:eastAsia="仿宋" w:cs="仿宋"/>
          <w:sz w:val="32"/>
          <w:szCs w:val="32"/>
        </w:rPr>
        <w:t>022</w:t>
      </w:r>
      <w:r>
        <w:rPr>
          <w:rFonts w:hint="eastAsia" w:ascii="仿宋" w:hAnsi="仿宋" w:eastAsia="仿宋" w:cs="仿宋"/>
          <w:sz w:val="32"/>
          <w:szCs w:val="32"/>
        </w:rPr>
        <w:t>年度新公招8名教师控制数。</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2</w:t>
      </w:r>
      <w:r>
        <w:rPr>
          <w:rFonts w:ascii="仿宋" w:hAnsi="仿宋" w:eastAsia="仿宋" w:cs="仿宋"/>
          <w:sz w:val="32"/>
        </w:rPr>
        <w:t>.</w:t>
      </w:r>
      <w:r>
        <w:rPr>
          <w:rFonts w:hint="eastAsia" w:ascii="仿宋" w:hAnsi="仿宋" w:eastAsia="仿宋" w:cs="仿宋"/>
          <w:sz w:val="32"/>
          <w:szCs w:val="32"/>
        </w:rPr>
        <w:t>教育支出（205</w:t>
      </w:r>
      <w:r>
        <w:rPr>
          <w:rFonts w:ascii="Calibri" w:hAnsi="Calibri" w:eastAsia="宋体" w:cs="Times New Roman"/>
        </w:rPr>
        <w:t xml:space="preserve"> </w:t>
      </w:r>
      <w:r>
        <w:rPr>
          <w:rFonts w:hint="eastAsia" w:ascii="仿宋" w:hAnsi="仿宋" w:eastAsia="仿宋" w:cs="仿宋"/>
          <w:sz w:val="32"/>
          <w:szCs w:val="32"/>
        </w:rPr>
        <w:t>类）381.11万元：主要用于：人员基本工资，商品服务支出。。较2021年度决算数增加85.18万元，增长28.78%，主要原因是：本部门2</w:t>
      </w:r>
      <w:r>
        <w:rPr>
          <w:rFonts w:ascii="仿宋" w:hAnsi="仿宋" w:eastAsia="仿宋" w:cs="仿宋"/>
          <w:sz w:val="32"/>
          <w:szCs w:val="32"/>
        </w:rPr>
        <w:t>022</w:t>
      </w:r>
      <w:r>
        <w:rPr>
          <w:rFonts w:hint="eastAsia" w:ascii="仿宋" w:hAnsi="仿宋" w:eastAsia="仿宋" w:cs="仿宋"/>
          <w:sz w:val="32"/>
          <w:szCs w:val="32"/>
        </w:rPr>
        <w:t>年度新公招8名教师控制数；2</w:t>
      </w:r>
      <w:r>
        <w:rPr>
          <w:rFonts w:ascii="仿宋" w:hAnsi="仿宋" w:eastAsia="仿宋" w:cs="仿宋"/>
          <w:sz w:val="32"/>
          <w:szCs w:val="32"/>
        </w:rPr>
        <w:t>022</w:t>
      </w:r>
      <w:r>
        <w:rPr>
          <w:rFonts w:hint="eastAsia" w:ascii="仿宋" w:hAnsi="仿宋" w:eastAsia="仿宋" w:cs="仿宋"/>
          <w:sz w:val="32"/>
          <w:szCs w:val="32"/>
        </w:rPr>
        <w:t>年度调整工资标准。</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3</w:t>
      </w:r>
      <w:r>
        <w:rPr>
          <w:rFonts w:ascii="仿宋" w:hAnsi="仿宋" w:eastAsia="仿宋" w:cs="仿宋"/>
          <w:sz w:val="32"/>
        </w:rPr>
        <w:t>.</w:t>
      </w:r>
      <w:r>
        <w:rPr>
          <w:rFonts w:hint="eastAsia" w:ascii="仿宋" w:hAnsi="仿宋" w:eastAsia="仿宋" w:cs="仿宋"/>
          <w:sz w:val="32"/>
          <w:szCs w:val="32"/>
        </w:rPr>
        <w:t>社会保障和就业支出（208</w:t>
      </w:r>
      <w:r>
        <w:rPr>
          <w:rFonts w:ascii="Calibri" w:hAnsi="Calibri" w:eastAsia="宋体" w:cs="Times New Roman"/>
        </w:rPr>
        <w:t xml:space="preserve"> </w:t>
      </w:r>
      <w:r>
        <w:rPr>
          <w:rFonts w:hint="eastAsia" w:ascii="仿宋" w:hAnsi="仿宋" w:eastAsia="仿宋" w:cs="仿宋"/>
          <w:sz w:val="32"/>
          <w:szCs w:val="32"/>
        </w:rPr>
        <w:t>类）18.82万元：主要用于：本单位2</w:t>
      </w:r>
      <w:r>
        <w:rPr>
          <w:rFonts w:ascii="仿宋" w:hAnsi="仿宋" w:eastAsia="仿宋" w:cs="仿宋"/>
          <w:sz w:val="32"/>
          <w:szCs w:val="32"/>
        </w:rPr>
        <w:t>022</w:t>
      </w:r>
      <w:r>
        <w:rPr>
          <w:rFonts w:hint="eastAsia" w:ascii="仿宋" w:hAnsi="仿宋" w:eastAsia="仿宋" w:cs="仿宋"/>
          <w:sz w:val="32"/>
          <w:szCs w:val="32"/>
        </w:rPr>
        <w:t>年度教职工基本养老保险缴费支出。较2021年度决算数增加2.15万元，增长12.90%，主要原因是：本部门2022年度新增8名公招教师控制数；2022年度调整缴费基数。</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4</w:t>
      </w:r>
      <w:r>
        <w:rPr>
          <w:rFonts w:ascii="仿宋" w:hAnsi="仿宋" w:eastAsia="仿宋" w:cs="仿宋"/>
          <w:sz w:val="32"/>
        </w:rPr>
        <w:t>.</w:t>
      </w:r>
      <w:r>
        <w:rPr>
          <w:rFonts w:hint="eastAsia" w:ascii="仿宋" w:hAnsi="仿宋" w:eastAsia="仿宋" w:cs="仿宋"/>
          <w:sz w:val="32"/>
          <w:szCs w:val="32"/>
        </w:rPr>
        <w:t>住房保障支出（221</w:t>
      </w:r>
      <w:r>
        <w:rPr>
          <w:rFonts w:ascii="Calibri" w:hAnsi="Calibri" w:eastAsia="宋体" w:cs="Times New Roman"/>
        </w:rPr>
        <w:t xml:space="preserve"> </w:t>
      </w:r>
      <w:r>
        <w:rPr>
          <w:rFonts w:hint="eastAsia" w:ascii="仿宋" w:hAnsi="仿宋" w:eastAsia="仿宋" w:cs="仿宋"/>
          <w:sz w:val="32"/>
          <w:szCs w:val="32"/>
        </w:rPr>
        <w:t>类）13.79万元：主要用于：本部门2</w:t>
      </w:r>
      <w:r>
        <w:rPr>
          <w:rFonts w:ascii="仿宋" w:hAnsi="仿宋" w:eastAsia="仿宋" w:cs="仿宋"/>
          <w:sz w:val="32"/>
          <w:szCs w:val="32"/>
        </w:rPr>
        <w:t>022</w:t>
      </w:r>
      <w:r>
        <w:rPr>
          <w:rFonts w:hint="eastAsia" w:ascii="仿宋" w:hAnsi="仿宋" w:eastAsia="仿宋" w:cs="仿宋"/>
          <w:sz w:val="32"/>
          <w:szCs w:val="32"/>
        </w:rPr>
        <w:t>年度教职工住房公积金支出。较2021年度决算数增加4.89万元，增长54.94%，主要原因是：本部门2022年度新增6名公招教师控制数；2022年度调整缴费基数。</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5</w:t>
      </w:r>
      <w:r>
        <w:rPr>
          <w:rFonts w:ascii="仿宋" w:hAnsi="仿宋" w:eastAsia="仿宋" w:cs="仿宋"/>
          <w:sz w:val="32"/>
        </w:rPr>
        <w:t>.</w:t>
      </w:r>
      <w:r>
        <w:rPr>
          <w:rFonts w:hint="eastAsia" w:ascii="仿宋" w:hAnsi="仿宋" w:eastAsia="仿宋" w:cs="仿宋"/>
          <w:sz w:val="32"/>
          <w:szCs w:val="32"/>
        </w:rPr>
        <w:t>其他支出（229</w:t>
      </w:r>
      <w:r>
        <w:rPr>
          <w:rFonts w:ascii="Calibri" w:hAnsi="Calibri" w:eastAsia="宋体" w:cs="Times New Roman"/>
        </w:rPr>
        <w:t xml:space="preserve"> </w:t>
      </w:r>
      <w:r>
        <w:rPr>
          <w:rFonts w:hint="eastAsia" w:ascii="仿宋" w:hAnsi="仿宋" w:eastAsia="仿宋" w:cs="仿宋"/>
          <w:sz w:val="32"/>
          <w:szCs w:val="32"/>
        </w:rPr>
        <w:t>类）29.16万元：主要用于：其他工资福利支出。较2021年度决算数增加1.68万元，增长6.11%，主要原因是：本部门2022年度新增8名公招教师控制数。</w:t>
      </w:r>
    </w:p>
    <w:p>
      <w:pPr>
        <w:ind w:firstLine="620" w:firstLineChars="200"/>
        <w:jc w:val="left"/>
        <w:rPr>
          <w:rFonts w:ascii="仿宋" w:hAnsi="仿宋" w:eastAsia="仿宋_GB2312" w:cs="仿宋"/>
          <w:sz w:val="32"/>
          <w:szCs w:val="32"/>
        </w:rPr>
      </w:pPr>
      <w:r>
        <w:rPr>
          <w:rFonts w:ascii="仿宋_GB2312" w:hAnsi="微软雅黑" w:eastAsia="仿宋_GB2312" w:cs="仿宋_GB2312"/>
          <w:sz w:val="31"/>
          <w:szCs w:val="31"/>
          <w:shd w:val="clear" w:color="auto" w:fill="FFFFFF"/>
        </w:rPr>
        <w:t>结余分配</w:t>
      </w:r>
      <w:r>
        <w:rPr>
          <w:rFonts w:hint="eastAsia" w:ascii="仿宋_GB2312" w:hAnsi="微软雅黑" w:eastAsia="仿宋_GB2312" w:cs="仿宋_GB2312"/>
          <w:sz w:val="31"/>
          <w:szCs w:val="31"/>
          <w:shd w:val="clear" w:color="auto" w:fill="FFFFFF"/>
        </w:rPr>
        <w:t>0.00</w:t>
      </w:r>
      <w:r>
        <w:rPr>
          <w:rFonts w:ascii="仿宋_GB2312" w:hAnsi="微软雅黑" w:eastAsia="仿宋_GB2312" w:cs="仿宋_GB2312"/>
          <w:sz w:val="31"/>
          <w:szCs w:val="31"/>
          <w:shd w:val="clear" w:color="auto" w:fill="FFFFFF"/>
        </w:rPr>
        <w:t>万元，为事业单位按规定提取的专用结余、缴纳所得税和转入非财政拨款结余等。较202</w:t>
      </w:r>
      <w:r>
        <w:rPr>
          <w:rFonts w:hint="eastAsia" w:ascii="仿宋_GB2312" w:hAnsi="微软雅黑" w:eastAsia="仿宋_GB2312" w:cs="仿宋_GB2312"/>
          <w:sz w:val="31"/>
          <w:szCs w:val="31"/>
          <w:shd w:val="clear" w:color="auto" w:fill="FFFFFF"/>
        </w:rPr>
        <w:t>1</w:t>
      </w:r>
      <w:r>
        <w:rPr>
          <w:rFonts w:ascii="仿宋_GB2312" w:hAnsi="微软雅黑" w:eastAsia="仿宋_GB2312" w:cs="仿宋_GB2312"/>
          <w:sz w:val="31"/>
          <w:szCs w:val="31"/>
          <w:shd w:val="clear" w:color="auto" w:fill="FFFFFF"/>
        </w:rPr>
        <w:t>年决算</w:t>
      </w:r>
      <w:r>
        <w:rPr>
          <w:rFonts w:hint="eastAsia" w:ascii="仿宋_GB2312" w:hAnsi="微软雅黑" w:eastAsia="仿宋_GB2312" w:cs="仿宋_GB2312"/>
          <w:sz w:val="31"/>
          <w:szCs w:val="31"/>
          <w:shd w:val="clear" w:color="auto" w:fill="FFFFFF"/>
        </w:rPr>
        <w:t>0.00</w:t>
      </w:r>
      <w:r>
        <w:rPr>
          <w:rFonts w:ascii="仿宋_GB2312" w:hAnsi="微软雅黑" w:eastAsia="仿宋_GB2312" w:cs="仿宋_GB2312"/>
          <w:sz w:val="31"/>
          <w:szCs w:val="31"/>
          <w:shd w:val="clear" w:color="auto" w:fill="FFFFFF"/>
        </w:rPr>
        <w:t>万元</w:t>
      </w:r>
      <w:r>
        <w:rPr>
          <w:rFonts w:hint="eastAsia" w:ascii="仿宋_GB2312" w:hAnsi="微软雅黑" w:eastAsia="仿宋_GB2312" w:cs="仿宋_GB2312"/>
          <w:sz w:val="31"/>
          <w:szCs w:val="31"/>
          <w:shd w:val="clear" w:color="auto" w:fill="FFFFFF"/>
        </w:rPr>
        <w:t>,增加0.00</w:t>
      </w:r>
      <w:r>
        <w:rPr>
          <w:rFonts w:ascii="仿宋_GB2312" w:hAnsi="微软雅黑" w:eastAsia="仿宋_GB2312" w:cs="仿宋_GB2312"/>
          <w:sz w:val="31"/>
          <w:szCs w:val="31"/>
          <w:shd w:val="clear" w:color="auto" w:fill="FFFFFF"/>
        </w:rPr>
        <w:t>万元，</w:t>
      </w:r>
      <w:r>
        <w:rPr>
          <w:rFonts w:hint="eastAsia" w:ascii="仿宋_GB2312" w:hAnsi="微软雅黑" w:eastAsia="仿宋_GB2312" w:cs="仿宋_GB2312"/>
          <w:sz w:val="31"/>
          <w:szCs w:val="31"/>
          <w:shd w:val="clear" w:color="auto" w:fill="FFFFFF"/>
        </w:rPr>
        <w:t>增长0%</w:t>
      </w:r>
      <w:r>
        <w:rPr>
          <w:rFonts w:ascii="仿宋_GB2312" w:hAnsi="微软雅黑" w:eastAsia="仿宋_GB2312" w:cs="仿宋_GB2312"/>
          <w:sz w:val="31"/>
          <w:szCs w:val="31"/>
          <w:shd w:val="clear" w:color="auto" w:fill="FFFFFF"/>
        </w:rPr>
        <w:t>，主要原因是</w:t>
      </w:r>
      <w:r>
        <w:rPr>
          <w:rFonts w:hint="eastAsia" w:ascii="仿宋" w:hAnsi="仿宋" w:eastAsia="仿宋" w:cs="仿宋"/>
          <w:sz w:val="32"/>
          <w:szCs w:val="32"/>
        </w:rPr>
        <w:t>：本部门2</w:t>
      </w:r>
      <w:r>
        <w:rPr>
          <w:rFonts w:ascii="仿宋" w:hAnsi="仿宋" w:eastAsia="仿宋" w:cs="仿宋"/>
          <w:sz w:val="32"/>
          <w:szCs w:val="32"/>
        </w:rPr>
        <w:t>022</w:t>
      </w:r>
      <w:r>
        <w:rPr>
          <w:rFonts w:hint="eastAsia" w:ascii="仿宋" w:hAnsi="仿宋" w:eastAsia="仿宋" w:cs="仿宋"/>
          <w:sz w:val="32"/>
          <w:szCs w:val="32"/>
        </w:rPr>
        <w:t>年度无结余分配资金。</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年末结转和结余</w:t>
      </w:r>
      <w:r>
        <w:rPr>
          <w:rFonts w:ascii="仿宋" w:hAnsi="仿宋" w:eastAsia="仿宋" w:cs="仿宋"/>
          <w:sz w:val="32"/>
        </w:rPr>
        <w:t>0.00</w:t>
      </w:r>
      <w:r>
        <w:rPr>
          <w:rFonts w:hint="eastAsia" w:ascii="仿宋" w:hAnsi="仿宋" w:eastAsia="仿宋" w:cs="仿宋"/>
          <w:sz w:val="32"/>
          <w:szCs w:val="32"/>
        </w:rPr>
        <w:t>万元，为本年度或以前年度预算安排、因客观条件发生变化无法按原计划实施，需要延迟到以后年度按有关规定继续使用的资金。较2021年度决算数</w:t>
      </w:r>
      <w:r>
        <w:rPr>
          <w:rFonts w:ascii="仿宋" w:hAnsi="仿宋" w:eastAsia="仿宋" w:cs="仿宋"/>
          <w:sz w:val="32"/>
        </w:rPr>
        <w:t>增加0.00</w:t>
      </w:r>
      <w:r>
        <w:rPr>
          <w:rFonts w:hint="eastAsia" w:ascii="仿宋" w:hAnsi="仿宋" w:eastAsia="仿宋" w:cs="仿宋"/>
          <w:sz w:val="32"/>
          <w:szCs w:val="32"/>
        </w:rPr>
        <w:t>万元，</w:t>
      </w:r>
      <w:r>
        <w:rPr>
          <w:rFonts w:ascii="仿宋" w:hAnsi="仿宋" w:eastAsia="仿宋" w:cs="仿宋"/>
          <w:sz w:val="32"/>
        </w:rPr>
        <w:t>增长0%</w:t>
      </w:r>
      <w:r>
        <w:rPr>
          <w:rFonts w:hint="eastAsia" w:ascii="仿宋" w:hAnsi="仿宋" w:eastAsia="仿宋" w:cs="仿宋"/>
          <w:sz w:val="32"/>
          <w:szCs w:val="32"/>
        </w:rPr>
        <w:t>，主要原因是：本部门2022年度无结余分配资金。</w:t>
      </w:r>
    </w:p>
    <w:p>
      <w:pPr>
        <w:ind w:firstLine="640" w:firstLineChars="200"/>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5080000" cy="3022600"/>
            <wp:effectExtent l="4445" t="4445" r="5715" b="571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sz w:val="32"/>
          <w:szCs w:val="32"/>
        </w:rPr>
      </w:pPr>
      <w:r>
        <w:rPr>
          <w:rFonts w:hint="eastAsia" w:ascii="黑体" w:hAnsi="黑体" w:eastAsia="黑体" w:cs="黑体"/>
          <w:sz w:val="32"/>
          <w:szCs w:val="32"/>
        </w:rPr>
        <w:t>二、2022 年度</w:t>
      </w:r>
      <w:bookmarkStart w:id="2" w:name="OLE_LINK1"/>
      <w:r>
        <w:rPr>
          <w:rFonts w:hint="eastAsia" w:ascii="黑体" w:hAnsi="黑体" w:eastAsia="黑体" w:cs="黑体"/>
          <w:sz w:val="32"/>
          <w:szCs w:val="32"/>
        </w:rPr>
        <w:t>一般公共预算财政拨款支出决算情况</w:t>
      </w:r>
      <w:bookmarkEnd w:id="2"/>
    </w:p>
    <w:p>
      <w:pPr>
        <w:ind w:firstLine="640" w:firstLineChars="200"/>
        <w:jc w:val="left"/>
        <w:rPr>
          <w:rFonts w:ascii="仿宋" w:hAnsi="仿宋" w:eastAsia="仿宋" w:cs="仿宋"/>
          <w:sz w:val="32"/>
          <w:szCs w:val="32"/>
        </w:rPr>
      </w:pPr>
      <w:r>
        <w:rPr>
          <w:rFonts w:hint="eastAsia" w:ascii="仿宋" w:hAnsi="仿宋" w:eastAsia="仿宋" w:cs="仿宋"/>
          <w:sz w:val="32"/>
          <w:szCs w:val="32"/>
        </w:rPr>
        <w:t>环江毛南族自治县第二幼儿园2022年度一般公共预算财政拨款支出</w:t>
      </w:r>
      <w:r>
        <w:rPr>
          <w:rFonts w:ascii="仿宋" w:hAnsi="仿宋" w:eastAsia="仿宋" w:cs="仿宋"/>
          <w:sz w:val="32"/>
        </w:rPr>
        <w:t>445.33</w:t>
      </w:r>
      <w:r>
        <w:rPr>
          <w:rFonts w:hint="eastAsia" w:ascii="仿宋" w:hAnsi="仿宋" w:eastAsia="仿宋" w:cs="仿宋"/>
          <w:sz w:val="32"/>
          <w:szCs w:val="32"/>
        </w:rPr>
        <w:t>万元，较2021年度决算数</w:t>
      </w:r>
      <w:r>
        <w:rPr>
          <w:rFonts w:ascii="仿宋" w:hAnsi="仿宋" w:eastAsia="仿宋" w:cs="仿宋"/>
          <w:sz w:val="32"/>
        </w:rPr>
        <w:t>增加96.35</w:t>
      </w:r>
      <w:r>
        <w:rPr>
          <w:rFonts w:hint="eastAsia" w:ascii="仿宋" w:hAnsi="仿宋" w:eastAsia="仿宋" w:cs="仿宋"/>
          <w:sz w:val="32"/>
          <w:szCs w:val="32"/>
        </w:rPr>
        <w:t>万元，</w:t>
      </w:r>
      <w:r>
        <w:rPr>
          <w:rFonts w:ascii="仿宋" w:hAnsi="仿宋" w:eastAsia="仿宋" w:cs="仿宋"/>
          <w:sz w:val="32"/>
        </w:rPr>
        <w:t>增长27.61%</w:t>
      </w:r>
      <w:r>
        <w:rPr>
          <w:rFonts w:hint="eastAsia" w:ascii="仿宋" w:hAnsi="仿宋" w:eastAsia="仿宋" w:cs="仿宋"/>
          <w:sz w:val="32"/>
          <w:szCs w:val="32"/>
        </w:rPr>
        <w:t>。其中：基本支出</w:t>
      </w:r>
      <w:r>
        <w:rPr>
          <w:rFonts w:ascii="仿宋" w:hAnsi="仿宋" w:eastAsia="仿宋" w:cs="仿宋"/>
          <w:sz w:val="32"/>
        </w:rPr>
        <w:t>190.57</w:t>
      </w:r>
      <w:r>
        <w:rPr>
          <w:rFonts w:hint="eastAsia" w:ascii="仿宋" w:hAnsi="仿宋" w:eastAsia="仿宋" w:cs="仿宋"/>
          <w:sz w:val="32"/>
          <w:szCs w:val="32"/>
        </w:rPr>
        <w:t>万元，项目支出</w:t>
      </w:r>
      <w:r>
        <w:rPr>
          <w:rFonts w:ascii="仿宋" w:hAnsi="仿宋" w:eastAsia="仿宋" w:cs="仿宋"/>
          <w:sz w:val="32"/>
        </w:rPr>
        <w:t>254.75</w:t>
      </w:r>
      <w:r>
        <w:rPr>
          <w:rFonts w:hint="eastAsia" w:ascii="仿宋" w:hAnsi="仿宋" w:eastAsia="仿宋" w:cs="仿宋"/>
          <w:sz w:val="32"/>
          <w:szCs w:val="32"/>
        </w:rPr>
        <w:t>万元。</w:t>
      </w:r>
    </w:p>
    <w:p>
      <w:pPr>
        <w:ind w:firstLine="640" w:firstLineChars="200"/>
        <w:jc w:val="left"/>
        <w:rPr>
          <w:rFonts w:ascii="仿宋" w:hAnsi="仿宋" w:eastAsia="仿宋"/>
          <w:sz w:val="32"/>
          <w:szCs w:val="32"/>
        </w:rPr>
      </w:pPr>
      <w:r>
        <w:rPr>
          <w:rFonts w:hint="eastAsia" w:ascii="仿宋" w:hAnsi="仿宋" w:eastAsia="仿宋" w:cs="仿宋"/>
          <w:sz w:val="32"/>
          <w:szCs w:val="32"/>
        </w:rPr>
        <w:t>环江毛南族自治县第二幼儿园2022 年度一般公共预算财政拨款支出年初预算为</w:t>
      </w:r>
      <w:r>
        <w:rPr>
          <w:rFonts w:ascii="仿宋" w:hAnsi="仿宋" w:eastAsia="仿宋" w:cs="仿宋"/>
          <w:sz w:val="32"/>
        </w:rPr>
        <w:t>348.76</w:t>
      </w:r>
      <w:r>
        <w:rPr>
          <w:rFonts w:hint="eastAsia" w:ascii="仿宋" w:hAnsi="仿宋" w:eastAsia="仿宋" w:cs="仿宋"/>
          <w:sz w:val="32"/>
          <w:szCs w:val="32"/>
        </w:rPr>
        <w:t>万元，支出决算为</w:t>
      </w:r>
      <w:r>
        <w:rPr>
          <w:rFonts w:ascii="仿宋" w:hAnsi="仿宋" w:eastAsia="仿宋" w:cs="仿宋"/>
          <w:sz w:val="32"/>
        </w:rPr>
        <w:t>445.33</w:t>
      </w:r>
      <w:r>
        <w:rPr>
          <w:rFonts w:hint="eastAsia" w:ascii="仿宋" w:hAnsi="仿宋" w:eastAsia="仿宋" w:cs="仿宋"/>
          <w:sz w:val="32"/>
          <w:szCs w:val="32"/>
        </w:rPr>
        <w:t>万元，完成年初预算的</w:t>
      </w:r>
      <w:r>
        <w:rPr>
          <w:rFonts w:ascii="仿宋" w:hAnsi="仿宋" w:eastAsia="仿宋" w:cs="仿宋"/>
          <w:sz w:val="32"/>
        </w:rPr>
        <w:t>127.69%</w:t>
      </w:r>
      <w:r>
        <w:rPr>
          <w:rFonts w:hint="eastAsia" w:ascii="仿宋" w:hAnsi="仿宋" w:eastAsia="仿宋" w:cs="仿宋"/>
          <w:sz w:val="32"/>
          <w:szCs w:val="32"/>
        </w:rPr>
        <w:t>。</w:t>
      </w:r>
      <w:bookmarkStart w:id="3" w:name="OLE_LINK2"/>
      <w:bookmarkEnd w:id="3"/>
    </w:p>
    <w:p>
      <w:pPr>
        <w:numPr>
          <w:ilvl w:val="0"/>
          <w:numId w:val="1"/>
        </w:numPr>
        <w:jc w:val="left"/>
        <w:rPr>
          <w:rFonts w:eastAsia="仿宋"/>
        </w:rPr>
      </w:pPr>
      <w:r>
        <w:rPr>
          <w:rFonts w:hint="eastAsia" w:ascii="仿宋" w:hAnsi="仿宋" w:eastAsia="仿宋"/>
          <w:sz w:val="32"/>
          <w:szCs w:val="32"/>
        </w:rPr>
        <w:t>一般公共服务支出</w:t>
      </w:r>
      <w:r>
        <w:rPr>
          <w:rFonts w:ascii="仿宋" w:hAnsi="仿宋" w:eastAsia="仿宋"/>
          <w:sz w:val="32"/>
        </w:rPr>
        <w:t>（201</w:t>
      </w:r>
      <w:r>
        <w:rPr>
          <w:rFonts w:hint="eastAsia" w:ascii="仿宋" w:hAnsi="仿宋" w:eastAsia="仿宋"/>
          <w:sz w:val="32"/>
          <w:szCs w:val="32"/>
        </w:rPr>
        <w:t>类）年初预算为</w:t>
      </w:r>
      <w:r>
        <w:rPr>
          <w:rFonts w:ascii="仿宋" w:hAnsi="仿宋" w:eastAsia="仿宋"/>
          <w:sz w:val="32"/>
          <w:szCs w:val="32"/>
        </w:rPr>
        <w:t>2.44</w:t>
      </w:r>
      <w:r>
        <w:rPr>
          <w:rFonts w:hint="eastAsia" w:ascii="仿宋" w:hAnsi="仿宋" w:eastAsia="仿宋"/>
          <w:sz w:val="32"/>
          <w:szCs w:val="32"/>
        </w:rPr>
        <w:t>万元，支出决算为</w:t>
      </w:r>
      <w:r>
        <w:rPr>
          <w:rFonts w:ascii="仿宋" w:hAnsi="仿宋" w:eastAsia="仿宋"/>
          <w:sz w:val="32"/>
          <w:szCs w:val="32"/>
        </w:rPr>
        <w:t>2.44</w:t>
      </w:r>
      <w:r>
        <w:rPr>
          <w:rFonts w:hint="eastAsia" w:ascii="仿宋" w:hAnsi="仿宋" w:eastAsia="仿宋"/>
          <w:sz w:val="32"/>
          <w:szCs w:val="32"/>
        </w:rPr>
        <w:t>万元，完成年初预算的</w:t>
      </w:r>
      <w:r>
        <w:rPr>
          <w:rFonts w:ascii="仿宋" w:hAnsi="仿宋" w:eastAsia="仿宋"/>
          <w:sz w:val="32"/>
          <w:szCs w:val="32"/>
        </w:rPr>
        <w:t>100.00%</w:t>
      </w:r>
      <w:r>
        <w:rPr>
          <w:rFonts w:hint="eastAsia" w:ascii="仿宋" w:hAnsi="仿宋" w:eastAsia="仿宋"/>
          <w:sz w:val="32"/>
          <w:szCs w:val="32"/>
        </w:rPr>
        <w:t>。预决算存有差异原因是：</w:t>
      </w:r>
      <w:r>
        <w:rPr>
          <w:rFonts w:hint="eastAsia" w:ascii="仿宋" w:hAnsi="仿宋" w:eastAsia="仿宋" w:cs="仿宋"/>
          <w:sz w:val="32"/>
          <w:szCs w:val="32"/>
        </w:rPr>
        <w:t>无差异。</w:t>
      </w:r>
    </w:p>
    <w:p>
      <w:pPr>
        <w:jc w:val="left"/>
        <w:rPr>
          <w:rFonts w:ascii="仿宋" w:hAnsi="仿宋" w:eastAsia="仿宋"/>
          <w:sz w:val="32"/>
          <w:szCs w:val="32"/>
        </w:rPr>
      </w:pPr>
      <w:r>
        <w:rPr>
          <w:rFonts w:hint="eastAsia" w:ascii="仿宋" w:hAnsi="仿宋" w:eastAsia="仿宋"/>
          <w:sz w:val="32"/>
          <w:szCs w:val="32"/>
        </w:rPr>
        <w:t>支出具体情况如下：</w:t>
      </w:r>
    </w:p>
    <w:tbl>
      <w:tblPr>
        <w:tblStyle w:val="7"/>
        <w:tblW w:w="8536" w:type="dxa"/>
        <w:tblInd w:w="96" w:type="dxa"/>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原因</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2.44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2.44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仿宋" w:hAnsi="仿宋" w:eastAsia="仿宋" w:cs="仿宋"/>
                <w:sz w:val="18"/>
                <w:szCs w:val="18"/>
              </w:rPr>
              <w:t>教职工工会活动费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Cs w:val="21"/>
              </w:rPr>
            </w:pPr>
            <w:r>
              <w:rPr>
                <w:rFonts w:hint="eastAsia" w:ascii="仿宋" w:hAnsi="仿宋" w:eastAsia="仿宋" w:cs="仿宋"/>
                <w:szCs w:val="21"/>
              </w:rPr>
              <w:t>无差异</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2.44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2.44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r>
    </w:tbl>
    <w:p>
      <w:pPr>
        <w:jc w:val="left"/>
        <w:rPr>
          <w:rFonts w:ascii="仿宋" w:hAnsi="仿宋" w:eastAsia="仿宋"/>
          <w:sz w:val="32"/>
          <w:szCs w:val="32"/>
        </w:rPr>
      </w:pPr>
    </w:p>
    <w:p>
      <w:pPr>
        <w:jc w:val="center"/>
        <w:rPr>
          <w:rFonts w:ascii="仿宋" w:hAnsi="仿宋" w:eastAsia="仿宋"/>
          <w:sz w:val="32"/>
          <w:szCs w:val="32"/>
        </w:rPr>
      </w:pPr>
      <w:r>
        <w:rPr>
          <w:rFonts w:hint="eastAsia" w:ascii="仿宋" w:hAnsi="仿宋" w:eastAsia="仿宋" w:cs="仿宋"/>
          <w:sz w:val="32"/>
          <w:szCs w:val="32"/>
        </w:rPr>
        <w:drawing>
          <wp:inline distT="0" distB="0" distL="114300" distR="114300">
            <wp:extent cx="4474845" cy="3215640"/>
            <wp:effectExtent l="4445" t="4445" r="16510" b="5715"/>
            <wp:docPr id="6"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numPr>
          <w:ilvl w:val="0"/>
          <w:numId w:val="1"/>
        </w:numPr>
        <w:jc w:val="left"/>
        <w:rPr>
          <w:rFonts w:eastAsia="仿宋"/>
        </w:rPr>
      </w:pPr>
      <w:r>
        <w:rPr>
          <w:rFonts w:hint="eastAsia" w:ascii="仿宋" w:hAnsi="仿宋" w:eastAsia="仿宋"/>
          <w:sz w:val="32"/>
          <w:szCs w:val="32"/>
        </w:rPr>
        <w:t>教育支出</w:t>
      </w:r>
      <w:r>
        <w:rPr>
          <w:rFonts w:ascii="仿宋" w:hAnsi="仿宋" w:eastAsia="仿宋"/>
          <w:sz w:val="32"/>
        </w:rPr>
        <w:t>（205</w:t>
      </w:r>
      <w:r>
        <w:rPr>
          <w:rFonts w:hint="eastAsia" w:ascii="仿宋" w:hAnsi="仿宋" w:eastAsia="仿宋"/>
          <w:sz w:val="32"/>
          <w:szCs w:val="32"/>
        </w:rPr>
        <w:t>类）年初预算为</w:t>
      </w:r>
      <w:r>
        <w:rPr>
          <w:rFonts w:ascii="仿宋" w:hAnsi="仿宋" w:eastAsia="仿宋"/>
          <w:sz w:val="32"/>
          <w:szCs w:val="32"/>
        </w:rPr>
        <w:t>312.16</w:t>
      </w:r>
      <w:r>
        <w:rPr>
          <w:rFonts w:hint="eastAsia" w:ascii="仿宋" w:hAnsi="仿宋" w:eastAsia="仿宋"/>
          <w:sz w:val="32"/>
          <w:szCs w:val="32"/>
        </w:rPr>
        <w:t>万元，支出决算为</w:t>
      </w:r>
      <w:r>
        <w:rPr>
          <w:rFonts w:ascii="仿宋" w:hAnsi="仿宋" w:eastAsia="仿宋"/>
          <w:sz w:val="32"/>
          <w:szCs w:val="32"/>
        </w:rPr>
        <w:t>381.11</w:t>
      </w:r>
      <w:r>
        <w:rPr>
          <w:rFonts w:hint="eastAsia" w:ascii="仿宋" w:hAnsi="仿宋" w:eastAsia="仿宋"/>
          <w:sz w:val="32"/>
          <w:szCs w:val="32"/>
        </w:rPr>
        <w:t>万元，完成年初预算的</w:t>
      </w:r>
      <w:r>
        <w:rPr>
          <w:rFonts w:ascii="仿宋" w:hAnsi="仿宋" w:eastAsia="仿宋"/>
          <w:sz w:val="32"/>
          <w:szCs w:val="32"/>
        </w:rPr>
        <w:t>122.09%</w:t>
      </w:r>
      <w:r>
        <w:rPr>
          <w:rFonts w:hint="eastAsia" w:ascii="仿宋" w:hAnsi="仿宋" w:eastAsia="仿宋"/>
          <w:sz w:val="32"/>
          <w:szCs w:val="32"/>
        </w:rPr>
        <w:t>。预决算存有差异原因是：</w:t>
      </w:r>
      <w:r>
        <w:rPr>
          <w:rFonts w:hint="eastAsia" w:ascii="仿宋" w:hAnsi="仿宋" w:eastAsia="仿宋" w:cs="仿宋"/>
          <w:sz w:val="32"/>
          <w:szCs w:val="32"/>
        </w:rPr>
        <w:t>人员增加，调整工资标准。</w:t>
      </w:r>
    </w:p>
    <w:p>
      <w:pPr>
        <w:jc w:val="left"/>
        <w:rPr>
          <w:rFonts w:ascii="仿宋" w:hAnsi="仿宋" w:eastAsia="仿宋"/>
          <w:sz w:val="32"/>
          <w:szCs w:val="32"/>
        </w:rPr>
      </w:pPr>
      <w:r>
        <w:rPr>
          <w:rFonts w:hint="eastAsia" w:ascii="仿宋" w:hAnsi="仿宋" w:eastAsia="仿宋"/>
          <w:sz w:val="32"/>
          <w:szCs w:val="32"/>
        </w:rPr>
        <w:t>支出具体情况如下：</w:t>
      </w:r>
    </w:p>
    <w:tbl>
      <w:tblPr>
        <w:tblStyle w:val="7"/>
        <w:tblW w:w="8536" w:type="dxa"/>
        <w:tblInd w:w="96" w:type="dxa"/>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原因</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2050201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学前教育</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312.16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375.98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120.44%</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仿宋" w:hAnsi="仿宋" w:eastAsia="仿宋" w:cs="仿宋"/>
                <w:szCs w:val="21"/>
              </w:rPr>
              <w:t>人员基本工资，商品服务支出。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仿宋" w:hAnsi="仿宋" w:eastAsia="仿宋" w:cs="仿宋"/>
                <w:sz w:val="18"/>
                <w:szCs w:val="18"/>
              </w:rPr>
              <w:t>人员增加，调整工资标准。</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2050299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其他普通教育支出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5.13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仿宋" w:hAnsi="仿宋" w:eastAsia="仿宋" w:cs="仿宋"/>
                <w:szCs w:val="21"/>
              </w:rPr>
              <w:t>民办幼儿园人员工资福利支出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312.16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381.11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r>
    </w:tbl>
    <w:p>
      <w:pPr>
        <w:jc w:val="left"/>
        <w:rPr>
          <w:rFonts w:ascii="仿宋" w:hAnsi="仿宋" w:eastAsia="仿宋"/>
          <w:sz w:val="32"/>
          <w:szCs w:val="32"/>
        </w:rPr>
      </w:pPr>
    </w:p>
    <w:p>
      <w:pPr>
        <w:jc w:val="center"/>
        <w:rPr>
          <w:rFonts w:ascii="仿宋" w:hAnsi="仿宋" w:eastAsia="仿宋"/>
          <w:sz w:val="32"/>
          <w:szCs w:val="32"/>
        </w:rPr>
      </w:pPr>
      <w:r>
        <w:rPr>
          <w:rFonts w:hint="eastAsia" w:ascii="仿宋" w:hAnsi="仿宋" w:eastAsia="仿宋" w:cs="仿宋"/>
          <w:sz w:val="32"/>
          <w:szCs w:val="32"/>
        </w:rPr>
        <w:drawing>
          <wp:inline distT="0" distB="0" distL="114300" distR="114300">
            <wp:extent cx="4474845" cy="2272665"/>
            <wp:effectExtent l="4445" t="4445" r="16510" b="8890"/>
            <wp:docPr id="8"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numPr>
          <w:ilvl w:val="0"/>
          <w:numId w:val="1"/>
        </w:numPr>
        <w:jc w:val="left"/>
        <w:rPr>
          <w:rFonts w:eastAsia="仿宋"/>
        </w:rPr>
      </w:pPr>
      <w:r>
        <w:rPr>
          <w:rFonts w:hint="eastAsia" w:ascii="仿宋" w:hAnsi="仿宋" w:eastAsia="仿宋"/>
          <w:sz w:val="32"/>
          <w:szCs w:val="32"/>
        </w:rPr>
        <w:t>社会保障和就业支出</w:t>
      </w:r>
      <w:r>
        <w:rPr>
          <w:rFonts w:ascii="仿宋" w:hAnsi="仿宋" w:eastAsia="仿宋"/>
          <w:sz w:val="32"/>
        </w:rPr>
        <w:t>（208</w:t>
      </w:r>
      <w:r>
        <w:rPr>
          <w:rFonts w:hint="eastAsia" w:ascii="仿宋" w:hAnsi="仿宋" w:eastAsia="仿宋"/>
          <w:sz w:val="32"/>
          <w:szCs w:val="32"/>
        </w:rPr>
        <w:t>类）年初预算为</w:t>
      </w:r>
      <w:r>
        <w:rPr>
          <w:rFonts w:ascii="仿宋" w:hAnsi="仿宋" w:eastAsia="仿宋"/>
          <w:sz w:val="32"/>
          <w:szCs w:val="32"/>
        </w:rPr>
        <w:t>19.52</w:t>
      </w:r>
      <w:r>
        <w:rPr>
          <w:rFonts w:hint="eastAsia" w:ascii="仿宋" w:hAnsi="仿宋" w:eastAsia="仿宋"/>
          <w:sz w:val="32"/>
          <w:szCs w:val="32"/>
        </w:rPr>
        <w:t>万元，支出决算为</w:t>
      </w:r>
      <w:r>
        <w:rPr>
          <w:rFonts w:ascii="仿宋" w:hAnsi="仿宋" w:eastAsia="仿宋"/>
          <w:sz w:val="32"/>
          <w:szCs w:val="32"/>
        </w:rPr>
        <w:t>18.82</w:t>
      </w:r>
      <w:r>
        <w:rPr>
          <w:rFonts w:hint="eastAsia" w:ascii="仿宋" w:hAnsi="仿宋" w:eastAsia="仿宋"/>
          <w:sz w:val="32"/>
          <w:szCs w:val="32"/>
        </w:rPr>
        <w:t>万元，完成年初预算的</w:t>
      </w:r>
      <w:r>
        <w:rPr>
          <w:rFonts w:ascii="仿宋" w:hAnsi="仿宋" w:eastAsia="仿宋"/>
          <w:sz w:val="32"/>
          <w:szCs w:val="32"/>
        </w:rPr>
        <w:t>96.41%</w:t>
      </w:r>
      <w:r>
        <w:rPr>
          <w:rFonts w:hint="eastAsia" w:ascii="仿宋" w:hAnsi="仿宋" w:eastAsia="仿宋"/>
          <w:sz w:val="32"/>
          <w:szCs w:val="32"/>
        </w:rPr>
        <w:t>。预决算存有差异原因是：</w:t>
      </w:r>
      <w:r>
        <w:rPr>
          <w:rFonts w:hint="eastAsia" w:ascii="仿宋" w:hAnsi="仿宋" w:eastAsia="仿宋" w:cs="仿宋"/>
          <w:sz w:val="32"/>
          <w:szCs w:val="32"/>
        </w:rPr>
        <w:t>年初预算缴费基数偏高。</w:t>
      </w:r>
    </w:p>
    <w:p>
      <w:pPr>
        <w:jc w:val="left"/>
        <w:rPr>
          <w:rFonts w:ascii="仿宋" w:hAnsi="仿宋" w:eastAsia="仿宋"/>
          <w:sz w:val="32"/>
          <w:szCs w:val="32"/>
        </w:rPr>
      </w:pPr>
      <w:r>
        <w:rPr>
          <w:rFonts w:hint="eastAsia" w:ascii="仿宋" w:hAnsi="仿宋" w:eastAsia="仿宋"/>
          <w:sz w:val="32"/>
          <w:szCs w:val="32"/>
        </w:rPr>
        <w:t>支出具体情况如下：</w:t>
      </w:r>
    </w:p>
    <w:tbl>
      <w:tblPr>
        <w:tblStyle w:val="7"/>
        <w:tblW w:w="8536" w:type="dxa"/>
        <w:tblInd w:w="96" w:type="dxa"/>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原因</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19.52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18.82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96.41%</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教职工基本养老保险缴费支出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仿宋" w:hAnsi="仿宋" w:eastAsia="仿宋" w:cs="仿宋"/>
                <w:sz w:val="18"/>
                <w:szCs w:val="18"/>
              </w:rPr>
              <w:t>年初预算缴费基数偏高</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19.52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18.82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r>
    </w:tbl>
    <w:p>
      <w:pPr>
        <w:jc w:val="left"/>
        <w:rPr>
          <w:rFonts w:ascii="仿宋" w:hAnsi="仿宋" w:eastAsia="仿宋"/>
          <w:sz w:val="32"/>
          <w:szCs w:val="32"/>
        </w:rPr>
      </w:pPr>
    </w:p>
    <w:p>
      <w:pPr>
        <w:jc w:val="center"/>
        <w:rPr>
          <w:rFonts w:ascii="仿宋" w:hAnsi="仿宋" w:eastAsia="仿宋"/>
          <w:sz w:val="32"/>
          <w:szCs w:val="32"/>
        </w:rPr>
      </w:pPr>
      <w:r>
        <w:rPr>
          <w:rFonts w:hint="eastAsia" w:ascii="仿宋" w:hAnsi="仿宋" w:eastAsia="仿宋" w:cs="仿宋"/>
          <w:sz w:val="32"/>
          <w:szCs w:val="32"/>
        </w:rPr>
        <w:drawing>
          <wp:inline distT="0" distB="0" distL="114300" distR="114300">
            <wp:extent cx="4474845" cy="2673350"/>
            <wp:effectExtent l="4445" t="4445" r="16510" b="8255"/>
            <wp:docPr id="10"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numPr>
          <w:ilvl w:val="0"/>
          <w:numId w:val="1"/>
        </w:numPr>
        <w:jc w:val="left"/>
        <w:rPr>
          <w:rFonts w:eastAsia="仿宋"/>
        </w:rPr>
      </w:pPr>
      <w:r>
        <w:rPr>
          <w:rFonts w:hint="eastAsia" w:ascii="仿宋" w:hAnsi="仿宋" w:eastAsia="仿宋"/>
          <w:sz w:val="32"/>
          <w:szCs w:val="32"/>
        </w:rPr>
        <w:t>住房保障支出</w:t>
      </w:r>
      <w:r>
        <w:rPr>
          <w:rFonts w:ascii="仿宋" w:hAnsi="仿宋" w:eastAsia="仿宋"/>
          <w:sz w:val="32"/>
        </w:rPr>
        <w:t>（221</w:t>
      </w:r>
      <w:r>
        <w:rPr>
          <w:rFonts w:hint="eastAsia" w:ascii="仿宋" w:hAnsi="仿宋" w:eastAsia="仿宋"/>
          <w:sz w:val="32"/>
          <w:szCs w:val="32"/>
        </w:rPr>
        <w:t>类）年初预算为</w:t>
      </w:r>
      <w:r>
        <w:rPr>
          <w:rFonts w:ascii="仿宋" w:hAnsi="仿宋" w:eastAsia="仿宋"/>
          <w:sz w:val="32"/>
          <w:szCs w:val="32"/>
        </w:rPr>
        <w:t>14.64</w:t>
      </w:r>
      <w:r>
        <w:rPr>
          <w:rFonts w:hint="eastAsia" w:ascii="仿宋" w:hAnsi="仿宋" w:eastAsia="仿宋"/>
          <w:sz w:val="32"/>
          <w:szCs w:val="32"/>
        </w:rPr>
        <w:t>万元，支出决算为</w:t>
      </w:r>
      <w:r>
        <w:rPr>
          <w:rFonts w:ascii="仿宋" w:hAnsi="仿宋" w:eastAsia="仿宋"/>
          <w:sz w:val="32"/>
          <w:szCs w:val="32"/>
        </w:rPr>
        <w:t>13.79</w:t>
      </w:r>
      <w:r>
        <w:rPr>
          <w:rFonts w:hint="eastAsia" w:ascii="仿宋" w:hAnsi="仿宋" w:eastAsia="仿宋"/>
          <w:sz w:val="32"/>
          <w:szCs w:val="32"/>
        </w:rPr>
        <w:t>万元，完成年初预算的</w:t>
      </w:r>
      <w:r>
        <w:rPr>
          <w:rFonts w:ascii="仿宋" w:hAnsi="仿宋" w:eastAsia="仿宋"/>
          <w:sz w:val="32"/>
          <w:szCs w:val="32"/>
        </w:rPr>
        <w:t>94.19%</w:t>
      </w:r>
      <w:r>
        <w:rPr>
          <w:rFonts w:hint="eastAsia" w:ascii="仿宋" w:hAnsi="仿宋" w:eastAsia="仿宋"/>
          <w:sz w:val="32"/>
          <w:szCs w:val="32"/>
        </w:rPr>
        <w:t>。预决算存有差异原因是：</w:t>
      </w:r>
      <w:r>
        <w:rPr>
          <w:rFonts w:hint="eastAsia" w:ascii="仿宋" w:hAnsi="仿宋" w:eastAsia="仿宋" w:cs="仿宋"/>
          <w:sz w:val="32"/>
          <w:szCs w:val="32"/>
        </w:rPr>
        <w:t>年初预算缴费基数偏高。</w:t>
      </w:r>
    </w:p>
    <w:p>
      <w:pPr>
        <w:jc w:val="left"/>
        <w:rPr>
          <w:rFonts w:ascii="仿宋" w:hAnsi="仿宋" w:eastAsia="仿宋"/>
          <w:sz w:val="32"/>
          <w:szCs w:val="32"/>
        </w:rPr>
      </w:pPr>
      <w:r>
        <w:rPr>
          <w:rFonts w:hint="eastAsia" w:ascii="仿宋" w:hAnsi="仿宋" w:eastAsia="仿宋"/>
          <w:sz w:val="32"/>
          <w:szCs w:val="32"/>
        </w:rPr>
        <w:t>支出具体情况如下：</w:t>
      </w:r>
    </w:p>
    <w:tbl>
      <w:tblPr>
        <w:tblStyle w:val="7"/>
        <w:tblW w:w="8536" w:type="dxa"/>
        <w:tblInd w:w="96" w:type="dxa"/>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原因</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14.64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13.79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94.19%</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仿宋" w:hAnsi="仿宋" w:eastAsia="仿宋" w:cs="仿宋"/>
                <w:szCs w:val="21"/>
              </w:rPr>
              <w:t>教职工住房公积金支出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仿宋" w:hAnsi="仿宋" w:eastAsia="仿宋" w:cs="仿宋"/>
                <w:sz w:val="18"/>
                <w:szCs w:val="18"/>
              </w:rPr>
              <w:t>年初预算缴费基数偏高</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14.64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13.79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r>
    </w:tbl>
    <w:p>
      <w:pPr>
        <w:jc w:val="left"/>
        <w:rPr>
          <w:rFonts w:ascii="仿宋" w:hAnsi="仿宋" w:eastAsia="仿宋"/>
          <w:sz w:val="32"/>
          <w:szCs w:val="32"/>
        </w:rPr>
      </w:pPr>
    </w:p>
    <w:p>
      <w:pPr>
        <w:jc w:val="center"/>
        <w:rPr>
          <w:rFonts w:ascii="仿宋" w:hAnsi="仿宋" w:eastAsia="仿宋"/>
          <w:sz w:val="32"/>
          <w:szCs w:val="32"/>
        </w:rPr>
      </w:pPr>
      <w:r>
        <w:rPr>
          <w:rFonts w:hint="eastAsia" w:ascii="仿宋" w:hAnsi="仿宋" w:eastAsia="仿宋" w:cs="仿宋"/>
          <w:sz w:val="32"/>
          <w:szCs w:val="32"/>
        </w:rPr>
        <w:drawing>
          <wp:inline distT="0" distB="0" distL="114300" distR="114300">
            <wp:extent cx="4474845" cy="3215640"/>
            <wp:effectExtent l="4445" t="4445" r="16510" b="5715"/>
            <wp:docPr id="12"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numPr>
          <w:ilvl w:val="0"/>
          <w:numId w:val="1"/>
        </w:numPr>
        <w:jc w:val="left"/>
        <w:rPr>
          <w:rFonts w:eastAsia="仿宋"/>
        </w:rPr>
      </w:pPr>
      <w:r>
        <w:rPr>
          <w:rFonts w:hint="eastAsia" w:ascii="仿宋" w:hAnsi="仿宋" w:eastAsia="仿宋"/>
          <w:sz w:val="32"/>
          <w:szCs w:val="32"/>
        </w:rPr>
        <w:t>其他支出</w:t>
      </w:r>
      <w:r>
        <w:rPr>
          <w:rFonts w:ascii="仿宋" w:hAnsi="仿宋" w:eastAsia="仿宋"/>
          <w:sz w:val="32"/>
        </w:rPr>
        <w:t>（229</w:t>
      </w:r>
      <w:r>
        <w:rPr>
          <w:rFonts w:hint="eastAsia" w:ascii="仿宋" w:hAnsi="仿宋" w:eastAsia="仿宋"/>
          <w:sz w:val="32"/>
          <w:szCs w:val="32"/>
        </w:rPr>
        <w:t>类）年初预算为</w:t>
      </w:r>
      <w:r>
        <w:rPr>
          <w:rFonts w:ascii="仿宋" w:hAnsi="仿宋" w:eastAsia="仿宋"/>
          <w:sz w:val="32"/>
          <w:szCs w:val="32"/>
        </w:rPr>
        <w:t>0.00</w:t>
      </w:r>
      <w:r>
        <w:rPr>
          <w:rFonts w:hint="eastAsia" w:ascii="仿宋" w:hAnsi="仿宋" w:eastAsia="仿宋"/>
          <w:sz w:val="32"/>
          <w:szCs w:val="32"/>
        </w:rPr>
        <w:t>万元，支出决算为</w:t>
      </w:r>
      <w:r>
        <w:rPr>
          <w:rFonts w:ascii="仿宋" w:hAnsi="仿宋" w:eastAsia="仿宋"/>
          <w:sz w:val="32"/>
          <w:szCs w:val="32"/>
        </w:rPr>
        <w:t>29.16</w:t>
      </w:r>
      <w:r>
        <w:rPr>
          <w:rFonts w:hint="eastAsia" w:ascii="仿宋" w:hAnsi="仿宋" w:eastAsia="仿宋"/>
          <w:sz w:val="32"/>
          <w:szCs w:val="32"/>
        </w:rPr>
        <w:t>万元，完成年初预算的</w:t>
      </w:r>
      <w:r>
        <w:rPr>
          <w:rFonts w:ascii="仿宋" w:hAnsi="仿宋" w:eastAsia="仿宋"/>
          <w:sz w:val="32"/>
          <w:szCs w:val="32"/>
        </w:rPr>
        <w:t>100.00%</w:t>
      </w:r>
      <w:r>
        <w:rPr>
          <w:rFonts w:hint="eastAsia" w:ascii="仿宋" w:hAnsi="仿宋" w:eastAsia="仿宋"/>
          <w:sz w:val="32"/>
          <w:szCs w:val="32"/>
        </w:rPr>
        <w:t>。预决算存有差异原因是：无差异</w:t>
      </w:r>
      <w:r>
        <w:rPr>
          <w:rFonts w:hint="eastAsia" w:ascii="仿宋" w:hAnsi="仿宋" w:eastAsia="仿宋" w:cs="仿宋"/>
          <w:sz w:val="32"/>
          <w:szCs w:val="32"/>
        </w:rPr>
        <w:t>。</w:t>
      </w:r>
    </w:p>
    <w:p>
      <w:pPr>
        <w:jc w:val="left"/>
        <w:rPr>
          <w:rFonts w:ascii="仿宋" w:hAnsi="仿宋" w:eastAsia="仿宋"/>
          <w:sz w:val="32"/>
          <w:szCs w:val="32"/>
        </w:rPr>
      </w:pPr>
      <w:r>
        <w:rPr>
          <w:rFonts w:hint="eastAsia" w:ascii="仿宋" w:hAnsi="仿宋" w:eastAsia="仿宋"/>
          <w:sz w:val="32"/>
          <w:szCs w:val="32"/>
        </w:rPr>
        <w:t>支出具体情况如下：</w:t>
      </w:r>
    </w:p>
    <w:tbl>
      <w:tblPr>
        <w:tblStyle w:val="7"/>
        <w:tblW w:w="8536" w:type="dxa"/>
        <w:tblInd w:w="96" w:type="dxa"/>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原因</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29.16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仿宋" w:hAnsi="仿宋" w:eastAsia="仿宋" w:cs="仿宋"/>
                <w:szCs w:val="21"/>
              </w:rPr>
              <w:t>其他工资福利</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29.16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r>
    </w:tbl>
    <w:p>
      <w:pPr>
        <w:jc w:val="left"/>
        <w:rPr>
          <w:rFonts w:ascii="仿宋" w:hAnsi="仿宋" w:eastAsia="仿宋"/>
          <w:sz w:val="32"/>
          <w:szCs w:val="32"/>
        </w:rPr>
      </w:pPr>
    </w:p>
    <w:p>
      <w:pPr>
        <w:jc w:val="center"/>
        <w:rPr>
          <w:rFonts w:ascii="仿宋" w:hAnsi="仿宋" w:eastAsia="仿宋"/>
          <w:sz w:val="32"/>
          <w:szCs w:val="32"/>
        </w:rPr>
      </w:pPr>
      <w:r>
        <w:rPr>
          <w:rFonts w:hint="eastAsia" w:ascii="仿宋" w:hAnsi="仿宋" w:eastAsia="仿宋" w:cs="仿宋"/>
          <w:sz w:val="32"/>
          <w:szCs w:val="32"/>
        </w:rPr>
        <w:drawing>
          <wp:inline distT="0" distB="0" distL="114300" distR="114300">
            <wp:extent cx="4474845" cy="3215640"/>
            <wp:effectExtent l="4445" t="4445" r="16510" b="5715"/>
            <wp:docPr id="1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jc w:val="left"/>
        <w:rPr>
          <w:rFonts w:ascii="仿宋" w:hAnsi="仿宋" w:eastAsia="仿宋" w:cs="仿宋"/>
          <w:sz w:val="32"/>
          <w:szCs w:val="32"/>
        </w:rPr>
      </w:pPr>
      <w:r>
        <w:rPr>
          <w:rFonts w:hint="eastAsia" w:ascii="黑体" w:hAnsi="黑体" w:eastAsia="黑体" w:cs="黑体"/>
          <w:sz w:val="32"/>
          <w:szCs w:val="32"/>
        </w:rPr>
        <w:t>三、2022年度一般公共预算财政拨款基本支出决算情况说明</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环江毛南族自治县第二幼儿园2022年度一般公共预算财政拨款基本支出</w:t>
      </w:r>
      <w:r>
        <w:rPr>
          <w:rFonts w:ascii="仿宋" w:hAnsi="仿宋" w:eastAsia="仿宋" w:cs="仿宋"/>
          <w:sz w:val="32"/>
        </w:rPr>
        <w:t>190.57</w:t>
      </w:r>
      <w:r>
        <w:rPr>
          <w:rFonts w:hint="eastAsia" w:ascii="仿宋" w:hAnsi="仿宋" w:eastAsia="仿宋" w:cs="仿宋"/>
          <w:sz w:val="32"/>
          <w:szCs w:val="32"/>
        </w:rPr>
        <w:t>万元，</w:t>
      </w:r>
      <w:r>
        <w:rPr>
          <w:rFonts w:ascii="仿宋_GB2312" w:hAnsi="微软雅黑" w:eastAsia="仿宋_GB2312" w:cs="仿宋_GB2312"/>
          <w:sz w:val="31"/>
          <w:szCs w:val="31"/>
          <w:shd w:val="clear" w:color="auto" w:fill="FFFFFF"/>
        </w:rPr>
        <w:t>其中：人员经费支出</w:t>
      </w:r>
      <w:r>
        <w:rPr>
          <w:rFonts w:hint="eastAsia" w:ascii="仿宋" w:hAnsi="仿宋" w:eastAsia="仿宋" w:cs="仿宋"/>
          <w:sz w:val="32"/>
          <w:szCs w:val="32"/>
        </w:rPr>
        <w:t>188.13</w:t>
      </w:r>
      <w:r>
        <w:rPr>
          <w:rFonts w:ascii="仿宋_GB2312" w:hAnsi="微软雅黑" w:eastAsia="仿宋_GB2312" w:cs="仿宋_GB2312"/>
          <w:sz w:val="31"/>
          <w:szCs w:val="31"/>
          <w:shd w:val="clear" w:color="auto" w:fill="FFFFFF"/>
        </w:rPr>
        <w:t>万元，公用经费支出</w:t>
      </w:r>
      <w:r>
        <w:rPr>
          <w:rFonts w:hint="eastAsia" w:ascii="仿宋" w:hAnsi="仿宋" w:eastAsia="仿宋" w:cs="仿宋"/>
          <w:sz w:val="32"/>
          <w:szCs w:val="32"/>
        </w:rPr>
        <w:t>2.44</w:t>
      </w:r>
      <w:r>
        <w:rPr>
          <w:rFonts w:ascii="仿宋_GB2312" w:hAnsi="微软雅黑" w:eastAsia="仿宋_GB2312" w:cs="仿宋_GB2312"/>
          <w:sz w:val="31"/>
          <w:szCs w:val="31"/>
          <w:shd w:val="clear" w:color="auto" w:fill="FFFFFF"/>
        </w:rPr>
        <w:t>万元，</w:t>
      </w:r>
      <w:r>
        <w:rPr>
          <w:rFonts w:hint="eastAsia" w:ascii="仿宋" w:hAnsi="仿宋" w:eastAsia="仿宋" w:cs="仿宋"/>
          <w:sz w:val="32"/>
          <w:szCs w:val="32"/>
        </w:rPr>
        <w:t>支出具体情况如下：</w:t>
      </w:r>
    </w:p>
    <w:p>
      <w:pPr>
        <w:numPr>
          <w:ilvl w:val="0"/>
          <w:numId w:val="2"/>
        </w:numPr>
        <w:jc w:val="left"/>
        <w:rPr>
          <w:rFonts w:ascii="仿宋" w:hAnsi="仿宋" w:eastAsia="仿宋" w:cs="仿宋"/>
          <w:sz w:val="32"/>
          <w:szCs w:val="32"/>
        </w:rPr>
      </w:pPr>
      <w:r>
        <w:rPr>
          <w:rFonts w:hint="eastAsia" w:ascii="仿宋" w:hAnsi="仿宋" w:eastAsia="仿宋" w:cs="仿宋"/>
          <w:sz w:val="32"/>
          <w:szCs w:val="32"/>
        </w:rPr>
        <w:t>工资福利支出</w:t>
      </w:r>
      <w:r>
        <w:rPr>
          <w:rFonts w:ascii="仿宋" w:hAnsi="仿宋" w:eastAsia="仿宋" w:cs="仿宋"/>
          <w:sz w:val="32"/>
        </w:rPr>
        <w:t>188.13万元，</w:t>
      </w:r>
      <w:r>
        <w:rPr>
          <w:rFonts w:ascii="仿宋_GB2312" w:hAnsi="微软雅黑" w:eastAsia="仿宋_GB2312" w:cs="仿宋_GB2312"/>
          <w:sz w:val="31"/>
          <w:szCs w:val="31"/>
          <w:shd w:val="clear" w:color="auto" w:fill="FFFFFF"/>
        </w:rPr>
        <w:t>完成年初预算的</w:t>
      </w:r>
      <w:r>
        <w:rPr>
          <w:rFonts w:hint="eastAsia" w:ascii="仿宋" w:hAnsi="仿宋" w:eastAsia="仿宋" w:cs="仿宋"/>
          <w:sz w:val="32"/>
          <w:szCs w:val="32"/>
        </w:rPr>
        <w:t>127.18%</w:t>
      </w:r>
      <w:r>
        <w:rPr>
          <w:rFonts w:ascii="仿宋_GB2312" w:hAnsi="微软雅黑" w:eastAsia="仿宋_GB2312" w:cs="仿宋_GB2312"/>
          <w:sz w:val="31"/>
          <w:szCs w:val="31"/>
          <w:shd w:val="clear" w:color="auto" w:fill="FFFFFF"/>
        </w:rPr>
        <w:t>，</w:t>
      </w:r>
      <w:r>
        <w:rPr>
          <w:rFonts w:hint="eastAsia" w:ascii="仿宋" w:hAnsi="仿宋" w:eastAsia="仿宋" w:cs="仿宋"/>
          <w:sz w:val="32"/>
          <w:szCs w:val="32"/>
        </w:rPr>
        <w:t>主要原因是：本部门2022年度新公招8名教师控制数；2022年度调整工资标准；职工五险一金基数调整。</w:t>
      </w:r>
    </w:p>
    <w:p>
      <w:pPr>
        <w:jc w:val="left"/>
        <w:rPr>
          <w:rFonts w:ascii="仿宋" w:hAnsi="仿宋" w:eastAsia="仿宋" w:cs="仿宋"/>
          <w:sz w:val="32"/>
          <w:szCs w:val="32"/>
        </w:rPr>
      </w:pPr>
      <w:r>
        <w:rPr>
          <w:rFonts w:hint="eastAsia" w:ascii="仿宋" w:hAnsi="仿宋" w:eastAsia="仿宋"/>
          <w:sz w:val="32"/>
          <w:szCs w:val="32"/>
        </w:rPr>
        <w:t>支出具体情况如下</w:t>
      </w:r>
      <w:r>
        <w:rPr>
          <w:rFonts w:hint="eastAsia" w:ascii="仿宋" w:hAnsi="仿宋" w:eastAsia="仿宋" w:cs="仿宋"/>
          <w:sz w:val="32"/>
          <w:szCs w:val="32"/>
        </w:rPr>
        <w:t>：30101基本工资78.79万元，30102津贴补贴4.81万元，30103奖金25.41万元，30107绩效工资32.94万元，30108机关事业单位基本养老保险缴费20.16万元，30110职工基本医疗保险缴费11.13万元，30112其他社会保障缴费1.10万元，30113住房公积金13.79万元。</w:t>
      </w:r>
    </w:p>
    <w:p>
      <w:pPr>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4474845" cy="3215640"/>
            <wp:effectExtent l="4445" t="4445" r="16510" b="18415"/>
            <wp:docPr id="1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numPr>
          <w:ilvl w:val="0"/>
          <w:numId w:val="2"/>
        </w:numPr>
        <w:jc w:val="left"/>
        <w:rPr>
          <w:rFonts w:ascii="仿宋" w:hAnsi="仿宋" w:eastAsia="仿宋" w:cs="仿宋"/>
          <w:sz w:val="32"/>
          <w:szCs w:val="32"/>
        </w:rPr>
      </w:pPr>
      <w:r>
        <w:rPr>
          <w:rFonts w:hint="eastAsia" w:ascii="仿宋" w:hAnsi="仿宋" w:eastAsia="仿宋" w:cs="仿宋"/>
          <w:sz w:val="32"/>
          <w:szCs w:val="32"/>
        </w:rPr>
        <w:t>商品和服务支出</w:t>
      </w:r>
      <w:r>
        <w:rPr>
          <w:rFonts w:ascii="仿宋" w:hAnsi="仿宋" w:eastAsia="仿宋" w:cs="仿宋"/>
          <w:sz w:val="32"/>
        </w:rPr>
        <w:t>2.44万元，</w:t>
      </w:r>
      <w:r>
        <w:rPr>
          <w:rFonts w:ascii="仿宋_GB2312" w:hAnsi="微软雅黑" w:eastAsia="仿宋_GB2312" w:cs="仿宋_GB2312"/>
          <w:sz w:val="31"/>
          <w:szCs w:val="31"/>
          <w:shd w:val="clear" w:color="auto" w:fill="FFFFFF"/>
        </w:rPr>
        <w:t>完成年初预算的</w:t>
      </w:r>
      <w:r>
        <w:rPr>
          <w:rFonts w:hint="eastAsia" w:ascii="仿宋" w:hAnsi="仿宋" w:eastAsia="仿宋" w:cs="仿宋"/>
          <w:sz w:val="32"/>
          <w:szCs w:val="32"/>
        </w:rPr>
        <w:t>100%</w:t>
      </w:r>
      <w:r>
        <w:rPr>
          <w:rFonts w:ascii="仿宋_GB2312" w:hAnsi="微软雅黑" w:eastAsia="仿宋_GB2312" w:cs="仿宋_GB2312"/>
          <w:sz w:val="31"/>
          <w:szCs w:val="31"/>
          <w:shd w:val="clear" w:color="auto" w:fill="FFFFFF"/>
        </w:rPr>
        <w:t>，</w:t>
      </w:r>
      <w:r>
        <w:rPr>
          <w:rFonts w:hint="eastAsia" w:ascii="仿宋" w:hAnsi="仿宋" w:eastAsia="仿宋" w:cs="仿宋"/>
          <w:sz w:val="32"/>
          <w:szCs w:val="32"/>
        </w:rPr>
        <w:t>主要原因是：无差异。</w:t>
      </w:r>
    </w:p>
    <w:p>
      <w:pPr>
        <w:jc w:val="left"/>
        <w:rPr>
          <w:rFonts w:ascii="仿宋" w:hAnsi="仿宋" w:eastAsia="仿宋" w:cs="仿宋"/>
          <w:sz w:val="32"/>
          <w:szCs w:val="32"/>
        </w:rPr>
      </w:pPr>
      <w:r>
        <w:rPr>
          <w:rFonts w:hint="eastAsia" w:ascii="仿宋" w:hAnsi="仿宋" w:eastAsia="仿宋"/>
          <w:sz w:val="32"/>
          <w:szCs w:val="32"/>
        </w:rPr>
        <w:t>支出具体情况如下</w:t>
      </w:r>
      <w:r>
        <w:rPr>
          <w:rFonts w:hint="eastAsia" w:ascii="仿宋" w:hAnsi="仿宋" w:eastAsia="仿宋" w:cs="仿宋"/>
          <w:sz w:val="32"/>
          <w:szCs w:val="32"/>
        </w:rPr>
        <w:t>：30228工会经费2.44万元。</w:t>
      </w:r>
    </w:p>
    <w:p>
      <w:pPr>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4474845" cy="3215640"/>
            <wp:effectExtent l="4445" t="4445" r="16510" b="18415"/>
            <wp:docPr id="1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rPr>
          <w:rFonts w:ascii="仿宋" w:hAnsi="仿宋" w:eastAsia="仿宋" w:cs="仿宋"/>
          <w:sz w:val="32"/>
          <w:szCs w:val="32"/>
        </w:rPr>
      </w:pPr>
    </w:p>
    <w:p>
      <w:pPr>
        <w:numPr>
          <w:ilvl w:val="0"/>
          <w:numId w:val="2"/>
        </w:numPr>
        <w:jc w:val="left"/>
        <w:rPr>
          <w:rFonts w:ascii="仿宋" w:hAnsi="仿宋" w:eastAsia="仿宋" w:cs="仿宋"/>
          <w:sz w:val="32"/>
          <w:szCs w:val="32"/>
        </w:rPr>
      </w:pPr>
      <w:r>
        <w:rPr>
          <w:rFonts w:hint="eastAsia" w:ascii="仿宋" w:hAnsi="仿宋" w:eastAsia="仿宋" w:cs="仿宋"/>
          <w:sz w:val="32"/>
          <w:szCs w:val="32"/>
        </w:rPr>
        <w:t>对个人和家庭的补助</w:t>
      </w:r>
      <w:r>
        <w:rPr>
          <w:rFonts w:ascii="仿宋" w:hAnsi="仿宋" w:eastAsia="仿宋" w:cs="仿宋"/>
          <w:sz w:val="32"/>
        </w:rPr>
        <w:t>0.00万元，</w:t>
      </w:r>
      <w:r>
        <w:rPr>
          <w:rFonts w:ascii="仿宋_GB2312" w:hAnsi="微软雅黑" w:eastAsia="仿宋_GB2312" w:cs="仿宋_GB2312"/>
          <w:sz w:val="31"/>
          <w:szCs w:val="31"/>
          <w:shd w:val="clear" w:color="auto" w:fill="FFFFFF"/>
        </w:rPr>
        <w:t>完成年初预算的</w:t>
      </w:r>
      <w:r>
        <w:rPr>
          <w:rFonts w:hint="eastAsia" w:ascii="仿宋" w:hAnsi="仿宋" w:eastAsia="仿宋" w:cs="仿宋"/>
          <w:sz w:val="32"/>
          <w:szCs w:val="32"/>
        </w:rPr>
        <w:t>0%</w:t>
      </w:r>
      <w:r>
        <w:rPr>
          <w:rFonts w:ascii="仿宋_GB2312" w:hAnsi="微软雅黑" w:eastAsia="仿宋_GB2312" w:cs="仿宋_GB2312"/>
          <w:sz w:val="31"/>
          <w:szCs w:val="31"/>
          <w:shd w:val="clear" w:color="auto" w:fill="FFFFFF"/>
        </w:rPr>
        <w:t>，</w:t>
      </w:r>
      <w:r>
        <w:rPr>
          <w:rFonts w:hint="eastAsia" w:ascii="仿宋" w:hAnsi="仿宋" w:eastAsia="仿宋" w:cs="仿宋"/>
          <w:sz w:val="32"/>
          <w:szCs w:val="32"/>
        </w:rPr>
        <w:t>主要原因是：本单位无对个人和家庭的补助。</w:t>
      </w:r>
    </w:p>
    <w:p>
      <w:pPr>
        <w:jc w:val="left"/>
        <w:rPr>
          <w:rFonts w:ascii="仿宋" w:hAnsi="仿宋" w:eastAsia="仿宋" w:cs="仿宋"/>
          <w:sz w:val="32"/>
          <w:szCs w:val="32"/>
        </w:rPr>
      </w:pPr>
      <w:r>
        <w:rPr>
          <w:rFonts w:hint="eastAsia" w:ascii="仿宋" w:hAnsi="仿宋" w:eastAsia="仿宋"/>
          <w:sz w:val="32"/>
          <w:szCs w:val="32"/>
        </w:rPr>
        <w:t>支出具体情况如下</w:t>
      </w:r>
      <w:r>
        <w:rPr>
          <w:rFonts w:hint="eastAsia" w:ascii="仿宋" w:hAnsi="仿宋" w:eastAsia="仿宋" w:cs="仿宋"/>
          <w:sz w:val="32"/>
          <w:szCs w:val="32"/>
        </w:rPr>
        <w:t>：</w:t>
      </w:r>
    </w:p>
    <w:p>
      <w:pPr>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4474845" cy="2444115"/>
            <wp:effectExtent l="4445" t="4445" r="16510" b="8890"/>
            <wp:docPr id="2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numPr>
          <w:ilvl w:val="0"/>
          <w:numId w:val="2"/>
        </w:numPr>
        <w:jc w:val="left"/>
        <w:rPr>
          <w:rFonts w:ascii="仿宋" w:hAnsi="仿宋" w:eastAsia="仿宋" w:cs="仿宋"/>
          <w:sz w:val="32"/>
          <w:szCs w:val="32"/>
        </w:rPr>
      </w:pPr>
      <w:r>
        <w:rPr>
          <w:rFonts w:hint="eastAsia" w:ascii="仿宋" w:hAnsi="仿宋" w:eastAsia="仿宋" w:cs="仿宋"/>
          <w:sz w:val="32"/>
          <w:szCs w:val="32"/>
        </w:rPr>
        <w:t>债务利息及费用支出</w:t>
      </w:r>
      <w:r>
        <w:rPr>
          <w:rFonts w:ascii="仿宋" w:hAnsi="仿宋" w:eastAsia="仿宋" w:cs="仿宋"/>
          <w:sz w:val="32"/>
        </w:rPr>
        <w:t>0.00万元，</w:t>
      </w:r>
      <w:r>
        <w:rPr>
          <w:rFonts w:ascii="仿宋_GB2312" w:hAnsi="微软雅黑" w:eastAsia="仿宋_GB2312" w:cs="仿宋_GB2312"/>
          <w:sz w:val="31"/>
          <w:szCs w:val="31"/>
          <w:shd w:val="clear" w:color="auto" w:fill="FFFFFF"/>
        </w:rPr>
        <w:t>完成年初预算的</w:t>
      </w:r>
      <w:r>
        <w:rPr>
          <w:rFonts w:hint="eastAsia" w:ascii="仿宋" w:hAnsi="仿宋" w:eastAsia="仿宋" w:cs="仿宋"/>
          <w:sz w:val="32"/>
          <w:szCs w:val="32"/>
        </w:rPr>
        <w:t>0%</w:t>
      </w:r>
      <w:r>
        <w:rPr>
          <w:rFonts w:ascii="仿宋_GB2312" w:hAnsi="微软雅黑" w:eastAsia="仿宋_GB2312" w:cs="仿宋_GB2312"/>
          <w:sz w:val="31"/>
          <w:szCs w:val="31"/>
          <w:shd w:val="clear" w:color="auto" w:fill="FFFFFF"/>
        </w:rPr>
        <w:t>，</w:t>
      </w:r>
      <w:r>
        <w:rPr>
          <w:rFonts w:hint="eastAsia" w:ascii="仿宋" w:hAnsi="仿宋" w:eastAsia="仿宋" w:cs="仿宋"/>
          <w:sz w:val="32"/>
          <w:szCs w:val="32"/>
        </w:rPr>
        <w:t>主要原因是：无债务利息及费用支出。</w:t>
      </w:r>
    </w:p>
    <w:p>
      <w:pPr>
        <w:jc w:val="left"/>
        <w:rPr>
          <w:rFonts w:ascii="仿宋" w:hAnsi="仿宋" w:eastAsia="仿宋" w:cs="仿宋"/>
          <w:sz w:val="32"/>
          <w:szCs w:val="32"/>
        </w:rPr>
      </w:pPr>
      <w:r>
        <w:rPr>
          <w:rFonts w:hint="eastAsia" w:ascii="仿宋" w:hAnsi="仿宋" w:eastAsia="仿宋"/>
          <w:sz w:val="32"/>
          <w:szCs w:val="32"/>
        </w:rPr>
        <w:t>支出具体情况如下</w:t>
      </w:r>
      <w:r>
        <w:rPr>
          <w:rFonts w:hint="eastAsia" w:ascii="仿宋" w:hAnsi="仿宋" w:eastAsia="仿宋" w:cs="仿宋"/>
          <w:sz w:val="32"/>
          <w:szCs w:val="32"/>
        </w:rPr>
        <w:t>：</w:t>
      </w:r>
    </w:p>
    <w:p>
      <w:pPr>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4474845" cy="3215640"/>
            <wp:effectExtent l="4445" t="4445" r="16510" b="18415"/>
            <wp:docPr id="2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rPr>
          <w:rFonts w:ascii="仿宋" w:hAnsi="仿宋" w:eastAsia="仿宋" w:cs="仿宋"/>
          <w:sz w:val="32"/>
          <w:szCs w:val="32"/>
        </w:rPr>
      </w:pPr>
    </w:p>
    <w:p>
      <w:pPr>
        <w:numPr>
          <w:ilvl w:val="0"/>
          <w:numId w:val="2"/>
        </w:numPr>
        <w:jc w:val="left"/>
        <w:rPr>
          <w:rFonts w:ascii="仿宋" w:hAnsi="仿宋" w:eastAsia="仿宋" w:cs="仿宋"/>
          <w:sz w:val="32"/>
          <w:szCs w:val="32"/>
        </w:rPr>
      </w:pPr>
      <w:r>
        <w:rPr>
          <w:rFonts w:hint="eastAsia" w:ascii="仿宋" w:hAnsi="仿宋" w:eastAsia="仿宋" w:cs="仿宋"/>
          <w:sz w:val="32"/>
          <w:szCs w:val="32"/>
        </w:rPr>
        <w:t>资本性支出</w:t>
      </w:r>
      <w:r>
        <w:rPr>
          <w:rFonts w:ascii="仿宋" w:hAnsi="仿宋" w:eastAsia="仿宋" w:cs="仿宋"/>
          <w:sz w:val="32"/>
        </w:rPr>
        <w:t>0.00万元，</w:t>
      </w:r>
      <w:r>
        <w:rPr>
          <w:rFonts w:ascii="仿宋_GB2312" w:hAnsi="微软雅黑" w:eastAsia="仿宋_GB2312" w:cs="仿宋_GB2312"/>
          <w:sz w:val="31"/>
          <w:szCs w:val="31"/>
          <w:shd w:val="clear" w:color="auto" w:fill="FFFFFF"/>
        </w:rPr>
        <w:t>完成年初预算的</w:t>
      </w:r>
      <w:r>
        <w:rPr>
          <w:rFonts w:hint="eastAsia" w:ascii="仿宋" w:hAnsi="仿宋" w:eastAsia="仿宋" w:cs="仿宋"/>
          <w:sz w:val="32"/>
          <w:szCs w:val="32"/>
        </w:rPr>
        <w:t>0%</w:t>
      </w:r>
      <w:r>
        <w:rPr>
          <w:rFonts w:ascii="仿宋_GB2312" w:hAnsi="微软雅黑" w:eastAsia="仿宋_GB2312" w:cs="仿宋_GB2312"/>
          <w:sz w:val="31"/>
          <w:szCs w:val="31"/>
          <w:shd w:val="clear" w:color="auto" w:fill="FFFFFF"/>
        </w:rPr>
        <w:t>，</w:t>
      </w:r>
      <w:r>
        <w:rPr>
          <w:rFonts w:hint="eastAsia" w:ascii="仿宋" w:hAnsi="仿宋" w:eastAsia="仿宋" w:cs="仿宋"/>
          <w:sz w:val="32"/>
          <w:szCs w:val="32"/>
        </w:rPr>
        <w:t>主要原因是：无资本性支出。</w:t>
      </w:r>
    </w:p>
    <w:p>
      <w:pPr>
        <w:jc w:val="left"/>
        <w:rPr>
          <w:rFonts w:ascii="仿宋" w:hAnsi="仿宋" w:eastAsia="仿宋" w:cs="仿宋"/>
          <w:sz w:val="32"/>
          <w:szCs w:val="32"/>
        </w:rPr>
      </w:pPr>
      <w:r>
        <w:rPr>
          <w:rFonts w:hint="eastAsia" w:ascii="仿宋" w:hAnsi="仿宋" w:eastAsia="仿宋"/>
          <w:sz w:val="32"/>
          <w:szCs w:val="32"/>
        </w:rPr>
        <w:t>支出具体情况如下</w:t>
      </w:r>
      <w:r>
        <w:rPr>
          <w:rFonts w:hint="eastAsia" w:ascii="仿宋" w:hAnsi="仿宋" w:eastAsia="仿宋" w:cs="仿宋"/>
          <w:sz w:val="32"/>
          <w:szCs w:val="32"/>
        </w:rPr>
        <w:t>：</w:t>
      </w:r>
    </w:p>
    <w:p>
      <w:pPr>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4474845" cy="2806065"/>
            <wp:effectExtent l="4445" t="4445" r="16510" b="8890"/>
            <wp:docPr id="2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numPr>
          <w:ilvl w:val="0"/>
          <w:numId w:val="2"/>
        </w:numPr>
        <w:jc w:val="left"/>
        <w:rPr>
          <w:rFonts w:ascii="仿宋" w:hAnsi="仿宋" w:eastAsia="仿宋" w:cs="仿宋"/>
          <w:sz w:val="32"/>
          <w:szCs w:val="32"/>
        </w:rPr>
      </w:pPr>
      <w:r>
        <w:rPr>
          <w:rFonts w:hint="eastAsia" w:ascii="仿宋" w:hAnsi="仿宋" w:eastAsia="仿宋" w:cs="仿宋"/>
          <w:sz w:val="32"/>
          <w:szCs w:val="32"/>
        </w:rPr>
        <w:t>其他支出</w:t>
      </w:r>
      <w:r>
        <w:rPr>
          <w:rFonts w:ascii="仿宋" w:hAnsi="仿宋" w:eastAsia="仿宋" w:cs="仿宋"/>
          <w:sz w:val="32"/>
        </w:rPr>
        <w:t>0.00万元，</w:t>
      </w:r>
      <w:r>
        <w:rPr>
          <w:rFonts w:ascii="仿宋_GB2312" w:hAnsi="微软雅黑" w:eastAsia="仿宋_GB2312" w:cs="仿宋_GB2312"/>
          <w:sz w:val="31"/>
          <w:szCs w:val="31"/>
          <w:shd w:val="clear" w:color="auto" w:fill="FFFFFF"/>
        </w:rPr>
        <w:t>完成年初预算的</w:t>
      </w:r>
      <w:r>
        <w:rPr>
          <w:rFonts w:hint="eastAsia" w:ascii="仿宋" w:hAnsi="仿宋" w:eastAsia="仿宋" w:cs="仿宋"/>
          <w:sz w:val="32"/>
          <w:szCs w:val="32"/>
        </w:rPr>
        <w:t>0%</w:t>
      </w:r>
      <w:r>
        <w:rPr>
          <w:rFonts w:ascii="仿宋_GB2312" w:hAnsi="微软雅黑" w:eastAsia="仿宋_GB2312" w:cs="仿宋_GB2312"/>
          <w:sz w:val="31"/>
          <w:szCs w:val="31"/>
          <w:shd w:val="clear" w:color="auto" w:fill="FFFFFF"/>
        </w:rPr>
        <w:t>，</w:t>
      </w:r>
      <w:r>
        <w:rPr>
          <w:rFonts w:hint="eastAsia" w:ascii="仿宋" w:hAnsi="仿宋" w:eastAsia="仿宋" w:cs="仿宋"/>
          <w:sz w:val="32"/>
          <w:szCs w:val="32"/>
        </w:rPr>
        <w:t>主要原因是：无其他支出。</w:t>
      </w:r>
    </w:p>
    <w:p>
      <w:pPr>
        <w:numPr>
          <w:ilvl w:val="0"/>
          <w:numId w:val="0"/>
        </w:numPr>
        <w:ind w:left="420" w:leftChars="0"/>
        <w:jc w:val="left"/>
        <w:rPr>
          <w:rFonts w:ascii="仿宋" w:hAnsi="仿宋" w:eastAsia="仿宋" w:cs="仿宋"/>
          <w:sz w:val="32"/>
          <w:szCs w:val="32"/>
        </w:rPr>
      </w:pPr>
      <w:r>
        <w:rPr>
          <w:rFonts w:hint="eastAsia" w:ascii="仿宋" w:hAnsi="仿宋" w:eastAsia="仿宋"/>
          <w:sz w:val="32"/>
          <w:szCs w:val="32"/>
        </w:rPr>
        <w:t>支出具体情况如下</w:t>
      </w:r>
      <w:r>
        <w:rPr>
          <w:rFonts w:hint="eastAsia" w:ascii="仿宋" w:hAnsi="仿宋" w:eastAsia="仿宋" w:cs="仿宋"/>
          <w:sz w:val="32"/>
          <w:szCs w:val="32"/>
        </w:rPr>
        <w:t>：</w:t>
      </w:r>
    </w:p>
    <w:p>
      <w:pPr>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4474845" cy="3215640"/>
            <wp:effectExtent l="4445" t="4445" r="16510" b="18415"/>
            <wp:docPr id="2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jc w:val="left"/>
        <w:rPr>
          <w:rFonts w:ascii="黑体" w:hAnsi="黑体" w:eastAsia="黑体" w:cs="黑体"/>
          <w:sz w:val="32"/>
          <w:szCs w:val="32"/>
        </w:rPr>
      </w:pPr>
      <w:r>
        <w:rPr>
          <w:rFonts w:hint="eastAsia" w:ascii="黑体" w:hAnsi="黑体" w:eastAsia="黑体" w:cs="黑体"/>
          <w:sz w:val="32"/>
          <w:szCs w:val="32"/>
        </w:rPr>
        <w:t>四、2022年度政府性基金支出决算情况</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环江毛南族自治县第二幼儿园2022年度政府性基金支出</w:t>
      </w:r>
      <w:r>
        <w:rPr>
          <w:rFonts w:ascii="仿宋" w:hAnsi="仿宋" w:eastAsia="仿宋" w:cs="仿宋"/>
          <w:sz w:val="32"/>
          <w:szCs w:val="32"/>
        </w:rPr>
        <w:t>0.00</w:t>
      </w:r>
      <w:r>
        <w:rPr>
          <w:rFonts w:hint="eastAsia" w:ascii="仿宋" w:hAnsi="仿宋" w:eastAsia="仿宋" w:cs="仿宋"/>
          <w:sz w:val="32"/>
          <w:szCs w:val="32"/>
        </w:rPr>
        <w:t>万元，较2021年度决算数</w:t>
      </w:r>
      <w:r>
        <w:rPr>
          <w:rFonts w:ascii="仿宋" w:hAnsi="仿宋" w:eastAsia="仿宋" w:cs="仿宋"/>
          <w:sz w:val="32"/>
          <w:szCs w:val="32"/>
        </w:rPr>
        <w:t>增加0.00</w:t>
      </w:r>
      <w:r>
        <w:rPr>
          <w:rFonts w:hint="eastAsia" w:ascii="仿宋" w:hAnsi="仿宋" w:eastAsia="仿宋" w:cs="仿宋"/>
          <w:sz w:val="32"/>
          <w:szCs w:val="32"/>
        </w:rPr>
        <w:t>万元，</w:t>
      </w:r>
      <w:r>
        <w:rPr>
          <w:rFonts w:ascii="仿宋" w:hAnsi="仿宋" w:eastAsia="仿宋" w:cs="仿宋"/>
          <w:sz w:val="32"/>
          <w:szCs w:val="32"/>
        </w:rPr>
        <w:t>增长0%</w:t>
      </w:r>
      <w:r>
        <w:rPr>
          <w:rFonts w:hint="eastAsia" w:ascii="仿宋" w:hAnsi="仿宋" w:eastAsia="仿宋" w:cs="仿宋"/>
          <w:sz w:val="32"/>
          <w:szCs w:val="32"/>
        </w:rPr>
        <w:t>其中：基本支出</w:t>
      </w:r>
      <w:r>
        <w:rPr>
          <w:rFonts w:ascii="仿宋" w:hAnsi="仿宋" w:eastAsia="仿宋" w:cs="仿宋"/>
          <w:sz w:val="32"/>
          <w:szCs w:val="32"/>
        </w:rPr>
        <w:t>0.00</w:t>
      </w:r>
      <w:r>
        <w:rPr>
          <w:rFonts w:hint="eastAsia" w:ascii="仿宋" w:hAnsi="仿宋" w:eastAsia="仿宋" w:cs="仿宋"/>
          <w:sz w:val="32"/>
          <w:szCs w:val="32"/>
        </w:rPr>
        <w:t>万元，项目支出</w:t>
      </w:r>
      <w:r>
        <w:rPr>
          <w:rFonts w:ascii="仿宋" w:hAnsi="仿宋" w:eastAsia="仿宋" w:cs="仿宋"/>
          <w:sz w:val="32"/>
          <w:szCs w:val="32"/>
        </w:rPr>
        <w:t>0.00</w:t>
      </w:r>
      <w:r>
        <w:rPr>
          <w:rFonts w:hint="eastAsia" w:ascii="仿宋" w:hAnsi="仿宋" w:eastAsia="仿宋" w:cs="仿宋"/>
          <w:sz w:val="32"/>
          <w:szCs w:val="32"/>
        </w:rPr>
        <w:t>万元。</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环江毛南族自治县第二幼儿园2022年度政府性基金支出年初预算为</w:t>
      </w:r>
      <w:r>
        <w:rPr>
          <w:rFonts w:ascii="仿宋" w:hAnsi="仿宋" w:eastAsia="仿宋" w:cs="仿宋"/>
          <w:sz w:val="32"/>
          <w:szCs w:val="32"/>
        </w:rPr>
        <w:t>0.00</w:t>
      </w:r>
      <w:r>
        <w:rPr>
          <w:rFonts w:hint="eastAsia" w:ascii="仿宋" w:hAnsi="仿宋" w:eastAsia="仿宋" w:cs="仿宋"/>
          <w:sz w:val="32"/>
          <w:szCs w:val="32"/>
        </w:rPr>
        <w:t>万元，支出决算为</w:t>
      </w:r>
      <w:r>
        <w:rPr>
          <w:rFonts w:ascii="仿宋" w:hAnsi="仿宋" w:eastAsia="仿宋" w:cs="仿宋"/>
          <w:sz w:val="32"/>
          <w:szCs w:val="32"/>
        </w:rPr>
        <w:t>0.00</w:t>
      </w:r>
      <w:r>
        <w:rPr>
          <w:rFonts w:hint="eastAsia" w:ascii="仿宋" w:hAnsi="仿宋" w:eastAsia="仿宋" w:cs="仿宋"/>
          <w:sz w:val="32"/>
          <w:szCs w:val="32"/>
        </w:rPr>
        <w:t>万元，完成年初预算的</w:t>
      </w:r>
      <w:r>
        <w:rPr>
          <w:rFonts w:ascii="仿宋" w:hAnsi="仿宋" w:eastAsia="仿宋" w:cs="仿宋"/>
          <w:sz w:val="32"/>
          <w:szCs w:val="32"/>
        </w:rPr>
        <w:t>0%</w:t>
      </w:r>
      <w:r>
        <w:rPr>
          <w:rFonts w:hint="eastAsia" w:ascii="仿宋" w:hAnsi="仿宋" w:eastAsia="仿宋" w:cs="仿宋"/>
          <w:sz w:val="32"/>
          <w:szCs w:val="32"/>
        </w:rPr>
        <w:t>。</w:t>
      </w:r>
    </w:p>
    <w:p>
      <w:pPr>
        <w:ind w:firstLine="640" w:firstLineChars="200"/>
        <w:jc w:val="left"/>
        <w:rPr>
          <w:rFonts w:ascii="仿宋" w:hAnsi="仿宋" w:eastAsia="仿宋" w:cs="仿宋"/>
          <w:sz w:val="32"/>
          <w:szCs w:val="32"/>
        </w:rPr>
      </w:pPr>
      <w:r>
        <w:rPr>
          <w:rFonts w:hint="eastAsia" w:ascii="仿宋_GB2312" w:hAnsi="Times New Roman" w:eastAsia="仿宋_GB2312" w:cs="Times New Roman"/>
          <w:sz w:val="32"/>
          <w:szCs w:val="32"/>
        </w:rPr>
        <w:t>环江毛南族自治县第二幼儿园</w:t>
      </w:r>
      <w:r>
        <w:rPr>
          <w:rFonts w:ascii="仿宋_GB2312" w:hAnsi="仿宋_GB2312" w:eastAsia="仿宋_GB2312" w:cs="仿宋_GB2312"/>
          <w:sz w:val="32"/>
        </w:rPr>
        <w:t>没有政府性基金收入，也没有政府性基金收入安排的支出</w:t>
      </w:r>
      <w:r>
        <w:rPr>
          <w:rFonts w:hint="eastAsia" w:ascii="仿宋_GB2312" w:hAnsi="Times New Roman" w:eastAsia="仿宋_GB2312" w:cs="Times New Roman"/>
          <w:sz w:val="32"/>
          <w:szCs w:val="32"/>
        </w:rPr>
        <w:t>。</w:t>
      </w:r>
    </w:p>
    <w:p>
      <w:pPr>
        <w:jc w:val="left"/>
        <w:rPr>
          <w:rFonts w:ascii="仿宋" w:hAnsi="仿宋" w:eastAsia="仿宋" w:cs="仿宋"/>
          <w:sz w:val="32"/>
          <w:szCs w:val="32"/>
        </w:rPr>
      </w:pPr>
      <w:r>
        <w:rPr>
          <w:rFonts w:hint="eastAsia" w:ascii="黑体" w:hAnsi="黑体" w:eastAsia="黑体" w:cs="黑体"/>
          <w:sz w:val="32"/>
          <w:szCs w:val="32"/>
        </w:rPr>
        <w:t>五、2022年度国有资本经营预算支出决算情况</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环江毛南族自治县第二幼儿园2022年度国有资本经营预算支出</w:t>
      </w:r>
      <w:r>
        <w:rPr>
          <w:rFonts w:ascii="仿宋" w:hAnsi="仿宋" w:eastAsia="仿宋" w:cs="仿宋"/>
          <w:sz w:val="32"/>
          <w:szCs w:val="32"/>
        </w:rPr>
        <w:t>0.00</w:t>
      </w:r>
      <w:r>
        <w:rPr>
          <w:rFonts w:hint="eastAsia" w:ascii="仿宋" w:hAnsi="仿宋" w:eastAsia="仿宋" w:cs="仿宋"/>
          <w:sz w:val="32"/>
          <w:szCs w:val="32"/>
        </w:rPr>
        <w:t>万元。其中：基本支出</w:t>
      </w:r>
      <w:r>
        <w:rPr>
          <w:rFonts w:ascii="仿宋" w:hAnsi="仿宋" w:eastAsia="仿宋" w:cs="仿宋"/>
          <w:sz w:val="32"/>
          <w:szCs w:val="32"/>
        </w:rPr>
        <w:t>0.00</w:t>
      </w:r>
      <w:r>
        <w:rPr>
          <w:rFonts w:hint="eastAsia" w:ascii="仿宋" w:hAnsi="仿宋" w:eastAsia="仿宋" w:cs="仿宋"/>
          <w:sz w:val="32"/>
          <w:szCs w:val="32"/>
        </w:rPr>
        <w:t>万元，项目支出</w:t>
      </w:r>
      <w:r>
        <w:rPr>
          <w:rFonts w:ascii="仿宋" w:hAnsi="仿宋" w:eastAsia="仿宋" w:cs="仿宋"/>
          <w:sz w:val="32"/>
          <w:szCs w:val="32"/>
        </w:rPr>
        <w:t>0.00</w:t>
      </w:r>
      <w:r>
        <w:rPr>
          <w:rFonts w:hint="eastAsia" w:ascii="仿宋" w:hAnsi="仿宋" w:eastAsia="仿宋" w:cs="仿宋"/>
          <w:sz w:val="32"/>
          <w:szCs w:val="32"/>
        </w:rPr>
        <w:t>万元。</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环江毛南族自治县第二幼儿园2022 年度国有资本经营预算支出年初预算为</w:t>
      </w:r>
      <w:r>
        <w:rPr>
          <w:rFonts w:ascii="仿宋" w:hAnsi="仿宋" w:eastAsia="仿宋" w:cs="仿宋"/>
          <w:sz w:val="32"/>
          <w:szCs w:val="32"/>
        </w:rPr>
        <w:t>0.00</w:t>
      </w:r>
      <w:r>
        <w:rPr>
          <w:rFonts w:hint="eastAsia" w:ascii="仿宋" w:hAnsi="仿宋" w:eastAsia="仿宋" w:cs="仿宋"/>
          <w:sz w:val="32"/>
          <w:szCs w:val="32"/>
        </w:rPr>
        <w:t>万元，支出决算为</w:t>
      </w:r>
      <w:r>
        <w:rPr>
          <w:rFonts w:ascii="仿宋" w:hAnsi="仿宋" w:eastAsia="仿宋" w:cs="仿宋"/>
          <w:sz w:val="32"/>
          <w:szCs w:val="32"/>
        </w:rPr>
        <w:t>0.00</w:t>
      </w:r>
      <w:r>
        <w:rPr>
          <w:rFonts w:hint="eastAsia" w:ascii="仿宋" w:hAnsi="仿宋" w:eastAsia="仿宋" w:cs="仿宋"/>
          <w:sz w:val="32"/>
          <w:szCs w:val="32"/>
        </w:rPr>
        <w:t>万元，完成年初预算的</w:t>
      </w:r>
      <w:r>
        <w:rPr>
          <w:rFonts w:ascii="仿宋" w:hAnsi="仿宋" w:eastAsia="仿宋" w:cs="仿宋"/>
          <w:sz w:val="32"/>
          <w:szCs w:val="32"/>
        </w:rPr>
        <w:t>0%</w:t>
      </w:r>
      <w:r>
        <w:rPr>
          <w:rFonts w:hint="eastAsia" w:ascii="仿宋" w:hAnsi="仿宋" w:eastAsia="仿宋" w:cs="仿宋"/>
          <w:sz w:val="32"/>
          <w:szCs w:val="32"/>
        </w:rPr>
        <w:t>。</w:t>
      </w:r>
    </w:p>
    <w:p>
      <w:pPr>
        <w:ind w:firstLine="640" w:firstLineChars="200"/>
        <w:jc w:val="left"/>
        <w:rPr>
          <w:rFonts w:ascii="仿宋" w:hAnsi="仿宋" w:eastAsia="仿宋" w:cs="仿宋"/>
          <w:sz w:val="32"/>
          <w:szCs w:val="32"/>
        </w:rPr>
      </w:pPr>
      <w:bookmarkStart w:id="4" w:name="PO_part3A5B1C1DiffReason1"/>
      <w:r>
        <w:rPr>
          <w:rFonts w:hint="eastAsia" w:ascii="仿宋_GB2312" w:hAnsi="Times New Roman" w:eastAsia="仿宋_GB2312" w:cs="Times New Roman"/>
          <w:sz w:val="32"/>
          <w:szCs w:val="32"/>
        </w:rPr>
        <w:t>环江毛南族自治县第二幼儿园</w:t>
      </w:r>
      <w:r>
        <w:rPr>
          <w:rFonts w:ascii="仿宋_GB2312" w:hAnsi="仿宋_GB2312" w:eastAsia="仿宋_GB2312" w:cs="仿宋_GB2312"/>
          <w:sz w:val="32"/>
        </w:rPr>
        <w:t>没有国有资本经营预算收入，也没有国有资本经营预算收入</w:t>
      </w:r>
      <w:r>
        <w:rPr>
          <w:rFonts w:hint="eastAsia" w:ascii="仿宋_GB2312" w:hAnsi="Times New Roman" w:eastAsia="仿宋_GB2312" w:cs="Times New Roman"/>
          <w:sz w:val="32"/>
          <w:szCs w:val="32"/>
        </w:rPr>
        <w:t>安排的支出。</w:t>
      </w:r>
      <w:bookmarkEnd w:id="4"/>
    </w:p>
    <w:p>
      <w:pPr>
        <w:jc w:val="left"/>
        <w:rPr>
          <w:rFonts w:ascii="仿宋" w:hAnsi="仿宋" w:eastAsia="仿宋" w:cs="仿宋"/>
          <w:sz w:val="32"/>
          <w:szCs w:val="32"/>
        </w:rPr>
      </w:pPr>
      <w:r>
        <w:rPr>
          <w:rFonts w:hint="eastAsia" w:ascii="黑体" w:hAnsi="黑体" w:eastAsia="黑体" w:cs="黑体"/>
          <w:sz w:val="32"/>
          <w:szCs w:val="32"/>
        </w:rPr>
        <w:t>六、财政拨款“三公”经费支出决算情况说明</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2022年预算财政拨款安排的“三公”经费支出</w:t>
      </w:r>
      <w:r>
        <w:rPr>
          <w:rFonts w:ascii="仿宋" w:hAnsi="仿宋" w:eastAsia="仿宋" w:cs="仿宋"/>
          <w:sz w:val="32"/>
          <w:szCs w:val="32"/>
        </w:rPr>
        <w:t>0.00</w:t>
      </w:r>
      <w:r>
        <w:rPr>
          <w:rFonts w:hint="eastAsia" w:ascii="仿宋" w:hAnsi="仿宋" w:eastAsia="仿宋" w:cs="仿宋"/>
          <w:sz w:val="32"/>
          <w:szCs w:val="32"/>
        </w:rPr>
        <w:t>万元，完成年初预算的</w:t>
      </w:r>
      <w:r>
        <w:rPr>
          <w:rFonts w:ascii="仿宋" w:hAnsi="仿宋" w:eastAsia="仿宋" w:cs="仿宋"/>
          <w:sz w:val="32"/>
          <w:szCs w:val="32"/>
        </w:rPr>
        <w:t>0%</w:t>
      </w:r>
      <w:r>
        <w:rPr>
          <w:rFonts w:hint="eastAsia" w:ascii="仿宋" w:hAnsi="仿宋" w:eastAsia="仿宋" w:cs="仿宋"/>
          <w:sz w:val="32"/>
          <w:szCs w:val="32"/>
        </w:rPr>
        <w:t>，比上年</w:t>
      </w:r>
      <w:r>
        <w:rPr>
          <w:rFonts w:ascii="仿宋" w:hAnsi="仿宋" w:eastAsia="仿宋" w:cs="仿宋"/>
          <w:sz w:val="32"/>
          <w:szCs w:val="32"/>
        </w:rPr>
        <w:t>增加0.00</w:t>
      </w:r>
      <w:r>
        <w:rPr>
          <w:rFonts w:hint="eastAsia" w:ascii="仿宋" w:hAnsi="仿宋" w:eastAsia="仿宋" w:cs="仿宋"/>
          <w:sz w:val="32"/>
          <w:szCs w:val="32"/>
        </w:rPr>
        <w:t>万元，主要原因是：无财政拨款安排的“三公”经费支出。其中：因公出国（境）费支出决算</w:t>
      </w:r>
      <w:r>
        <w:rPr>
          <w:rFonts w:ascii="仿宋" w:hAnsi="仿宋" w:eastAsia="仿宋" w:cs="仿宋"/>
          <w:sz w:val="32"/>
          <w:szCs w:val="32"/>
        </w:rPr>
        <w:t>0.00</w:t>
      </w:r>
      <w:r>
        <w:rPr>
          <w:rFonts w:hint="eastAsia" w:ascii="仿宋" w:hAnsi="仿宋" w:eastAsia="仿宋" w:cs="仿宋"/>
          <w:sz w:val="32"/>
          <w:szCs w:val="32"/>
        </w:rPr>
        <w:t>万元，公务用车购置及运行费支出决算</w:t>
      </w:r>
      <w:r>
        <w:rPr>
          <w:rFonts w:ascii="仿宋" w:hAnsi="仿宋" w:eastAsia="仿宋" w:cs="仿宋"/>
          <w:sz w:val="32"/>
          <w:szCs w:val="32"/>
        </w:rPr>
        <w:t>0.00</w:t>
      </w:r>
      <w:r>
        <w:rPr>
          <w:rFonts w:hint="eastAsia" w:ascii="仿宋" w:hAnsi="仿宋" w:eastAsia="仿宋" w:cs="仿宋"/>
          <w:sz w:val="32"/>
          <w:szCs w:val="32"/>
        </w:rPr>
        <w:t>万元，公务接待费支出决算</w:t>
      </w:r>
      <w:r>
        <w:rPr>
          <w:rFonts w:ascii="仿宋" w:hAnsi="仿宋" w:eastAsia="仿宋" w:cs="仿宋"/>
          <w:sz w:val="32"/>
          <w:szCs w:val="32"/>
        </w:rPr>
        <w:t>0.00</w:t>
      </w:r>
      <w:r>
        <w:rPr>
          <w:rFonts w:hint="eastAsia" w:ascii="仿宋" w:hAnsi="仿宋" w:eastAsia="仿宋" w:cs="仿宋"/>
          <w:sz w:val="32"/>
          <w:szCs w:val="32"/>
        </w:rPr>
        <w:t>万元。</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具体情况如下：</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（一）因公出国（境）费支出</w:t>
      </w:r>
      <w:r>
        <w:rPr>
          <w:rFonts w:ascii="仿宋" w:hAnsi="仿宋" w:eastAsia="仿宋" w:cs="仿宋"/>
          <w:sz w:val="32"/>
          <w:szCs w:val="32"/>
        </w:rPr>
        <w:t>0.00</w:t>
      </w:r>
      <w:r>
        <w:rPr>
          <w:rFonts w:hint="eastAsia" w:ascii="仿宋" w:hAnsi="仿宋" w:eastAsia="仿宋" w:cs="仿宋"/>
          <w:sz w:val="32"/>
          <w:szCs w:val="32"/>
        </w:rPr>
        <w:t>万元，完成年初预算的</w:t>
      </w:r>
      <w:r>
        <w:rPr>
          <w:rFonts w:ascii="仿宋" w:hAnsi="仿宋" w:eastAsia="仿宋" w:cs="仿宋"/>
          <w:sz w:val="32"/>
          <w:szCs w:val="32"/>
        </w:rPr>
        <w:t>0%</w:t>
      </w:r>
      <w:r>
        <w:rPr>
          <w:rFonts w:hint="eastAsia" w:ascii="仿宋" w:hAnsi="仿宋" w:eastAsia="仿宋" w:cs="仿宋"/>
          <w:sz w:val="32"/>
          <w:szCs w:val="32"/>
        </w:rPr>
        <w:t>，比上年</w:t>
      </w:r>
      <w:r>
        <w:rPr>
          <w:rFonts w:ascii="仿宋" w:hAnsi="仿宋" w:eastAsia="仿宋" w:cs="仿宋"/>
          <w:sz w:val="32"/>
          <w:szCs w:val="32"/>
        </w:rPr>
        <w:t>增加0.00</w:t>
      </w:r>
      <w:r>
        <w:rPr>
          <w:rFonts w:hint="eastAsia" w:ascii="仿宋" w:hAnsi="仿宋" w:eastAsia="仿宋" w:cs="仿宋"/>
          <w:sz w:val="32"/>
          <w:szCs w:val="32"/>
        </w:rPr>
        <w:t xml:space="preserve"> 万元。原因是：本单位</w:t>
      </w:r>
      <w:r>
        <w:rPr>
          <w:rFonts w:hint="eastAsia" w:ascii="仿宋_GB2312" w:hAnsi="Times New Roman" w:eastAsia="仿宋_GB2312" w:cs="Times New Roman"/>
          <w:sz w:val="32"/>
          <w:szCs w:val="32"/>
        </w:rPr>
        <w:t>无因公出国（境）费支出。</w:t>
      </w:r>
      <w:r>
        <w:rPr>
          <w:rFonts w:hint="eastAsia" w:ascii="仿宋" w:hAnsi="仿宋" w:eastAsia="仿宋" w:cs="仿宋"/>
          <w:sz w:val="32"/>
          <w:szCs w:val="32"/>
        </w:rPr>
        <w:t>全年因公出国（境）团组共计</w:t>
      </w:r>
      <w:r>
        <w:rPr>
          <w:rFonts w:ascii="仿宋" w:hAnsi="仿宋" w:eastAsia="仿宋" w:cs="仿宋"/>
          <w:sz w:val="32"/>
          <w:szCs w:val="32"/>
        </w:rPr>
        <w:t>0</w:t>
      </w:r>
      <w:r>
        <w:rPr>
          <w:rFonts w:hint="eastAsia" w:ascii="仿宋" w:hAnsi="仿宋" w:eastAsia="仿宋" w:cs="仿宋"/>
          <w:sz w:val="32"/>
          <w:szCs w:val="32"/>
        </w:rPr>
        <w:t>个，累计</w:t>
      </w:r>
      <w:r>
        <w:rPr>
          <w:rFonts w:ascii="仿宋" w:hAnsi="仿宋" w:eastAsia="仿宋" w:cs="仿宋"/>
          <w:sz w:val="32"/>
          <w:szCs w:val="32"/>
        </w:rPr>
        <w:t>0</w:t>
      </w:r>
      <w:r>
        <w:rPr>
          <w:rFonts w:hint="eastAsia" w:ascii="仿宋" w:hAnsi="仿宋" w:eastAsia="仿宋" w:cs="仿宋"/>
          <w:sz w:val="32"/>
          <w:szCs w:val="32"/>
        </w:rPr>
        <w:t>人次。</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（二）公务用车购置及运行维护费</w:t>
      </w:r>
      <w:r>
        <w:rPr>
          <w:rFonts w:ascii="仿宋" w:hAnsi="仿宋" w:eastAsia="仿宋" w:cs="仿宋"/>
          <w:sz w:val="32"/>
        </w:rPr>
        <w:t>0.00</w:t>
      </w:r>
      <w:r>
        <w:rPr>
          <w:rFonts w:hint="eastAsia" w:ascii="仿宋" w:hAnsi="仿宋" w:eastAsia="仿宋" w:cs="仿宋"/>
          <w:sz w:val="32"/>
          <w:szCs w:val="32"/>
        </w:rPr>
        <w:t>万元。其中：公务用车购置支出</w:t>
      </w:r>
      <w:r>
        <w:rPr>
          <w:rFonts w:ascii="仿宋" w:hAnsi="仿宋" w:eastAsia="仿宋" w:cs="仿宋"/>
          <w:sz w:val="32"/>
        </w:rPr>
        <w:t>0.00</w:t>
      </w:r>
      <w:r>
        <w:rPr>
          <w:rFonts w:hint="eastAsia" w:ascii="仿宋" w:hAnsi="仿宋" w:eastAsia="仿宋" w:cs="仿宋"/>
          <w:sz w:val="32"/>
          <w:szCs w:val="32"/>
        </w:rPr>
        <w:t>万元，完成年初预算的</w:t>
      </w:r>
      <w:r>
        <w:rPr>
          <w:rFonts w:ascii="仿宋" w:hAnsi="仿宋" w:eastAsia="仿宋" w:cs="仿宋"/>
          <w:sz w:val="32"/>
        </w:rPr>
        <w:t>0%</w:t>
      </w:r>
      <w:r>
        <w:rPr>
          <w:rFonts w:hint="eastAsia" w:ascii="仿宋" w:hAnsi="仿宋" w:eastAsia="仿宋" w:cs="仿宋"/>
          <w:sz w:val="32"/>
          <w:szCs w:val="32"/>
        </w:rPr>
        <w:t>，比上年</w:t>
      </w:r>
      <w:r>
        <w:rPr>
          <w:rFonts w:ascii="仿宋" w:hAnsi="仿宋" w:eastAsia="仿宋" w:cs="仿宋"/>
          <w:sz w:val="32"/>
        </w:rPr>
        <w:t>增加0.00</w:t>
      </w:r>
      <w:r>
        <w:rPr>
          <w:rFonts w:hint="eastAsia" w:ascii="仿宋" w:hAnsi="仿宋" w:eastAsia="仿宋" w:cs="仿宋"/>
          <w:sz w:val="32"/>
          <w:szCs w:val="32"/>
        </w:rPr>
        <w:t xml:space="preserve"> 万元。主要原因是</w:t>
      </w:r>
      <w:bookmarkStart w:id="5" w:name="PO_part3A6B2IncReason1"/>
      <w:r>
        <w:rPr>
          <w:rFonts w:hint="eastAsia" w:ascii="仿宋" w:hAnsi="仿宋" w:eastAsia="仿宋" w:cs="仿宋"/>
          <w:sz w:val="32"/>
          <w:szCs w:val="32"/>
        </w:rPr>
        <w:t>本部门无公务用车购置</w:t>
      </w:r>
      <w:bookmarkEnd w:id="5"/>
      <w:r>
        <w:rPr>
          <w:rFonts w:hint="eastAsia" w:ascii="仿宋" w:hAnsi="仿宋" w:eastAsia="仿宋" w:cs="仿宋"/>
          <w:sz w:val="32"/>
          <w:szCs w:val="32"/>
        </w:rPr>
        <w:t>。</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公务用车运行维护支出</w:t>
      </w:r>
      <w:r>
        <w:rPr>
          <w:rFonts w:ascii="仿宋" w:hAnsi="仿宋" w:eastAsia="仿宋" w:cs="仿宋"/>
          <w:sz w:val="32"/>
        </w:rPr>
        <w:t>0.00</w:t>
      </w:r>
      <w:r>
        <w:rPr>
          <w:rFonts w:hint="eastAsia" w:ascii="仿宋" w:hAnsi="仿宋" w:eastAsia="仿宋" w:cs="仿宋"/>
          <w:sz w:val="32"/>
          <w:szCs w:val="32"/>
        </w:rPr>
        <w:t>万元，完成年初预算的</w:t>
      </w:r>
      <w:r>
        <w:rPr>
          <w:rFonts w:ascii="仿宋" w:hAnsi="仿宋" w:eastAsia="仿宋" w:cs="仿宋"/>
          <w:sz w:val="32"/>
        </w:rPr>
        <w:t>0%</w:t>
      </w:r>
      <w:r>
        <w:rPr>
          <w:rFonts w:hint="eastAsia" w:ascii="仿宋" w:hAnsi="仿宋" w:eastAsia="仿宋" w:cs="仿宋"/>
          <w:sz w:val="32"/>
          <w:szCs w:val="32"/>
        </w:rPr>
        <w:t>，比上年</w:t>
      </w:r>
      <w:r>
        <w:rPr>
          <w:rFonts w:ascii="仿宋" w:hAnsi="仿宋" w:eastAsia="仿宋" w:cs="仿宋"/>
          <w:sz w:val="32"/>
        </w:rPr>
        <w:t>增加0.00</w:t>
      </w:r>
      <w:r>
        <w:rPr>
          <w:rFonts w:hint="eastAsia" w:ascii="仿宋" w:hAnsi="仿宋" w:eastAsia="仿宋" w:cs="仿宋"/>
          <w:sz w:val="32"/>
          <w:szCs w:val="32"/>
        </w:rPr>
        <w:t>万元。主要原因是：本部门无公务用车。2022年，</w:t>
      </w:r>
      <w:r>
        <w:rPr>
          <w:rFonts w:hint="eastAsia" w:ascii="仿宋" w:hAnsi="仿宋" w:eastAsia="仿宋" w:cs="仿宋"/>
          <w:sz w:val="32"/>
          <w:lang w:val="en-US" w:eastAsia="zh-CN"/>
        </w:rPr>
        <w:t>本单位</w:t>
      </w:r>
      <w:bookmarkStart w:id="7" w:name="_GoBack"/>
      <w:bookmarkEnd w:id="7"/>
      <w:r>
        <w:rPr>
          <w:rFonts w:hint="eastAsia" w:ascii="仿宋" w:hAnsi="仿宋" w:eastAsia="仿宋" w:cs="仿宋"/>
          <w:sz w:val="32"/>
          <w:szCs w:val="32"/>
        </w:rPr>
        <w:t>开支财政拨款的公务用车保有量为</w:t>
      </w:r>
      <w:r>
        <w:rPr>
          <w:rFonts w:ascii="仿宋" w:hAnsi="仿宋" w:eastAsia="仿宋" w:cs="仿宋"/>
          <w:sz w:val="32"/>
        </w:rPr>
        <w:t>0</w:t>
      </w:r>
      <w:r>
        <w:rPr>
          <w:rFonts w:hint="eastAsia" w:ascii="仿宋" w:hAnsi="仿宋" w:eastAsia="仿宋" w:cs="仿宋"/>
          <w:sz w:val="32"/>
          <w:szCs w:val="32"/>
        </w:rPr>
        <w:t>辆，全年运行费支出</w:t>
      </w:r>
      <w:r>
        <w:rPr>
          <w:rFonts w:ascii="仿宋" w:hAnsi="仿宋" w:eastAsia="仿宋" w:cs="仿宋"/>
          <w:sz w:val="32"/>
        </w:rPr>
        <w:t>0.00</w:t>
      </w:r>
      <w:r>
        <w:rPr>
          <w:rFonts w:hint="eastAsia" w:ascii="仿宋" w:hAnsi="仿宋" w:eastAsia="仿宋" w:cs="仿宋"/>
          <w:sz w:val="32"/>
          <w:szCs w:val="32"/>
        </w:rPr>
        <w:t>万元，平均每辆0万元。</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（三）公务接待费支出</w:t>
      </w:r>
      <w:r>
        <w:rPr>
          <w:rFonts w:ascii="仿宋" w:hAnsi="仿宋" w:eastAsia="仿宋" w:cs="仿宋"/>
          <w:sz w:val="32"/>
          <w:szCs w:val="32"/>
        </w:rPr>
        <w:t>0.00</w:t>
      </w:r>
      <w:r>
        <w:rPr>
          <w:rFonts w:hint="eastAsia" w:ascii="仿宋" w:hAnsi="仿宋" w:eastAsia="仿宋" w:cs="仿宋"/>
          <w:sz w:val="32"/>
          <w:szCs w:val="32"/>
        </w:rPr>
        <w:t>万元，完成年初预算的</w:t>
      </w:r>
      <w:r>
        <w:rPr>
          <w:rFonts w:ascii="仿宋" w:hAnsi="仿宋" w:eastAsia="仿宋" w:cs="仿宋"/>
          <w:sz w:val="32"/>
          <w:szCs w:val="32"/>
        </w:rPr>
        <w:t>0%</w:t>
      </w:r>
      <w:r>
        <w:rPr>
          <w:rFonts w:hint="eastAsia" w:ascii="仿宋" w:hAnsi="仿宋" w:eastAsia="仿宋" w:cs="仿宋"/>
          <w:sz w:val="32"/>
          <w:szCs w:val="32"/>
        </w:rPr>
        <w:t>， 比上年</w:t>
      </w:r>
      <w:r>
        <w:rPr>
          <w:rFonts w:ascii="仿宋" w:hAnsi="仿宋" w:eastAsia="仿宋" w:cs="仿宋"/>
          <w:sz w:val="32"/>
          <w:szCs w:val="32"/>
        </w:rPr>
        <w:t>增加0.00</w:t>
      </w:r>
      <w:r>
        <w:rPr>
          <w:rFonts w:hint="eastAsia" w:ascii="仿宋" w:hAnsi="仿宋" w:eastAsia="仿宋" w:cs="仿宋"/>
          <w:sz w:val="32"/>
          <w:szCs w:val="32"/>
        </w:rPr>
        <w:t>万元，主要原因是：本单位无公务接待。国内公务接待批次</w:t>
      </w:r>
      <w:r>
        <w:rPr>
          <w:rFonts w:ascii="仿宋" w:hAnsi="仿宋" w:eastAsia="仿宋" w:cs="仿宋"/>
          <w:sz w:val="32"/>
          <w:szCs w:val="32"/>
        </w:rPr>
        <w:t>0</w:t>
      </w:r>
      <w:r>
        <w:rPr>
          <w:rFonts w:hint="eastAsia" w:ascii="仿宋" w:hAnsi="仿宋" w:eastAsia="仿宋" w:cs="仿宋"/>
          <w:sz w:val="32"/>
          <w:szCs w:val="32"/>
        </w:rPr>
        <w:t>次，人次</w:t>
      </w:r>
      <w:r>
        <w:rPr>
          <w:rFonts w:ascii="仿宋" w:hAnsi="仿宋" w:eastAsia="仿宋" w:cs="仿宋"/>
          <w:sz w:val="32"/>
          <w:szCs w:val="32"/>
        </w:rPr>
        <w:t>0</w:t>
      </w:r>
      <w:r>
        <w:rPr>
          <w:rFonts w:hint="eastAsia" w:ascii="仿宋" w:hAnsi="仿宋" w:eastAsia="仿宋" w:cs="仿宋"/>
          <w:sz w:val="32"/>
          <w:szCs w:val="32"/>
        </w:rPr>
        <w:t>次，国（境）外公务接待批次</w:t>
      </w:r>
      <w:r>
        <w:rPr>
          <w:rFonts w:ascii="仿宋" w:hAnsi="仿宋" w:eastAsia="仿宋" w:cs="仿宋"/>
          <w:sz w:val="32"/>
          <w:szCs w:val="32"/>
        </w:rPr>
        <w:t>0</w:t>
      </w:r>
      <w:r>
        <w:rPr>
          <w:rFonts w:hint="eastAsia" w:ascii="仿宋" w:hAnsi="仿宋" w:eastAsia="仿宋" w:cs="仿宋"/>
          <w:sz w:val="32"/>
          <w:szCs w:val="32"/>
        </w:rPr>
        <w:t>次，人次</w:t>
      </w:r>
      <w:r>
        <w:rPr>
          <w:rFonts w:ascii="仿宋" w:hAnsi="仿宋" w:eastAsia="仿宋" w:cs="仿宋"/>
          <w:sz w:val="32"/>
          <w:szCs w:val="32"/>
        </w:rPr>
        <w:t>0</w:t>
      </w:r>
      <w:r>
        <w:rPr>
          <w:rFonts w:hint="eastAsia" w:ascii="仿宋" w:hAnsi="仿宋" w:eastAsia="仿宋" w:cs="仿宋"/>
          <w:sz w:val="32"/>
          <w:szCs w:val="32"/>
        </w:rPr>
        <w:t>次。</w:t>
      </w:r>
    </w:p>
    <w:p>
      <w:pPr>
        <w:jc w:val="left"/>
        <w:rPr>
          <w:rFonts w:ascii="仿宋" w:hAnsi="仿宋" w:eastAsia="仿宋" w:cs="仿宋"/>
          <w:sz w:val="32"/>
          <w:szCs w:val="32"/>
        </w:rPr>
      </w:pPr>
      <w:r>
        <w:rPr>
          <w:rFonts w:hint="eastAsia" w:ascii="黑体" w:hAnsi="黑体" w:eastAsia="黑体" w:cs="黑体"/>
          <w:sz w:val="32"/>
          <w:szCs w:val="32"/>
        </w:rPr>
        <w:t>七、其他重要事项情况说明</w:t>
      </w:r>
    </w:p>
    <w:p>
      <w:pPr>
        <w:jc w:val="left"/>
        <w:rPr>
          <w:rFonts w:ascii="黑体" w:hAnsi="黑体" w:eastAsia="黑体" w:cs="黑体"/>
          <w:sz w:val="32"/>
          <w:szCs w:val="32"/>
        </w:rPr>
      </w:pPr>
      <w:r>
        <w:rPr>
          <w:rFonts w:hint="eastAsia" w:ascii="黑体" w:hAnsi="黑体" w:eastAsia="黑体" w:cs="黑体"/>
          <w:sz w:val="32"/>
          <w:szCs w:val="32"/>
        </w:rPr>
        <w:t>（一） 机关运行经费支出情况说明</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本部门2022年度机关运行经费支出</w:t>
      </w:r>
      <w:r>
        <w:rPr>
          <w:rFonts w:ascii="仿宋" w:hAnsi="仿宋" w:eastAsia="仿宋" w:cs="仿宋"/>
          <w:sz w:val="32"/>
          <w:szCs w:val="32"/>
        </w:rPr>
        <w:t>0.00</w:t>
      </w:r>
      <w:r>
        <w:rPr>
          <w:rFonts w:hint="eastAsia" w:ascii="仿宋" w:hAnsi="仿宋" w:eastAsia="仿宋" w:cs="仿宋"/>
          <w:sz w:val="32"/>
          <w:szCs w:val="32"/>
        </w:rPr>
        <w:t>万元，</w:t>
      </w:r>
      <w:r>
        <w:rPr>
          <w:rFonts w:hint="eastAsia" w:ascii="仿宋" w:hAnsi="仿宋" w:eastAsia="仿宋" w:cs="仿宋"/>
          <w:sz w:val="32"/>
          <w:szCs w:val="32"/>
          <w:highlight w:val="none"/>
        </w:rPr>
        <w:t>比年初预算数</w:t>
      </w:r>
      <w:r>
        <w:rPr>
          <w:rFonts w:ascii="仿宋" w:hAnsi="仿宋" w:eastAsia="仿宋" w:cs="仿宋"/>
          <w:sz w:val="32"/>
          <w:szCs w:val="32"/>
          <w:highlight w:val="none"/>
        </w:rPr>
        <w:t>减少</w:t>
      </w:r>
      <w:r>
        <w:rPr>
          <w:rFonts w:hint="default" w:ascii="仿宋" w:hAnsi="仿宋" w:eastAsia="仿宋" w:cs="仿宋"/>
          <w:sz w:val="32"/>
          <w:szCs w:val="32"/>
          <w:highlight w:val="none"/>
          <w:lang w:val="en"/>
        </w:rPr>
        <w:t>0.00</w:t>
      </w:r>
      <w:r>
        <w:rPr>
          <w:rFonts w:hint="eastAsia" w:ascii="仿宋" w:hAnsi="仿宋" w:eastAsia="仿宋" w:cs="仿宋"/>
          <w:sz w:val="32"/>
          <w:szCs w:val="32"/>
          <w:highlight w:val="none"/>
        </w:rPr>
        <w:t>万元，</w:t>
      </w:r>
      <w:r>
        <w:rPr>
          <w:rFonts w:ascii="仿宋" w:hAnsi="仿宋" w:eastAsia="仿宋" w:cs="仿宋"/>
          <w:sz w:val="32"/>
          <w:szCs w:val="32"/>
          <w:highlight w:val="none"/>
        </w:rPr>
        <w:t>下降</w:t>
      </w:r>
      <w:r>
        <w:rPr>
          <w:rFonts w:hint="default" w:ascii="仿宋" w:hAnsi="仿宋" w:eastAsia="仿宋" w:cs="仿宋"/>
          <w:sz w:val="32"/>
          <w:szCs w:val="32"/>
          <w:highlight w:val="none"/>
          <w:lang w:val="en"/>
        </w:rPr>
        <w:t>0.00</w:t>
      </w:r>
      <w:r>
        <w:rPr>
          <w:rFonts w:ascii="仿宋" w:hAnsi="仿宋" w:eastAsia="仿宋" w:cs="仿宋"/>
          <w:sz w:val="32"/>
          <w:szCs w:val="32"/>
          <w:highlight w:val="none"/>
        </w:rPr>
        <w:t>%</w:t>
      </w:r>
      <w:r>
        <w:rPr>
          <w:rFonts w:hint="eastAsia" w:ascii="仿宋" w:hAnsi="仿宋" w:eastAsia="仿宋" w:cs="仿宋"/>
          <w:sz w:val="32"/>
          <w:szCs w:val="32"/>
          <w:highlight w:val="none"/>
        </w:rPr>
        <w:t>，比上年决算数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w:t>
      </w:r>
      <w:r>
        <w:rPr>
          <w:rFonts w:hint="eastAsia" w:ascii="仿宋" w:hAnsi="仿宋" w:eastAsia="仿宋" w:cs="仿宋"/>
          <w:sz w:val="32"/>
          <w:szCs w:val="32"/>
        </w:rPr>
        <w:t>元，</w:t>
      </w:r>
      <w:r>
        <w:rPr>
          <w:rFonts w:ascii="仿宋" w:hAnsi="仿宋" w:eastAsia="仿宋" w:cs="仿宋"/>
          <w:sz w:val="32"/>
          <w:szCs w:val="32"/>
        </w:rPr>
        <w:t>增长0%</w:t>
      </w:r>
      <w:r>
        <w:rPr>
          <w:rFonts w:hint="eastAsia" w:ascii="仿宋" w:hAnsi="仿宋" w:eastAsia="仿宋" w:cs="仿宋"/>
          <w:sz w:val="32"/>
          <w:szCs w:val="32"/>
        </w:rPr>
        <w:t>。原因是：本部门2</w:t>
      </w:r>
      <w:r>
        <w:rPr>
          <w:rFonts w:ascii="仿宋" w:hAnsi="仿宋" w:eastAsia="仿宋" w:cs="仿宋"/>
          <w:sz w:val="32"/>
          <w:szCs w:val="32"/>
        </w:rPr>
        <w:t>022</w:t>
      </w:r>
      <w:r>
        <w:rPr>
          <w:rFonts w:hint="eastAsia" w:ascii="仿宋" w:hAnsi="仿宋" w:eastAsia="仿宋" w:cs="仿宋"/>
          <w:sz w:val="32"/>
          <w:szCs w:val="32"/>
        </w:rPr>
        <w:t>年度无机关运行经费支出。</w:t>
      </w:r>
    </w:p>
    <w:p>
      <w:pPr>
        <w:jc w:val="left"/>
        <w:rPr>
          <w:rFonts w:ascii="黑体" w:hAnsi="黑体" w:eastAsia="黑体" w:cs="黑体"/>
          <w:sz w:val="32"/>
          <w:szCs w:val="32"/>
        </w:rPr>
      </w:pPr>
      <w:r>
        <w:rPr>
          <w:rFonts w:hint="eastAsia" w:ascii="黑体" w:hAnsi="黑体" w:eastAsia="黑体" w:cs="黑体"/>
          <w:sz w:val="32"/>
          <w:szCs w:val="32"/>
        </w:rPr>
        <w:t>（二）政府采购支出情况说明</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本部门2022年度政府采购支出总额</w:t>
      </w:r>
      <w:r>
        <w:rPr>
          <w:rFonts w:ascii="仿宋" w:hAnsi="仿宋" w:eastAsia="仿宋" w:cs="仿宋"/>
          <w:sz w:val="32"/>
          <w:szCs w:val="32"/>
        </w:rPr>
        <w:t>0.00</w:t>
      </w:r>
      <w:r>
        <w:rPr>
          <w:rFonts w:hint="eastAsia" w:ascii="仿宋" w:hAnsi="仿宋" w:eastAsia="仿宋" w:cs="仿宋"/>
          <w:sz w:val="32"/>
          <w:szCs w:val="32"/>
        </w:rPr>
        <w:t>万元，其中：政府采购货物支出</w:t>
      </w:r>
      <w:r>
        <w:rPr>
          <w:rFonts w:ascii="仿宋" w:hAnsi="仿宋" w:eastAsia="仿宋" w:cs="仿宋"/>
          <w:sz w:val="32"/>
          <w:szCs w:val="32"/>
        </w:rPr>
        <w:t>0.00</w:t>
      </w:r>
      <w:r>
        <w:rPr>
          <w:rFonts w:hint="eastAsia" w:ascii="仿宋" w:hAnsi="仿宋" w:eastAsia="仿宋" w:cs="仿宋"/>
          <w:sz w:val="32"/>
          <w:szCs w:val="32"/>
        </w:rPr>
        <w:t>万元、政府采购工程支出</w:t>
      </w:r>
      <w:r>
        <w:rPr>
          <w:rFonts w:ascii="仿宋" w:hAnsi="仿宋" w:eastAsia="仿宋" w:cs="仿宋"/>
          <w:sz w:val="32"/>
          <w:szCs w:val="32"/>
        </w:rPr>
        <w:t>0.00</w:t>
      </w:r>
      <w:r>
        <w:rPr>
          <w:rFonts w:hint="eastAsia" w:ascii="仿宋" w:hAnsi="仿宋" w:eastAsia="仿宋" w:cs="仿宋"/>
          <w:sz w:val="32"/>
          <w:szCs w:val="32"/>
        </w:rPr>
        <w:t>万元、政府采购服务支出</w:t>
      </w:r>
      <w:r>
        <w:rPr>
          <w:rFonts w:ascii="仿宋" w:hAnsi="仿宋" w:eastAsia="仿宋" w:cs="仿宋"/>
          <w:sz w:val="32"/>
          <w:szCs w:val="32"/>
        </w:rPr>
        <w:t>0.00</w:t>
      </w:r>
      <w:r>
        <w:rPr>
          <w:rFonts w:hint="eastAsia" w:ascii="仿宋" w:hAnsi="仿宋" w:eastAsia="仿宋" w:cs="仿宋"/>
          <w:sz w:val="32"/>
          <w:szCs w:val="32"/>
        </w:rPr>
        <w:t>万元。授予中小企业合同金额</w:t>
      </w:r>
      <w:r>
        <w:rPr>
          <w:rFonts w:ascii="仿宋" w:hAnsi="仿宋" w:eastAsia="仿宋" w:cs="仿宋"/>
          <w:sz w:val="32"/>
          <w:szCs w:val="32"/>
        </w:rPr>
        <w:t>0.00</w:t>
      </w:r>
      <w:r>
        <w:rPr>
          <w:rFonts w:hint="eastAsia" w:ascii="仿宋" w:hAnsi="仿宋" w:eastAsia="仿宋" w:cs="仿宋"/>
          <w:sz w:val="32"/>
          <w:szCs w:val="32"/>
        </w:rPr>
        <w:t>万元，占政府采购支出总额的</w:t>
      </w:r>
      <w:r>
        <w:rPr>
          <w:rFonts w:ascii="仿宋" w:hAnsi="仿宋" w:eastAsia="仿宋" w:cs="仿宋"/>
          <w:sz w:val="32"/>
          <w:szCs w:val="32"/>
        </w:rPr>
        <w:t>0%</w:t>
      </w:r>
      <w:r>
        <w:rPr>
          <w:rFonts w:hint="eastAsia" w:ascii="仿宋" w:hAnsi="仿宋" w:eastAsia="仿宋" w:cs="仿宋"/>
          <w:sz w:val="32"/>
          <w:szCs w:val="32"/>
        </w:rPr>
        <w:t>，其中：授予小微企业合同金额</w:t>
      </w:r>
      <w:r>
        <w:rPr>
          <w:rFonts w:ascii="仿宋" w:hAnsi="仿宋" w:eastAsia="仿宋" w:cs="仿宋"/>
          <w:sz w:val="32"/>
          <w:szCs w:val="32"/>
        </w:rPr>
        <w:t>0.00</w:t>
      </w:r>
      <w:r>
        <w:rPr>
          <w:rFonts w:hint="eastAsia" w:ascii="仿宋" w:hAnsi="仿宋" w:eastAsia="仿宋" w:cs="仿宋"/>
          <w:sz w:val="32"/>
          <w:szCs w:val="32"/>
        </w:rPr>
        <w:t>万元，占授予中小企业合同金额的</w:t>
      </w:r>
      <w:r>
        <w:rPr>
          <w:rFonts w:ascii="仿宋" w:hAnsi="仿宋" w:eastAsia="仿宋" w:cs="仿宋"/>
          <w:sz w:val="32"/>
          <w:szCs w:val="32"/>
        </w:rPr>
        <w:t>0%</w:t>
      </w:r>
      <w:r>
        <w:rPr>
          <w:rFonts w:hint="eastAsia" w:ascii="仿宋" w:hAnsi="仿宋" w:eastAsia="仿宋" w:cs="仿宋"/>
          <w:sz w:val="32"/>
          <w:szCs w:val="32"/>
        </w:rPr>
        <w:t>。</w:t>
      </w:r>
    </w:p>
    <w:p>
      <w:pPr>
        <w:jc w:val="left"/>
        <w:rPr>
          <w:rFonts w:ascii="仿宋" w:hAnsi="仿宋" w:eastAsia="仿宋" w:cs="仿宋"/>
          <w:sz w:val="32"/>
          <w:szCs w:val="32"/>
        </w:rPr>
      </w:pPr>
      <w:r>
        <w:rPr>
          <w:rFonts w:hint="eastAsia" w:ascii="黑体" w:hAnsi="黑体" w:eastAsia="黑体" w:cs="黑体"/>
          <w:sz w:val="32"/>
          <w:szCs w:val="32"/>
        </w:rPr>
        <w:t>（三）国有资产占用情况说明</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截至2022年12月31日，本部门共有车辆</w:t>
      </w:r>
      <w:r>
        <w:rPr>
          <w:rFonts w:ascii="仿宋" w:hAnsi="仿宋" w:eastAsia="仿宋" w:cs="仿宋"/>
          <w:sz w:val="32"/>
          <w:szCs w:val="32"/>
        </w:rPr>
        <w:t>0</w:t>
      </w:r>
      <w:r>
        <w:rPr>
          <w:rFonts w:hint="eastAsia" w:ascii="仿宋" w:hAnsi="仿宋" w:eastAsia="仿宋" w:cs="仿宋"/>
          <w:sz w:val="32"/>
          <w:szCs w:val="32"/>
        </w:rPr>
        <w:t>辆，其中：副部（省）级领导干部用车</w:t>
      </w:r>
      <w:r>
        <w:rPr>
          <w:rFonts w:ascii="仿宋" w:hAnsi="仿宋" w:eastAsia="仿宋" w:cs="仿宋"/>
          <w:sz w:val="32"/>
          <w:szCs w:val="32"/>
        </w:rPr>
        <w:t>0</w:t>
      </w:r>
      <w:r>
        <w:rPr>
          <w:rFonts w:hint="eastAsia" w:ascii="仿宋" w:hAnsi="仿宋" w:eastAsia="仿宋" w:cs="仿宋"/>
          <w:sz w:val="32"/>
          <w:szCs w:val="32"/>
        </w:rPr>
        <w:t>辆、机要通信用车</w:t>
      </w:r>
      <w:r>
        <w:rPr>
          <w:rFonts w:ascii="仿宋" w:hAnsi="仿宋" w:eastAsia="仿宋" w:cs="仿宋"/>
          <w:sz w:val="32"/>
          <w:szCs w:val="32"/>
        </w:rPr>
        <w:t>0</w:t>
      </w:r>
      <w:r>
        <w:rPr>
          <w:rFonts w:hint="eastAsia" w:ascii="仿宋" w:hAnsi="仿宋" w:eastAsia="仿宋" w:cs="仿宋"/>
          <w:sz w:val="32"/>
          <w:szCs w:val="32"/>
        </w:rPr>
        <w:t>辆、应急保障用车</w:t>
      </w:r>
      <w:r>
        <w:rPr>
          <w:rFonts w:ascii="仿宋" w:hAnsi="仿宋" w:eastAsia="仿宋" w:cs="仿宋"/>
          <w:sz w:val="32"/>
          <w:szCs w:val="32"/>
        </w:rPr>
        <w:t>0</w:t>
      </w:r>
      <w:r>
        <w:rPr>
          <w:rFonts w:hint="eastAsia" w:ascii="仿宋" w:hAnsi="仿宋" w:eastAsia="仿宋" w:cs="仿宋"/>
          <w:sz w:val="32"/>
          <w:szCs w:val="32"/>
        </w:rPr>
        <w:t>辆、执法执勤用车</w:t>
      </w:r>
      <w:r>
        <w:rPr>
          <w:rFonts w:ascii="仿宋" w:hAnsi="仿宋" w:eastAsia="仿宋" w:cs="仿宋"/>
          <w:sz w:val="32"/>
          <w:szCs w:val="32"/>
        </w:rPr>
        <w:t>0</w:t>
      </w:r>
      <w:r>
        <w:rPr>
          <w:rFonts w:hint="eastAsia" w:ascii="仿宋" w:hAnsi="仿宋" w:eastAsia="仿宋" w:cs="仿宋"/>
          <w:sz w:val="32"/>
          <w:szCs w:val="32"/>
        </w:rPr>
        <w:t>辆、特种专业技术用车</w:t>
      </w:r>
      <w:r>
        <w:rPr>
          <w:rFonts w:ascii="仿宋" w:hAnsi="仿宋" w:eastAsia="仿宋" w:cs="仿宋"/>
          <w:sz w:val="32"/>
          <w:szCs w:val="32"/>
        </w:rPr>
        <w:t>0</w:t>
      </w:r>
      <w:r>
        <w:rPr>
          <w:rFonts w:hint="eastAsia" w:ascii="仿宋" w:hAnsi="仿宋" w:eastAsia="仿宋" w:cs="仿宋"/>
          <w:sz w:val="32"/>
          <w:szCs w:val="32"/>
        </w:rPr>
        <w:t>辆、其他用车</w:t>
      </w:r>
      <w:r>
        <w:rPr>
          <w:rFonts w:ascii="仿宋" w:hAnsi="仿宋" w:eastAsia="仿宋" w:cs="仿宋"/>
          <w:sz w:val="32"/>
          <w:szCs w:val="32"/>
        </w:rPr>
        <w:t>0</w:t>
      </w:r>
      <w:r>
        <w:rPr>
          <w:rFonts w:hint="eastAsia" w:ascii="仿宋" w:hAnsi="仿宋" w:eastAsia="仿宋" w:cs="仿宋"/>
          <w:sz w:val="32"/>
          <w:szCs w:val="32"/>
        </w:rPr>
        <w:t>辆；单位价值50万元以上通用设备</w:t>
      </w:r>
      <w:r>
        <w:rPr>
          <w:rFonts w:ascii="仿宋" w:hAnsi="仿宋" w:eastAsia="仿宋" w:cs="仿宋"/>
          <w:sz w:val="32"/>
          <w:szCs w:val="32"/>
        </w:rPr>
        <w:t>0</w:t>
      </w:r>
      <w:r>
        <w:rPr>
          <w:rFonts w:hint="eastAsia" w:ascii="仿宋" w:hAnsi="仿宋" w:eastAsia="仿宋" w:cs="仿宋"/>
          <w:sz w:val="32"/>
          <w:szCs w:val="32"/>
        </w:rPr>
        <w:t>台（套）；单位价值100万元以上专用设备台（套）。</w:t>
      </w:r>
    </w:p>
    <w:p>
      <w:pPr>
        <w:jc w:val="left"/>
        <w:rPr>
          <w:rFonts w:ascii="仿宋" w:hAnsi="仿宋" w:eastAsia="仿宋" w:cs="仿宋"/>
          <w:sz w:val="32"/>
          <w:szCs w:val="32"/>
        </w:rPr>
      </w:pPr>
      <w:r>
        <w:rPr>
          <w:rFonts w:hint="eastAsia" w:ascii="黑体" w:hAnsi="黑体" w:eastAsia="黑体" w:cs="黑体"/>
          <w:sz w:val="32"/>
          <w:szCs w:val="32"/>
        </w:rPr>
        <w:t>（四）预算绩效管理工作开展情况</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1.绩效管理工作开展情况。</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根据财政预算管理要求，本部门组织对2022年度一般公共预算项目支出全面开展绩效自评。其中，一等项目13个，二等项目2个，共涉及资金246.4万元，占一般公共预算项目支出总额的80.53%。组织对2022年度等0个政府性基金预算项目支出开展绩效自评，共涉及资金0万元，占政府性基金预算项目支出总额的0%。组织对2022年度等0个国有资本经营预算项目支出开展绩效自评，共涉及资金0万元，占国有资本经营预算项目支出总额的0%。</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组织对“学前生均公用经费”等</w:t>
      </w:r>
      <w:r>
        <w:rPr>
          <w:rFonts w:ascii="仿宋" w:hAnsi="仿宋" w:eastAsia="仿宋" w:cs="仿宋"/>
          <w:sz w:val="32"/>
          <w:szCs w:val="32"/>
        </w:rPr>
        <w:t>1</w:t>
      </w:r>
      <w:r>
        <w:rPr>
          <w:rFonts w:hint="eastAsia" w:ascii="仿宋" w:hAnsi="仿宋" w:eastAsia="仿宋" w:cs="仿宋"/>
          <w:sz w:val="32"/>
          <w:szCs w:val="32"/>
        </w:rPr>
        <w:t>5个项目进行了部门评价，涉及一般公共预算支出246.4万元，政府性基金预算支出</w:t>
      </w:r>
      <w:r>
        <w:rPr>
          <w:rFonts w:ascii="仿宋" w:hAnsi="仿宋" w:eastAsia="仿宋" w:cs="仿宋"/>
          <w:sz w:val="32"/>
          <w:szCs w:val="32"/>
        </w:rPr>
        <w:t>0</w:t>
      </w:r>
      <w:r>
        <w:rPr>
          <w:rFonts w:hint="eastAsia" w:ascii="仿宋" w:hAnsi="仿宋" w:eastAsia="仿宋" w:cs="仿宋"/>
          <w:sz w:val="32"/>
          <w:szCs w:val="32"/>
        </w:rPr>
        <w:t>万元，国有资本经营预算支出</w:t>
      </w:r>
      <w:r>
        <w:rPr>
          <w:rFonts w:ascii="仿宋" w:hAnsi="仿宋" w:eastAsia="仿宋" w:cs="仿宋"/>
          <w:sz w:val="32"/>
          <w:szCs w:val="32"/>
        </w:rPr>
        <w:t>0</w:t>
      </w:r>
      <w:r>
        <w:rPr>
          <w:rFonts w:hint="eastAsia" w:ascii="仿宋" w:hAnsi="仿宋" w:eastAsia="仿宋" w:cs="仿宋"/>
          <w:sz w:val="32"/>
          <w:szCs w:val="32"/>
        </w:rPr>
        <w:t>万元。从评价情况来看，本部门推进预算支出绩效评价管理,提高资金使用效率。按时完成各个项目年度绩效目标，提高服务对象的满意度。</w:t>
      </w:r>
    </w:p>
    <w:p>
      <w:pPr>
        <w:jc w:val="left"/>
        <w:rPr>
          <w:rFonts w:ascii="仿宋" w:hAnsi="仿宋" w:eastAsia="仿宋" w:cs="仿宋"/>
          <w:sz w:val="32"/>
          <w:szCs w:val="32"/>
        </w:rPr>
      </w:pPr>
      <w:r>
        <w:rPr>
          <w:rFonts w:hint="eastAsia" w:ascii="仿宋" w:hAnsi="仿宋" w:eastAsia="仿宋" w:cs="仿宋"/>
          <w:sz w:val="32"/>
          <w:szCs w:val="32"/>
        </w:rPr>
        <w:t>从评价情况来看，我单位绩效管理情况较为理想，达到了年初设定的各项绩效目标。</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组织对本单位开展整体支出绩效评价试点，涉及一般公共预算支出246.4万元，政府性基金预算支出0万元。从评价情况来看，我部门绩效管理情况较为理想，达到了年初设定的各项绩效目标。所有资金使用严格按审批程序办理、操作规范，会计核算结果真实、准确，各项支出严格按照各项制度执行。</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2.部门决算中项目绩效自评结果（必填）。</w:t>
      </w:r>
    </w:p>
    <w:p>
      <w:pPr>
        <w:jc w:val="left"/>
        <w:rPr>
          <w:rFonts w:ascii="仿宋" w:hAnsi="仿宋" w:eastAsia="仿宋" w:cs="仿宋"/>
          <w:sz w:val="32"/>
          <w:szCs w:val="32"/>
        </w:rPr>
      </w:pPr>
      <w:r>
        <w:rPr>
          <w:rFonts w:hint="eastAsia" w:ascii="仿宋" w:hAnsi="仿宋" w:eastAsia="仿宋" w:cs="仿宋"/>
          <w:sz w:val="32"/>
          <w:szCs w:val="32"/>
        </w:rPr>
        <w:t>我部门根据年初设定的绩效目标，</w:t>
      </w:r>
      <w:bookmarkStart w:id="6" w:name="_Hlk151217930"/>
      <w:r>
        <w:rPr>
          <w:rFonts w:hint="eastAsia" w:ascii="仿宋" w:hAnsi="仿宋" w:eastAsia="仿宋" w:cs="仿宋"/>
          <w:sz w:val="32"/>
          <w:szCs w:val="32"/>
        </w:rPr>
        <w:t>伙食补助、全县校长绩效工资、普惠幼儿园奖补县本级奖补资金、教师节经费、奖励性补贴这五个项目都能按时完成支付，自评得分均为100分。学前生均公用经费项目自评得分为</w:t>
      </w:r>
      <w:r>
        <w:rPr>
          <w:rFonts w:ascii="仿宋" w:hAnsi="仿宋" w:eastAsia="仿宋" w:cs="仿宋"/>
          <w:sz w:val="32"/>
          <w:szCs w:val="32"/>
        </w:rPr>
        <w:t>97.48</w:t>
      </w:r>
      <w:r>
        <w:rPr>
          <w:rFonts w:hint="eastAsia" w:ascii="仿宋" w:hAnsi="仿宋" w:eastAsia="仿宋" w:cs="仿宋"/>
          <w:sz w:val="32"/>
          <w:szCs w:val="32"/>
        </w:rPr>
        <w:t>分。发现的主要问题及原因：部分报账材料未能及时整理。下一步改进措施：及时整理报账材料，完成年度资金进度安排。学前教育免保教费县本级补助资金项目自评得分为</w:t>
      </w:r>
      <w:r>
        <w:rPr>
          <w:rFonts w:ascii="仿宋" w:hAnsi="仿宋" w:eastAsia="仿宋" w:cs="仿宋"/>
          <w:sz w:val="32"/>
          <w:szCs w:val="32"/>
        </w:rPr>
        <w:t>94.49</w:t>
      </w:r>
      <w:r>
        <w:rPr>
          <w:rFonts w:hint="eastAsia" w:ascii="仿宋" w:hAnsi="仿宋" w:eastAsia="仿宋" w:cs="仿宋"/>
          <w:sz w:val="32"/>
          <w:szCs w:val="32"/>
        </w:rPr>
        <w:t>分。发现的主要问题及原因：辖区内普惠性民办幼儿园未能及时整理报账材料。下一步改进措施：一是做好民办幼儿园整理报账材料的培训；二是加快资金进度安排。普惠性民办幼儿园奖补中央补助资金项目自评得分为</w:t>
      </w:r>
      <w:r>
        <w:rPr>
          <w:rFonts w:ascii="仿宋" w:hAnsi="仿宋" w:eastAsia="仿宋" w:cs="仿宋"/>
          <w:sz w:val="32"/>
          <w:szCs w:val="32"/>
        </w:rPr>
        <w:t>99.71</w:t>
      </w:r>
      <w:r>
        <w:rPr>
          <w:rFonts w:hint="eastAsia" w:ascii="仿宋" w:hAnsi="仿宋" w:eastAsia="仿宋" w:cs="仿宋"/>
          <w:sz w:val="32"/>
          <w:szCs w:val="32"/>
        </w:rPr>
        <w:t>分。发现的主要问题及原因：辖区内普惠性民办幼儿园未能及时整理报账材料。下一步改进措施：一是做好民办幼儿园整理报账材料的培训；二是加快资金进度安排。学前教育保育费项目自评得分为</w:t>
      </w:r>
      <w:r>
        <w:rPr>
          <w:rFonts w:ascii="仿宋" w:hAnsi="仿宋" w:eastAsia="仿宋" w:cs="仿宋"/>
          <w:sz w:val="32"/>
          <w:szCs w:val="32"/>
        </w:rPr>
        <w:t>99.85</w:t>
      </w:r>
      <w:r>
        <w:rPr>
          <w:rFonts w:hint="eastAsia" w:ascii="仿宋" w:hAnsi="仿宋" w:eastAsia="仿宋" w:cs="仿宋"/>
          <w:sz w:val="32"/>
          <w:szCs w:val="32"/>
        </w:rPr>
        <w:t>。发现的主要问题及原因：部分报账材料未能及时整理。下一步改进措施：及时整理报账材料，完成年度资金进度安排。班主任津贴项目自评得分为</w:t>
      </w:r>
      <w:r>
        <w:rPr>
          <w:rFonts w:ascii="仿宋" w:hAnsi="仿宋" w:eastAsia="仿宋" w:cs="仿宋"/>
          <w:sz w:val="32"/>
          <w:szCs w:val="32"/>
        </w:rPr>
        <w:t>90</w:t>
      </w:r>
      <w:r>
        <w:rPr>
          <w:rFonts w:hint="eastAsia" w:ascii="仿宋" w:hAnsi="仿宋" w:eastAsia="仿宋" w:cs="仿宋"/>
          <w:sz w:val="32"/>
          <w:szCs w:val="32"/>
        </w:rPr>
        <w:t>分。发现的主要问题及原因：下半年的班主任津贴未能及时支付。下一步改进措施：及时整理材料，按时完成全年进度。学前教育免除保教育费自治区补助资金项目自评得分为</w:t>
      </w:r>
      <w:r>
        <w:rPr>
          <w:rFonts w:ascii="仿宋" w:hAnsi="仿宋" w:eastAsia="仿宋" w:cs="仿宋"/>
          <w:sz w:val="32"/>
          <w:szCs w:val="32"/>
        </w:rPr>
        <w:t>95.46</w:t>
      </w:r>
      <w:r>
        <w:rPr>
          <w:rFonts w:hint="eastAsia" w:ascii="仿宋" w:hAnsi="仿宋" w:eastAsia="仿宋" w:cs="仿宋"/>
          <w:sz w:val="32"/>
          <w:szCs w:val="32"/>
        </w:rPr>
        <w:t>分。发现的主要问题及原因：辖区内普惠性民办幼儿园未能及时整理报账材料。下一步改进措施：一是做好民办幼儿园整理报账材料的培训；二是加快资金进度安排。学前教育免除保教费中央补助资金项目自评得分为</w:t>
      </w:r>
      <w:r>
        <w:rPr>
          <w:rFonts w:ascii="仿宋" w:hAnsi="仿宋" w:eastAsia="仿宋" w:cs="仿宋"/>
          <w:sz w:val="32"/>
          <w:szCs w:val="32"/>
        </w:rPr>
        <w:t>94.92</w:t>
      </w:r>
      <w:r>
        <w:rPr>
          <w:rFonts w:hint="eastAsia" w:ascii="仿宋" w:hAnsi="仿宋" w:eastAsia="仿宋" w:cs="仿宋"/>
          <w:sz w:val="32"/>
          <w:szCs w:val="32"/>
        </w:rPr>
        <w:t>分。发现的主要问题及原因：辖区内普惠性民办幼儿园未能及时整理报账材料。下一步改进措施：一是做好民办幼儿园整理报账材料的培训；二是加快资金进度安排。学前教育质量提升资金项目自评得分为</w:t>
      </w:r>
      <w:r>
        <w:rPr>
          <w:rFonts w:ascii="仿宋" w:hAnsi="仿宋" w:eastAsia="仿宋" w:cs="仿宋"/>
          <w:sz w:val="32"/>
          <w:szCs w:val="32"/>
        </w:rPr>
        <w:t>81.2</w:t>
      </w:r>
      <w:r>
        <w:rPr>
          <w:rFonts w:hint="eastAsia" w:ascii="仿宋" w:hAnsi="仿宋" w:eastAsia="仿宋" w:cs="仿宋"/>
          <w:sz w:val="32"/>
          <w:szCs w:val="32"/>
        </w:rPr>
        <w:t>分。发现的主要问题及原因：部分报账材料未能及时整理。下一步改进措施：及时整理报账材料，完成年度资金进度安排。普惠性民办幼儿园奖补自治区补助资金项目自评得分为</w:t>
      </w:r>
      <w:r>
        <w:rPr>
          <w:rFonts w:ascii="仿宋" w:hAnsi="仿宋" w:eastAsia="仿宋" w:cs="仿宋"/>
          <w:sz w:val="32"/>
          <w:szCs w:val="32"/>
        </w:rPr>
        <w:t>80</w:t>
      </w:r>
      <w:r>
        <w:rPr>
          <w:rFonts w:hint="eastAsia" w:ascii="仿宋" w:hAnsi="仿宋" w:eastAsia="仿宋" w:cs="仿宋"/>
          <w:sz w:val="32"/>
          <w:szCs w:val="32"/>
        </w:rPr>
        <w:t>分。发现的主要问题及原因：一是辖区内普惠性民办幼儿园金童幼儿园未能及时整理报账材料,二是金童年幼儿园下半年已经停办。下一步改进措施：一是做好民办幼儿园整理报账材料的培训；二是加快资金进度安排。环江县第二幼儿园2022年年初预算经费(保育教育费)项目自评得分为</w:t>
      </w:r>
      <w:r>
        <w:rPr>
          <w:rFonts w:ascii="仿宋" w:hAnsi="仿宋" w:eastAsia="仿宋" w:cs="仿宋"/>
          <w:sz w:val="32"/>
          <w:szCs w:val="32"/>
        </w:rPr>
        <w:t>96.68</w:t>
      </w:r>
      <w:r>
        <w:rPr>
          <w:rFonts w:hint="eastAsia" w:ascii="仿宋" w:hAnsi="仿宋" w:eastAsia="仿宋" w:cs="仿宋"/>
          <w:sz w:val="32"/>
          <w:szCs w:val="32"/>
        </w:rPr>
        <w:t>。发现的主要问题及原因：部分报账材料未能及时整理。下一步改进措施：及时整理报账材料，完成年度资金进度安排。</w:t>
      </w:r>
      <w:bookmarkEnd w:id="6"/>
    </w:p>
    <w:p>
      <w:pPr>
        <w:jc w:val="center"/>
        <w:rPr>
          <w:rFonts w:ascii="黑体" w:hAnsi="黑体" w:eastAsia="黑体" w:cs="黑体"/>
          <w:sz w:val="32"/>
          <w:szCs w:val="32"/>
        </w:rPr>
      </w:pPr>
      <w:r>
        <w:rPr>
          <w:rFonts w:hint="eastAsia" w:ascii="黑体" w:hAnsi="黑体" w:eastAsia="黑体" w:cs="黑体"/>
          <w:sz w:val="32"/>
          <w:szCs w:val="32"/>
        </w:rPr>
        <w:t>第四部分  名词解释</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一、财政拨款收入：指</w:t>
      </w:r>
      <w:r>
        <w:rPr>
          <w:rFonts w:ascii="仿宋" w:hAnsi="仿宋" w:eastAsia="仿宋" w:cs="仿宋"/>
          <w:sz w:val="32"/>
        </w:rPr>
        <w:t>环江毛南族自治县财政部门当年拨付的资金。</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二、事业收入：指事业单位开展专业业务活动及辅助活动所取得的收入。</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四、其他收入：指除上述“财政拨款收入”“事业收入”“经营收入”等以外的收入。</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六、年初结转和结余：指以前年度尚未完成、结转到本年 按有关规定继续使用的资金。</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九、基本支出：指为保障机构正常运转、完成日常工作任务而发生的人员支出和公用支出。 </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十、项目支出：指在基本支出之外为完成特定行政任务和事业发展目标所发生的支出。 </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十二、“三公”经费：纳入</w:t>
      </w:r>
      <w:r>
        <w:rPr>
          <w:rFonts w:ascii="仿宋" w:hAnsi="仿宋" w:eastAsia="仿宋" w:cs="仿宋"/>
          <w:sz w:val="32"/>
        </w:rPr>
        <w:t>环江毛南族自治县财政预决算管理的“三公”经费，是指环江毛南族自治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418" w:bottom="1440" w:left="1418"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FiOTZkYjkwN2Q1MTBhY2U1NDI3ZmEwNzcyMDM4OGMifQ=="/>
  </w:docVars>
  <w:rsids>
    <w:rsidRoot w:val="637D7558"/>
    <w:rsid w:val="00002C84"/>
    <w:rsid w:val="00022149"/>
    <w:rsid w:val="00047F6C"/>
    <w:rsid w:val="00093C26"/>
    <w:rsid w:val="00094B91"/>
    <w:rsid w:val="000B06D8"/>
    <w:rsid w:val="000D1958"/>
    <w:rsid w:val="000E5855"/>
    <w:rsid w:val="000F465F"/>
    <w:rsid w:val="00105933"/>
    <w:rsid w:val="001418A5"/>
    <w:rsid w:val="00146888"/>
    <w:rsid w:val="00147D40"/>
    <w:rsid w:val="00156EF2"/>
    <w:rsid w:val="0018314C"/>
    <w:rsid w:val="001909DC"/>
    <w:rsid w:val="001D7B97"/>
    <w:rsid w:val="00210E20"/>
    <w:rsid w:val="00223F38"/>
    <w:rsid w:val="00233613"/>
    <w:rsid w:val="00253597"/>
    <w:rsid w:val="00254DBE"/>
    <w:rsid w:val="00255BDE"/>
    <w:rsid w:val="00275CAB"/>
    <w:rsid w:val="0028709C"/>
    <w:rsid w:val="0029328F"/>
    <w:rsid w:val="002B2731"/>
    <w:rsid w:val="00317203"/>
    <w:rsid w:val="00335F91"/>
    <w:rsid w:val="00382867"/>
    <w:rsid w:val="003A4973"/>
    <w:rsid w:val="003C1C96"/>
    <w:rsid w:val="003C69F8"/>
    <w:rsid w:val="003E40BA"/>
    <w:rsid w:val="003E7165"/>
    <w:rsid w:val="0041579D"/>
    <w:rsid w:val="00417C52"/>
    <w:rsid w:val="00427074"/>
    <w:rsid w:val="00434D04"/>
    <w:rsid w:val="004C4D73"/>
    <w:rsid w:val="004D7D0E"/>
    <w:rsid w:val="005234F5"/>
    <w:rsid w:val="00531745"/>
    <w:rsid w:val="00574196"/>
    <w:rsid w:val="005B2552"/>
    <w:rsid w:val="005C34CD"/>
    <w:rsid w:val="005F46D9"/>
    <w:rsid w:val="005F778E"/>
    <w:rsid w:val="006123AD"/>
    <w:rsid w:val="006148F3"/>
    <w:rsid w:val="00645B83"/>
    <w:rsid w:val="0066173C"/>
    <w:rsid w:val="0069493C"/>
    <w:rsid w:val="006972BA"/>
    <w:rsid w:val="006C030D"/>
    <w:rsid w:val="006D677A"/>
    <w:rsid w:val="006F1F8A"/>
    <w:rsid w:val="00707C70"/>
    <w:rsid w:val="007640BB"/>
    <w:rsid w:val="00771953"/>
    <w:rsid w:val="00776E0B"/>
    <w:rsid w:val="007A0641"/>
    <w:rsid w:val="007B326F"/>
    <w:rsid w:val="007C52E7"/>
    <w:rsid w:val="007C54EA"/>
    <w:rsid w:val="007C776D"/>
    <w:rsid w:val="007C7EE5"/>
    <w:rsid w:val="007D7CE3"/>
    <w:rsid w:val="007E2F6C"/>
    <w:rsid w:val="007E4AD4"/>
    <w:rsid w:val="00817C69"/>
    <w:rsid w:val="00823A94"/>
    <w:rsid w:val="00824151"/>
    <w:rsid w:val="008315A9"/>
    <w:rsid w:val="00834354"/>
    <w:rsid w:val="00857E1F"/>
    <w:rsid w:val="008F1B95"/>
    <w:rsid w:val="008F4AE2"/>
    <w:rsid w:val="008F6882"/>
    <w:rsid w:val="00926DDF"/>
    <w:rsid w:val="00934C72"/>
    <w:rsid w:val="00946CCF"/>
    <w:rsid w:val="0097721B"/>
    <w:rsid w:val="009831F8"/>
    <w:rsid w:val="009B3E00"/>
    <w:rsid w:val="009D1667"/>
    <w:rsid w:val="009F7C5A"/>
    <w:rsid w:val="00A07CCE"/>
    <w:rsid w:val="00A11F99"/>
    <w:rsid w:val="00A27624"/>
    <w:rsid w:val="00A354CF"/>
    <w:rsid w:val="00A358E6"/>
    <w:rsid w:val="00A85B26"/>
    <w:rsid w:val="00A924D1"/>
    <w:rsid w:val="00AA78EE"/>
    <w:rsid w:val="00AA7E40"/>
    <w:rsid w:val="00AB53E1"/>
    <w:rsid w:val="00AE3F4D"/>
    <w:rsid w:val="00AE5F66"/>
    <w:rsid w:val="00B07A0B"/>
    <w:rsid w:val="00B22F28"/>
    <w:rsid w:val="00B37453"/>
    <w:rsid w:val="00B450B5"/>
    <w:rsid w:val="00B45479"/>
    <w:rsid w:val="00B60171"/>
    <w:rsid w:val="00B837AC"/>
    <w:rsid w:val="00BA5669"/>
    <w:rsid w:val="00BB4FB8"/>
    <w:rsid w:val="00BD315D"/>
    <w:rsid w:val="00C02FF7"/>
    <w:rsid w:val="00C3279E"/>
    <w:rsid w:val="00C34857"/>
    <w:rsid w:val="00C530F6"/>
    <w:rsid w:val="00C7313F"/>
    <w:rsid w:val="00CA2E26"/>
    <w:rsid w:val="00CF3BB3"/>
    <w:rsid w:val="00D00918"/>
    <w:rsid w:val="00D14326"/>
    <w:rsid w:val="00D212C0"/>
    <w:rsid w:val="00D24B91"/>
    <w:rsid w:val="00D772CC"/>
    <w:rsid w:val="00D84F30"/>
    <w:rsid w:val="00D878A6"/>
    <w:rsid w:val="00DE74BD"/>
    <w:rsid w:val="00DE7D07"/>
    <w:rsid w:val="00E249E4"/>
    <w:rsid w:val="00E73576"/>
    <w:rsid w:val="00EB7822"/>
    <w:rsid w:val="00EC50A9"/>
    <w:rsid w:val="00ED04DB"/>
    <w:rsid w:val="00ED2849"/>
    <w:rsid w:val="00F112F6"/>
    <w:rsid w:val="00F21455"/>
    <w:rsid w:val="00F42674"/>
    <w:rsid w:val="00F51E9A"/>
    <w:rsid w:val="00F5354B"/>
    <w:rsid w:val="00F94229"/>
    <w:rsid w:val="00F95135"/>
    <w:rsid w:val="00F9658C"/>
    <w:rsid w:val="00F978FD"/>
    <w:rsid w:val="00FA738E"/>
    <w:rsid w:val="00FC438B"/>
    <w:rsid w:val="00FF4566"/>
    <w:rsid w:val="01234E98"/>
    <w:rsid w:val="015F1951"/>
    <w:rsid w:val="020C171D"/>
    <w:rsid w:val="0216715F"/>
    <w:rsid w:val="02E0291A"/>
    <w:rsid w:val="04E54546"/>
    <w:rsid w:val="05992762"/>
    <w:rsid w:val="07B0770E"/>
    <w:rsid w:val="0942143F"/>
    <w:rsid w:val="0D100297"/>
    <w:rsid w:val="0D202B45"/>
    <w:rsid w:val="0F8D4C87"/>
    <w:rsid w:val="10505FAA"/>
    <w:rsid w:val="105F7E7E"/>
    <w:rsid w:val="11E56B5B"/>
    <w:rsid w:val="125C77AB"/>
    <w:rsid w:val="14CB726E"/>
    <w:rsid w:val="165F7B0D"/>
    <w:rsid w:val="17E92249"/>
    <w:rsid w:val="18D304F1"/>
    <w:rsid w:val="19F32577"/>
    <w:rsid w:val="19F45B80"/>
    <w:rsid w:val="1B0C078D"/>
    <w:rsid w:val="1B102525"/>
    <w:rsid w:val="1B2B31E2"/>
    <w:rsid w:val="1B4C295A"/>
    <w:rsid w:val="1B973C63"/>
    <w:rsid w:val="1BA1001E"/>
    <w:rsid w:val="1D317259"/>
    <w:rsid w:val="1E664F5B"/>
    <w:rsid w:val="1EB34BE1"/>
    <w:rsid w:val="215E639F"/>
    <w:rsid w:val="21EC3183"/>
    <w:rsid w:val="225E72CD"/>
    <w:rsid w:val="246E2F77"/>
    <w:rsid w:val="254B4E2B"/>
    <w:rsid w:val="283D7C94"/>
    <w:rsid w:val="29480E03"/>
    <w:rsid w:val="2983634D"/>
    <w:rsid w:val="2BB02055"/>
    <w:rsid w:val="2C575A56"/>
    <w:rsid w:val="2F257714"/>
    <w:rsid w:val="2F3275E5"/>
    <w:rsid w:val="30AA08EF"/>
    <w:rsid w:val="30D23D1C"/>
    <w:rsid w:val="31221CF5"/>
    <w:rsid w:val="31400178"/>
    <w:rsid w:val="321E3342"/>
    <w:rsid w:val="327759C8"/>
    <w:rsid w:val="33185FE3"/>
    <w:rsid w:val="34EE2E36"/>
    <w:rsid w:val="36777241"/>
    <w:rsid w:val="371E78D5"/>
    <w:rsid w:val="38A951DB"/>
    <w:rsid w:val="38B31605"/>
    <w:rsid w:val="39003F4F"/>
    <w:rsid w:val="3AAC4293"/>
    <w:rsid w:val="3C07002B"/>
    <w:rsid w:val="3D0D152A"/>
    <w:rsid w:val="3DF62756"/>
    <w:rsid w:val="3F1B7587"/>
    <w:rsid w:val="41E57B4F"/>
    <w:rsid w:val="432F26F6"/>
    <w:rsid w:val="43880F63"/>
    <w:rsid w:val="441C5A6F"/>
    <w:rsid w:val="44C44FCC"/>
    <w:rsid w:val="44CC7369"/>
    <w:rsid w:val="457F5108"/>
    <w:rsid w:val="46951B6B"/>
    <w:rsid w:val="49A34401"/>
    <w:rsid w:val="4A3E30AB"/>
    <w:rsid w:val="4AC14DAC"/>
    <w:rsid w:val="4D154C85"/>
    <w:rsid w:val="4EB35ECE"/>
    <w:rsid w:val="508F4E24"/>
    <w:rsid w:val="51461E90"/>
    <w:rsid w:val="51463753"/>
    <w:rsid w:val="52553A93"/>
    <w:rsid w:val="53521F8B"/>
    <w:rsid w:val="53E22F47"/>
    <w:rsid w:val="54522FF8"/>
    <w:rsid w:val="55450629"/>
    <w:rsid w:val="56692963"/>
    <w:rsid w:val="568B0F48"/>
    <w:rsid w:val="5786217B"/>
    <w:rsid w:val="59337A15"/>
    <w:rsid w:val="59810274"/>
    <w:rsid w:val="5CA96A00"/>
    <w:rsid w:val="5CF730BC"/>
    <w:rsid w:val="5E5F0DCE"/>
    <w:rsid w:val="5FA40A7B"/>
    <w:rsid w:val="5FD56D29"/>
    <w:rsid w:val="5FEC7F3F"/>
    <w:rsid w:val="60F74BC3"/>
    <w:rsid w:val="617D3BF8"/>
    <w:rsid w:val="61841F6A"/>
    <w:rsid w:val="623007A9"/>
    <w:rsid w:val="637D7558"/>
    <w:rsid w:val="644F19AC"/>
    <w:rsid w:val="65AA4920"/>
    <w:rsid w:val="65E31D0B"/>
    <w:rsid w:val="67694F1E"/>
    <w:rsid w:val="69597934"/>
    <w:rsid w:val="6B964DDC"/>
    <w:rsid w:val="6C783074"/>
    <w:rsid w:val="6D9E65C6"/>
    <w:rsid w:val="6DA81947"/>
    <w:rsid w:val="6EB66DE2"/>
    <w:rsid w:val="6ED3075F"/>
    <w:rsid w:val="6F2A2D4B"/>
    <w:rsid w:val="6F8A0C1E"/>
    <w:rsid w:val="703F45D4"/>
    <w:rsid w:val="715D6546"/>
    <w:rsid w:val="71BE069E"/>
    <w:rsid w:val="73953409"/>
    <w:rsid w:val="73E069A3"/>
    <w:rsid w:val="78104AA8"/>
    <w:rsid w:val="789D01DD"/>
    <w:rsid w:val="78E257C5"/>
    <w:rsid w:val="794B35BE"/>
    <w:rsid w:val="7B0A3A31"/>
    <w:rsid w:val="7B3360ED"/>
    <w:rsid w:val="7BDF037E"/>
    <w:rsid w:val="7BF50948"/>
    <w:rsid w:val="7CE66A78"/>
    <w:rsid w:val="7D23564C"/>
    <w:rsid w:val="7D4B74A6"/>
    <w:rsid w:val="7D5E062D"/>
    <w:rsid w:val="7DF76CD8"/>
    <w:rsid w:val="7F695C26"/>
    <w:rsid w:val="7FCF62D3"/>
    <w:rsid w:val="D747FD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Emphasis"/>
    <w:basedOn w:val="8"/>
    <w:qFormat/>
    <w:uiPriority w:val="0"/>
    <w:rPr>
      <w:i/>
    </w:rPr>
  </w:style>
  <w:style w:type="character" w:customStyle="1" w:styleId="10">
    <w:name w:val="页眉 Char"/>
    <w:basedOn w:val="8"/>
    <w:link w:val="5"/>
    <w:qFormat/>
    <w:uiPriority w:val="0"/>
    <w:rPr>
      <w:rFonts w:asciiTheme="minorHAnsi" w:hAnsiTheme="minorHAnsi" w:eastAsiaTheme="minorEastAsia" w:cstheme="minorBidi"/>
      <w:kern w:val="2"/>
      <w:sz w:val="18"/>
      <w:szCs w:val="18"/>
    </w:rPr>
  </w:style>
  <w:style w:type="character" w:customStyle="1" w:styleId="11">
    <w:name w:val="页脚 Char"/>
    <w:basedOn w:val="8"/>
    <w:link w:val="4"/>
    <w:qFormat/>
    <w:uiPriority w:val="0"/>
    <w:rPr>
      <w:rFonts w:asciiTheme="minorHAnsi" w:hAnsiTheme="minorHAnsi" w:eastAsiaTheme="minorEastAsia" w:cstheme="minorBidi"/>
      <w:kern w:val="2"/>
      <w:sz w:val="18"/>
      <w:szCs w:val="18"/>
    </w:rPr>
  </w:style>
  <w:style w:type="paragraph" w:styleId="12">
    <w:name w:val="List Paragraph"/>
    <w:basedOn w:val="1"/>
    <w:qFormat/>
    <w:uiPriority w:val="99"/>
    <w:pPr>
      <w:ind w:firstLine="420" w:firstLineChars="200"/>
    </w:pPr>
  </w:style>
  <w:style w:type="character" w:customStyle="1" w:styleId="13">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hart" Target="charts/chart13.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13.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1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一般公共预算财政拨款收入</c:v>
                </c:pt>
              </c:strCache>
            </c:strRef>
          </c:cat>
          <c:val>
            <c:numRef>
              <c:f>Sheet1!$B$2</c:f>
              <c:numCache>
                <c:formatCode>General</c:formatCode>
                <c:ptCount val="1"/>
                <c:pt idx="0">
                  <c:v>445.33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Sheet1!$B$2:$B$13</c:f>
              <c:numCache>
                <c:formatCode>General</c:formatCode>
                <c:ptCount val="12"/>
                <c:pt idx="0">
                  <c:v>0</c:v>
                </c:pt>
                <c:pt idx="1">
                  <c:v>0</c:v>
                </c:pt>
                <c:pt idx="2">
                  <c:v>0</c:v>
                </c:pt>
                <c:pt idx="3">
                  <c:v>0</c:v>
                </c:pt>
                <c:pt idx="4">
                  <c:v>0</c:v>
                </c:pt>
                <c:pt idx="5">
                  <c:v>0</c:v>
                </c:pt>
                <c:pt idx="6">
                  <c:v>0</c:v>
                </c:pt>
                <c:pt idx="7">
                  <c:v>0</c:v>
                </c:pt>
                <c:pt idx="8">
                  <c:v>0</c:v>
                </c:pt>
                <c:pt idx="9">
                  <c:v>0</c:v>
                </c:pt>
                <c:pt idx="10">
                  <c:v>0</c:v>
                </c:pt>
                <c:pt idx="11">
                  <c:v>0</c:v>
                </c:pt>
              </c:numCache>
            </c:numRef>
          </c:val>
        </c:ser>
        <c:dLbls>
          <c:showLegendKey val="0"/>
          <c:showVal val="0"/>
          <c:showCatName val="0"/>
          <c:showSerName val="0"/>
          <c:showPercent val="0"/>
          <c:showBubbleSize val="0"/>
        </c:dLbls>
        <c:gapWidth val="219"/>
        <c:overlap val="-27"/>
        <c:axId val="263098752"/>
        <c:axId val="263100288"/>
      </c:barChart>
      <c:catAx>
        <c:axId val="2630987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3100288"/>
        <c:crosses val="autoZero"/>
        <c:auto val="1"/>
        <c:lblAlgn val="ctr"/>
        <c:lblOffset val="100"/>
        <c:noMultiLvlLbl val="0"/>
      </c:catAx>
      <c:valAx>
        <c:axId val="26310028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30987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Sheet1!$A$2:$A$3</c:f>
              <c:numCache>
                <c:formatCode>General</c:formatCode>
                <c:ptCount val="2"/>
                <c:pt idx="0">
                  <c:v>30701</c:v>
                </c:pt>
                <c:pt idx="1">
                  <c:v>30702</c:v>
                </c:pt>
              </c:numCache>
            </c:num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267773824"/>
        <c:axId val="267775360"/>
      </c:barChart>
      <c:catAx>
        <c:axId val="26777382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7775360"/>
        <c:crosses val="autoZero"/>
        <c:auto val="1"/>
        <c:lblAlgn val="ctr"/>
        <c:lblOffset val="100"/>
        <c:noMultiLvlLbl val="0"/>
      </c:catAx>
      <c:valAx>
        <c:axId val="26777536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777382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Sheet1!$A$2:$A$17</c:f>
              <c:numCache>
                <c:formatCode>General</c:formatCod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numCache>
            </c:num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267914624"/>
        <c:axId val="267924608"/>
      </c:barChart>
      <c:catAx>
        <c:axId val="26791462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7924608"/>
        <c:crosses val="autoZero"/>
        <c:auto val="1"/>
        <c:lblAlgn val="ctr"/>
        <c:lblOffset val="100"/>
        <c:noMultiLvlLbl val="0"/>
      </c:catAx>
      <c:valAx>
        <c:axId val="26792460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791462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Sheet1!$A$2:$A$6</c:f>
              <c:numCache>
                <c:formatCode>General</c:formatCode>
                <c:ptCount val="5"/>
                <c:pt idx="0">
                  <c:v>39907</c:v>
                </c:pt>
                <c:pt idx="1">
                  <c:v>39908</c:v>
                </c:pt>
                <c:pt idx="2">
                  <c:v>39909</c:v>
                </c:pt>
                <c:pt idx="3">
                  <c:v>39910</c:v>
                </c:pt>
                <c:pt idx="4">
                  <c:v>39999</c:v>
                </c:pt>
              </c:numCache>
            </c:num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267932800"/>
        <c:axId val="267934336"/>
      </c:barChart>
      <c:catAx>
        <c:axId val="26793280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7934336"/>
        <c:crosses val="autoZero"/>
        <c:auto val="1"/>
        <c:lblAlgn val="ctr"/>
        <c:lblOffset val="100"/>
        <c:noMultiLvlLbl val="0"/>
      </c:catAx>
      <c:valAx>
        <c:axId val="26793433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793280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Sheet1!$B$2:$B$6</c:f>
              <c:numCache>
                <c:formatCode>General</c:formatCode>
                <c:ptCount val="5"/>
                <c:pt idx="0">
                  <c:v>0</c:v>
                </c:pt>
                <c:pt idx="1">
                  <c:v>295.93</c:v>
                </c:pt>
                <c:pt idx="2">
                  <c:v>16.67</c:v>
                </c:pt>
                <c:pt idx="3">
                  <c:v>8.9</c:v>
                </c:pt>
                <c:pt idx="4">
                  <c:v>27.48</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Sheet1!$C$2:$C$6</c:f>
              <c:numCache>
                <c:formatCode>General</c:formatCode>
                <c:ptCount val="5"/>
                <c:pt idx="0">
                  <c:v>2.44</c:v>
                </c:pt>
                <c:pt idx="1">
                  <c:v>381.11</c:v>
                </c:pt>
                <c:pt idx="2">
                  <c:v>18.82</c:v>
                </c:pt>
                <c:pt idx="3">
                  <c:v>13.79</c:v>
                </c:pt>
                <c:pt idx="4">
                  <c:v>29.16</c:v>
                </c:pt>
              </c:numCache>
            </c:numRef>
          </c:val>
        </c:ser>
        <c:dLbls>
          <c:showLegendKey val="0"/>
          <c:showVal val="0"/>
          <c:showCatName val="0"/>
          <c:showSerName val="0"/>
          <c:showPercent val="0"/>
          <c:showBubbleSize val="0"/>
        </c:dLbls>
        <c:gapWidth val="219"/>
        <c:overlap val="-27"/>
        <c:axId val="177284608"/>
        <c:axId val="177286528"/>
      </c:barChart>
      <c:catAx>
        <c:axId val="1772846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7286528"/>
        <c:crosses val="autoZero"/>
        <c:auto val="1"/>
        <c:lblAlgn val="ctr"/>
        <c:lblOffset val="100"/>
        <c:noMultiLvlLbl val="0"/>
      </c:catAx>
      <c:valAx>
        <c:axId val="1772865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72846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2012999</c:v>
                </c:pt>
                <c:pt idx="1">
                  <c:v>201x</c:v>
                </c:pt>
              </c:strCache>
            </c:strRef>
          </c:cat>
          <c:val>
            <c:numRef>
              <c:f>Sheet1!$B$2:$B$3</c:f>
              <c:numCache>
                <c:formatCode>General</c:formatCode>
                <c:ptCount val="2"/>
                <c:pt idx="0">
                  <c:v>2.44</c:v>
                </c:pt>
                <c:pt idx="1">
                  <c:v>2.44</c:v>
                </c:pt>
              </c:numCache>
            </c:numRef>
          </c:val>
        </c:ser>
        <c:dLbls>
          <c:showLegendKey val="0"/>
          <c:showVal val="0"/>
          <c:showCatName val="0"/>
          <c:showSerName val="0"/>
          <c:showPercent val="0"/>
          <c:showBubbleSize val="0"/>
        </c:dLbls>
        <c:gapWidth val="219"/>
        <c:overlap val="-27"/>
        <c:axId val="185848192"/>
        <c:axId val="185850496"/>
      </c:barChart>
      <c:catAx>
        <c:axId val="18584819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5850496"/>
        <c:crosses val="autoZero"/>
        <c:auto val="1"/>
        <c:lblAlgn val="ctr"/>
        <c:lblOffset val="100"/>
        <c:noMultiLvlLbl val="0"/>
      </c:catAx>
      <c:valAx>
        <c:axId val="18585049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584819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教育支出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Sheet1!$A$2:$A$4</c:f>
              <c:strCache>
                <c:ptCount val="3"/>
                <c:pt idx="0">
                  <c:v>2050201</c:v>
                </c:pt>
                <c:pt idx="1">
                  <c:v>2050299</c:v>
                </c:pt>
                <c:pt idx="2">
                  <c:v>205x</c:v>
                </c:pt>
              </c:strCache>
            </c:strRef>
          </c:cat>
          <c:val>
            <c:numRef>
              <c:f>Sheet1!$B$2:$B$4</c:f>
              <c:numCache>
                <c:formatCode>General</c:formatCode>
                <c:ptCount val="3"/>
                <c:pt idx="0">
                  <c:v>375.98</c:v>
                </c:pt>
                <c:pt idx="1">
                  <c:v>5.13</c:v>
                </c:pt>
                <c:pt idx="2">
                  <c:v>381.11</c:v>
                </c:pt>
              </c:numCache>
            </c:numRef>
          </c:val>
        </c:ser>
        <c:dLbls>
          <c:showLegendKey val="0"/>
          <c:showVal val="0"/>
          <c:showCatName val="0"/>
          <c:showSerName val="0"/>
          <c:showPercent val="0"/>
          <c:showBubbleSize val="0"/>
        </c:dLbls>
        <c:gapWidth val="219"/>
        <c:overlap val="-27"/>
        <c:axId val="186417920"/>
        <c:axId val="186422784"/>
      </c:barChart>
      <c:catAx>
        <c:axId val="186417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6422784"/>
        <c:crosses val="autoZero"/>
        <c:auto val="1"/>
        <c:lblAlgn val="ctr"/>
        <c:lblOffset val="100"/>
        <c:noMultiLvlLbl val="0"/>
      </c:catAx>
      <c:valAx>
        <c:axId val="18642278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6417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2080505</c:v>
                </c:pt>
                <c:pt idx="1">
                  <c:v>208x</c:v>
                </c:pt>
              </c:strCache>
            </c:strRef>
          </c:cat>
          <c:val>
            <c:numRef>
              <c:f>Sheet1!$B$2:$B$3</c:f>
              <c:numCache>
                <c:formatCode>General</c:formatCode>
                <c:ptCount val="2"/>
                <c:pt idx="0">
                  <c:v>18.82</c:v>
                </c:pt>
                <c:pt idx="1">
                  <c:v>18.82</c:v>
                </c:pt>
              </c:numCache>
            </c:numRef>
          </c:val>
        </c:ser>
        <c:dLbls>
          <c:showLegendKey val="0"/>
          <c:showVal val="0"/>
          <c:showCatName val="0"/>
          <c:showSerName val="0"/>
          <c:showPercent val="0"/>
          <c:showBubbleSize val="0"/>
        </c:dLbls>
        <c:gapWidth val="219"/>
        <c:overlap val="-27"/>
        <c:axId val="190578048"/>
        <c:axId val="190607744"/>
      </c:barChart>
      <c:catAx>
        <c:axId val="19057804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0607744"/>
        <c:crosses val="autoZero"/>
        <c:auto val="1"/>
        <c:lblAlgn val="ctr"/>
        <c:lblOffset val="100"/>
        <c:noMultiLvlLbl val="0"/>
      </c:catAx>
      <c:valAx>
        <c:axId val="19060774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057804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13.79</c:v>
                </c:pt>
                <c:pt idx="1">
                  <c:v>13.79</c:v>
                </c:pt>
              </c:numCache>
            </c:numRef>
          </c:val>
        </c:ser>
        <c:dLbls>
          <c:showLegendKey val="0"/>
          <c:showVal val="0"/>
          <c:showCatName val="0"/>
          <c:showSerName val="0"/>
          <c:showPercent val="0"/>
          <c:showBubbleSize val="0"/>
        </c:dLbls>
        <c:gapWidth val="219"/>
        <c:overlap val="-27"/>
        <c:axId val="191072896"/>
        <c:axId val="267805056"/>
      </c:barChart>
      <c:catAx>
        <c:axId val="19107289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7805056"/>
        <c:crosses val="autoZero"/>
        <c:auto val="1"/>
        <c:lblAlgn val="ctr"/>
        <c:lblOffset val="100"/>
        <c:noMultiLvlLbl val="0"/>
      </c:catAx>
      <c:valAx>
        <c:axId val="26780505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107289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2299999</c:v>
                </c:pt>
                <c:pt idx="1">
                  <c:v>229x</c:v>
                </c:pt>
              </c:strCache>
            </c:strRef>
          </c:cat>
          <c:val>
            <c:numRef>
              <c:f>Sheet1!$B$2:$B$3</c:f>
              <c:numCache>
                <c:formatCode>General</c:formatCode>
                <c:ptCount val="2"/>
                <c:pt idx="0">
                  <c:v>29.16</c:v>
                </c:pt>
                <c:pt idx="1">
                  <c:v>29.16</c:v>
                </c:pt>
              </c:numCache>
            </c:numRef>
          </c:val>
        </c:ser>
        <c:dLbls>
          <c:showLegendKey val="0"/>
          <c:showVal val="0"/>
          <c:showCatName val="0"/>
          <c:showSerName val="0"/>
          <c:showPercent val="0"/>
          <c:showBubbleSize val="0"/>
        </c:dLbls>
        <c:gapWidth val="219"/>
        <c:overlap val="-27"/>
        <c:axId val="268434816"/>
        <c:axId val="190522496"/>
      </c:barChart>
      <c:catAx>
        <c:axId val="26843481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0522496"/>
        <c:crosses val="autoZero"/>
        <c:auto val="1"/>
        <c:lblAlgn val="ctr"/>
        <c:lblOffset val="100"/>
        <c:noMultiLvlLbl val="0"/>
      </c:catAx>
      <c:valAx>
        <c:axId val="19052249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843481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Sheet1!$A$2:$A$14</c:f>
              <c:numCache>
                <c:formatCode>General</c:formatCod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numCache>
            </c:numRef>
          </c:cat>
          <c:val>
            <c:numRef>
              <c:f>Sheet1!$B$2:$B$14</c:f>
              <c:numCache>
                <c:formatCode>General</c:formatCode>
                <c:ptCount val="13"/>
                <c:pt idx="0">
                  <c:v>78.79</c:v>
                </c:pt>
                <c:pt idx="1">
                  <c:v>4.81</c:v>
                </c:pt>
                <c:pt idx="2">
                  <c:v>25.41</c:v>
                </c:pt>
                <c:pt idx="3">
                  <c:v>0</c:v>
                </c:pt>
                <c:pt idx="4">
                  <c:v>32.94</c:v>
                </c:pt>
                <c:pt idx="5">
                  <c:v>20.16</c:v>
                </c:pt>
                <c:pt idx="6">
                  <c:v>0</c:v>
                </c:pt>
                <c:pt idx="7">
                  <c:v>11.13</c:v>
                </c:pt>
                <c:pt idx="8">
                  <c:v>0</c:v>
                </c:pt>
                <c:pt idx="9">
                  <c:v>1.1</c:v>
                </c:pt>
                <c:pt idx="10">
                  <c:v>13.79</c:v>
                </c:pt>
                <c:pt idx="11">
                  <c:v>0</c:v>
                </c:pt>
                <c:pt idx="12">
                  <c:v>0</c:v>
                </c:pt>
              </c:numCache>
            </c:numRef>
          </c:val>
        </c:ser>
        <c:dLbls>
          <c:showLegendKey val="0"/>
          <c:showVal val="0"/>
          <c:showCatName val="0"/>
          <c:showSerName val="0"/>
          <c:showPercent val="0"/>
          <c:showBubbleSize val="0"/>
        </c:dLbls>
        <c:gapWidth val="219"/>
        <c:overlap val="-27"/>
        <c:axId val="256558208"/>
        <c:axId val="256559744"/>
      </c:barChart>
      <c:catAx>
        <c:axId val="2565582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6559744"/>
        <c:crosses val="autoZero"/>
        <c:auto val="1"/>
        <c:lblAlgn val="ctr"/>
        <c:lblOffset val="100"/>
        <c:noMultiLvlLbl val="0"/>
      </c:catAx>
      <c:valAx>
        <c:axId val="25655974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65582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2.44</c:v>
                </c:pt>
                <c:pt idx="22">
                  <c:v>0</c:v>
                </c:pt>
                <c:pt idx="23">
                  <c:v>0</c:v>
                </c:pt>
                <c:pt idx="24">
                  <c:v>0</c:v>
                </c:pt>
                <c:pt idx="25">
                  <c:v>0</c:v>
                </c:pt>
                <c:pt idx="26">
                  <c:v>0</c:v>
                </c:pt>
              </c:numCache>
            </c:numRef>
          </c:val>
        </c:ser>
        <c:dLbls>
          <c:showLegendKey val="0"/>
          <c:showVal val="0"/>
          <c:showCatName val="0"/>
          <c:showSerName val="0"/>
          <c:showPercent val="0"/>
          <c:showBubbleSize val="0"/>
        </c:dLbls>
        <c:gapWidth val="219"/>
        <c:overlap val="-27"/>
        <c:axId val="258841600"/>
        <c:axId val="263078656"/>
      </c:barChart>
      <c:catAx>
        <c:axId val="25884160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3078656"/>
        <c:crosses val="autoZero"/>
        <c:auto val="1"/>
        <c:lblAlgn val="ctr"/>
        <c:lblOffset val="100"/>
        <c:noMultiLvlLbl val="0"/>
      </c:catAx>
      <c:valAx>
        <c:axId val="26307865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884160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41</Pages>
  <Words>2641</Words>
  <Characters>15054</Characters>
  <Lines>125</Lines>
  <Paragraphs>35</Paragraphs>
  <TotalTime>173</TotalTime>
  <ScaleCrop>false</ScaleCrop>
  <LinksUpToDate>false</LinksUpToDate>
  <CharactersWithSpaces>17660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2023-11-20T02:12:00Z</dcterms:created>
  <dc:creator>C D D</dc:creator>
  <cp:lastModifiedBy>Administrator</cp:lastModifiedBy>
  <dcterms:modified xsi:type="dcterms:W3CDTF">2023-11-28T07:50:21Z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843F27823027460BAAAF19DF60EFFF0C_13</vt:lpwstr>
  </property>
</Properties>
</file>