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环江毛南族自治县第三中学</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200" w:firstLineChars="500"/>
        <w:jc w:val="both"/>
        <w:rPr>
          <w:rFonts w:hint="eastAsia" w:asciiTheme="minorEastAsia" w:hAnsiTheme="minorEastAsia" w:eastAsiaTheme="minorEastAsia" w:cstheme="minorEastAsia"/>
          <w:sz w:val="44"/>
          <w:szCs w:val="44"/>
          <w:highlight w:val="none"/>
          <w:lang w:eastAsia="zh-CN"/>
        </w:rPr>
      </w:pPr>
      <w:r>
        <w:rPr>
          <w:rFonts w:hint="eastAsia" w:asciiTheme="minorEastAsia" w:hAnsiTheme="minorEastAsia" w:eastAsiaTheme="minorEastAsia" w:cstheme="minorEastAsia"/>
          <w:sz w:val="44"/>
          <w:szCs w:val="44"/>
          <w:highlight w:val="none"/>
          <w:lang w:eastAsia="zh-CN"/>
        </w:rPr>
        <w:t>单位负责人：</w:t>
      </w:r>
      <w:r>
        <w:rPr>
          <w:rFonts w:hint="eastAsia" w:asciiTheme="minorEastAsia" w:hAnsiTheme="minorEastAsia" w:cstheme="minorEastAsia"/>
          <w:sz w:val="44"/>
          <w:szCs w:val="44"/>
          <w:highlight w:val="none"/>
          <w:lang w:eastAsia="zh-CN"/>
        </w:rPr>
        <w:t>谭东向</w:t>
      </w: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Theme="minorEastAsia" w:hAnsiTheme="minorEastAsia" w:eastAsiaTheme="minorEastAsia" w:cstheme="minorEastAsia"/>
          <w:b w:val="0"/>
          <w:bCs w:val="0"/>
          <w:sz w:val="44"/>
          <w:szCs w:val="44"/>
          <w:highlight w:val="none"/>
        </w:rPr>
        <w:t>2023年</w:t>
      </w:r>
      <w:r>
        <w:rPr>
          <w:rFonts w:hint="eastAsia" w:asciiTheme="minorEastAsia" w:hAnsiTheme="minorEastAsia" w:eastAsiaTheme="minorEastAsia" w:cstheme="minorEastAsia"/>
          <w:b w:val="0"/>
          <w:bCs w:val="0"/>
          <w:sz w:val="44"/>
          <w:szCs w:val="44"/>
          <w:highlight w:val="none"/>
          <w:lang w:val="en-US" w:eastAsia="zh-CN"/>
        </w:rPr>
        <w:t>10</w:t>
      </w:r>
      <w:r>
        <w:rPr>
          <w:rFonts w:hint="eastAsia" w:asciiTheme="minorEastAsia" w:hAnsiTheme="minorEastAsia" w:eastAsiaTheme="minorEastAsia" w:cstheme="minorEastAsia"/>
          <w:b w:val="0"/>
          <w:bCs w:val="0"/>
          <w:sz w:val="44"/>
          <w:szCs w:val="44"/>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第一部分：环江毛南族自治县</w:t>
      </w:r>
      <w:r>
        <w:rPr>
          <w:rFonts w:hint="eastAsia" w:ascii="黑体" w:hAnsi="黑体" w:eastAsia="黑体" w:cs="黑体"/>
          <w:b w:val="0"/>
          <w:bCs/>
          <w:color w:val="000000"/>
          <w:sz w:val="32"/>
          <w:szCs w:val="32"/>
        </w:rPr>
        <w:t>第三中学</w:t>
      </w:r>
      <w:r>
        <w:rPr>
          <w:rFonts w:hint="eastAsia" w:ascii="黑体" w:hAnsi="黑体" w:eastAsia="黑体" w:cs="黑体"/>
          <w:b w:val="0"/>
          <w:bCs/>
          <w:sz w:val="32"/>
          <w:szCs w:val="32"/>
        </w:rPr>
        <w:t>概况</w:t>
      </w:r>
    </w:p>
    <w:p>
      <w:pPr>
        <w:spacing w:line="560" w:lineRule="exact"/>
        <w:rPr>
          <w:rFonts w:hint="eastAsia" w:ascii="仿宋_GB2312" w:eastAsia="仿宋_GB2312"/>
          <w:sz w:val="32"/>
          <w:szCs w:val="32"/>
        </w:rPr>
      </w:pPr>
      <w:r>
        <w:rPr>
          <w:rFonts w:hint="eastAsia" w:ascii="仿宋_GB2312" w:eastAsia="仿宋_GB2312"/>
          <w:sz w:val="32"/>
          <w:szCs w:val="32"/>
        </w:rPr>
        <w:t>一、主要职能</w:t>
      </w:r>
    </w:p>
    <w:p>
      <w:pPr>
        <w:spacing w:line="560" w:lineRule="exact"/>
        <w:rPr>
          <w:rFonts w:hint="eastAsia" w:ascii="仿宋_GB2312" w:eastAsia="仿宋_GB2312"/>
          <w:sz w:val="32"/>
          <w:szCs w:val="32"/>
        </w:rPr>
      </w:pPr>
      <w:r>
        <w:rPr>
          <w:rFonts w:hint="eastAsia" w:ascii="仿宋_GB2312" w:eastAsia="仿宋_GB2312"/>
          <w:sz w:val="32"/>
          <w:szCs w:val="32"/>
        </w:rPr>
        <w:t>二、部门决算单位构成</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第二部分：环江毛南族自治县</w:t>
      </w:r>
      <w:r>
        <w:rPr>
          <w:rFonts w:hint="eastAsia" w:ascii="黑体" w:hAnsi="黑体" w:eastAsia="黑体" w:cs="黑体"/>
          <w:b w:val="0"/>
          <w:bCs/>
          <w:color w:val="000000"/>
          <w:sz w:val="32"/>
          <w:szCs w:val="32"/>
        </w:rPr>
        <w:t>第三中学</w:t>
      </w:r>
      <w:r>
        <w:rPr>
          <w:rFonts w:hint="eastAsia" w:ascii="黑体" w:hAnsi="黑体" w:eastAsia="黑体" w:cs="黑体"/>
          <w:b w:val="0"/>
          <w:bCs/>
          <w:sz w:val="32"/>
          <w:szCs w:val="32"/>
        </w:rPr>
        <w:t>202</w:t>
      </w: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年部门决算报表</w:t>
      </w:r>
    </w:p>
    <w:p>
      <w:pPr>
        <w:spacing w:line="560" w:lineRule="exact"/>
        <w:rPr>
          <w:rFonts w:hint="eastAsia" w:ascii="仿宋_GB2312" w:eastAsia="仿宋_GB2312"/>
          <w:b/>
          <w:bCs/>
          <w:sz w:val="32"/>
          <w:szCs w:val="32"/>
        </w:rPr>
      </w:pPr>
      <w:r>
        <w:rPr>
          <w:rFonts w:hint="eastAsia" w:ascii="仿宋_GB2312" w:eastAsia="仿宋_GB2312"/>
          <w:sz w:val="32"/>
          <w:szCs w:val="32"/>
        </w:rPr>
        <w:t>表一：收入支出决算总表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rPr>
          <w:rFonts w:hint="eastAsia" w:ascii="仿宋_GB2312" w:eastAsia="仿宋_GB2312"/>
          <w:sz w:val="32"/>
          <w:szCs w:val="32"/>
          <w:lang w:eastAsia="zh-CN"/>
        </w:rPr>
      </w:pPr>
      <w:r>
        <w:rPr>
          <w:rFonts w:hint="eastAsia" w:ascii="仿宋_GB2312" w:eastAsia="仿宋_GB2312"/>
          <w:sz w:val="32"/>
          <w:szCs w:val="32"/>
        </w:rPr>
        <w:t>表六：一般公共预算财政拨款基本支出决算表</w:t>
      </w:r>
      <w:r>
        <w:rPr>
          <w:rFonts w:hint="eastAsia" w:ascii="仿宋_GB2312" w:eastAsia="仿宋_GB2312"/>
          <w:sz w:val="32"/>
          <w:szCs w:val="32"/>
          <w:lang w:eastAsia="zh-CN"/>
        </w:rPr>
        <w:t>明细表</w:t>
      </w:r>
    </w:p>
    <w:p>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rPr>
      </w:pPr>
      <w:r>
        <w:rPr>
          <w:rFonts w:hint="eastAsia" w:ascii="仿宋_GB2312" w:eastAsia="仿宋_GB2312"/>
          <w:sz w:val="32"/>
          <w:szCs w:val="32"/>
          <w:highlight w:val="none"/>
        </w:rPr>
        <w:t>表九：一般公共预算财政拨款安排的“三公”经费支出决算表</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color w:val="000000"/>
          <w:sz w:val="32"/>
          <w:szCs w:val="32"/>
        </w:rPr>
        <w:t>环江毛南族自治县第三中学</w:t>
      </w:r>
      <w:r>
        <w:rPr>
          <w:rFonts w:hint="eastAsia" w:ascii="黑体" w:hAnsi="黑体" w:eastAsia="黑体" w:cs="黑体"/>
          <w:b w:val="0"/>
          <w:bCs/>
          <w:sz w:val="32"/>
          <w:szCs w:val="32"/>
        </w:rPr>
        <w:t>202</w:t>
      </w: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b w:val="0"/>
          <w:bCs w:val="0"/>
          <w:sz w:val="32"/>
          <w:szCs w:val="32"/>
          <w:highlight w:val="none"/>
        </w:rPr>
      </w:pPr>
      <w:r>
        <w:rPr>
          <w:rFonts w:hint="eastAsia" w:ascii="黑体" w:hAnsi="黑体" w:eastAsia="黑体" w:cs="黑体"/>
          <w:b w:val="0"/>
          <w:bCs w:val="0"/>
          <w:sz w:val="32"/>
          <w:szCs w:val="32"/>
          <w:highlight w:val="none"/>
        </w:rPr>
        <w:t>第一部分：环江毛南族自治县第三中学概况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（一）贯彻执行党和国家的教育方针、政策和法律法规；拟订全县教育改革与发展规划并组织实施。</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（二）编制本县教育事业发展规划并检查实施情况，向自治县人民政府和上级教育部门作出报告。</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（三）督促检查全县贯彻执行教育方针、政策、法令、法规和上级的各项规定；评估指导全县教育教学工作。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（四）负责推进义务教育均衡发展和促进教育公平，负责义务教育的宏观指导与协调。</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（五）负责本校教师队伍建设，包括校长岗位培训、后备干部队伍建设、教师学历教育、继续教育等。</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（六）负责组织本校做好中考考务工作、招生录取工作和学籍管理工作。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（七）按照中央关于全面推进素质教育要求，负责教育教学管理、教育教学改革及教育教学科学研究工作，检查指导全县实施素质教育工作，并组织推广先进的教育教学经验。</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（八）检查指导学校教育教学设备的装备、管理和使用工作。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（九）检查指导全县开展电化教育和信息化教学工作。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（十）负责本校教师初级专业技术职务资格的评审，中、高级专业技术职务资格的申报工作。按照管理权限对教师进行考核、聘任、奖惩、晋升等工作。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（十一）负责监督审计本校教育经费和教育基建经费拨付及教育附加费和教育费附加的征收、管理与使用工作。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（十二）负责本校教学教育常规管理评估工作，如德育、体育、卫生、艺术、安全工作以及团组织和少先队工作。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（十三）指导本校的教育督导工作，组织和指导对中等及中等以下教育，扫除青壮年文盲工作的督导检查和评估工作，指导基础教育发展水平、质量的监测工作。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（十四）检查指导基础教育阶段民办教育、高中阶段民办教育办学工作。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（十五）负责本校学生资助管理工作。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（十六）负责语言文字和指导推广普通话工作。</w:t>
      </w:r>
    </w:p>
    <w:p>
      <w:pPr>
        <w:autoSpaceDE w:val="0"/>
        <w:autoSpaceDN w:val="0"/>
        <w:adjustRightInd w:val="0"/>
        <w:spacing w:line="520" w:lineRule="exact"/>
        <w:ind w:firstLine="640" w:firstLineChars="200"/>
        <w:jc w:val="left"/>
        <w:rPr>
          <w:rFonts w:hint="eastAsia" w:ascii="仿宋" w:hAnsi="仿宋" w:eastAsia="仿宋" w:cs="仿宋"/>
          <w:color w:val="FF0000"/>
          <w:sz w:val="32"/>
          <w:szCs w:val="32"/>
          <w:lang w:val="en-US" w:eastAsia="zh-CN"/>
        </w:rPr>
      </w:pPr>
      <w:r>
        <w:rPr>
          <w:rFonts w:hint="eastAsia" w:ascii="仿宋_GB2312" w:eastAsia="仿宋_GB2312" w:cs="仿宋_GB2312"/>
          <w:kern w:val="0"/>
          <w:sz w:val="32"/>
          <w:szCs w:val="32"/>
        </w:rPr>
        <w:t>（十七）完成自治县人民政府交办的其他工作。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543" w:firstLineChars="193"/>
        <w:rPr>
          <w:rFonts w:hint="eastAsia" w:ascii="宋体" w:hAnsi="宋体" w:cs="宋体"/>
          <w:b/>
          <w:bCs/>
          <w:color w:val="333333"/>
          <w:sz w:val="28"/>
          <w:szCs w:val="28"/>
        </w:rPr>
      </w:pPr>
      <w:r>
        <w:rPr>
          <w:rFonts w:hint="eastAsia" w:ascii="宋体" w:hAnsi="宋体" w:cs="宋体"/>
          <w:b/>
          <w:bCs/>
          <w:color w:val="333333"/>
          <w:sz w:val="28"/>
          <w:szCs w:val="28"/>
        </w:rPr>
        <w:t>（一）内设机构情况</w:t>
      </w:r>
    </w:p>
    <w:p>
      <w:pPr>
        <w:spacing w:line="460" w:lineRule="exact"/>
        <w:ind w:firstLine="617" w:firstLineChars="193"/>
        <w:rPr>
          <w:rFonts w:hint="eastAsia" w:ascii="仿宋_GB2312" w:eastAsia="仿宋_GB2312" w:cs="仿宋_GB2312"/>
          <w:kern w:val="0"/>
          <w:sz w:val="32"/>
          <w:szCs w:val="32"/>
        </w:rPr>
      </w:pPr>
      <w:r>
        <w:rPr>
          <w:rFonts w:hint="eastAsia" w:ascii="仿宋_GB2312" w:eastAsia="仿宋_GB2312" w:cs="仿宋_GB2312"/>
          <w:kern w:val="0"/>
          <w:sz w:val="32"/>
          <w:szCs w:val="32"/>
        </w:rPr>
        <w:t>本校有十个内设机构，分别为：校长室</w:t>
      </w:r>
      <w:r>
        <w:rPr>
          <w:rFonts w:ascii="仿宋_GB2312" w:eastAsia="仿宋_GB2312" w:cs="仿宋_GB2312"/>
          <w:kern w:val="0"/>
          <w:sz w:val="32"/>
          <w:szCs w:val="32"/>
        </w:rPr>
        <w:t>、</w:t>
      </w:r>
      <w:r>
        <w:rPr>
          <w:rFonts w:hint="eastAsia" w:ascii="仿宋_GB2312" w:eastAsia="仿宋_GB2312" w:cs="仿宋_GB2312"/>
          <w:kern w:val="0"/>
          <w:sz w:val="32"/>
          <w:szCs w:val="32"/>
        </w:rPr>
        <w:t>书记室</w:t>
      </w:r>
      <w:r>
        <w:rPr>
          <w:rFonts w:ascii="仿宋_GB2312" w:eastAsia="仿宋_GB2312" w:cs="仿宋_GB2312"/>
          <w:kern w:val="0"/>
          <w:sz w:val="32"/>
          <w:szCs w:val="32"/>
        </w:rPr>
        <w:t>、</w:t>
      </w:r>
      <w:r>
        <w:rPr>
          <w:rFonts w:hint="eastAsia" w:ascii="仿宋_GB2312" w:eastAsia="仿宋_GB2312" w:cs="仿宋_GB2312"/>
          <w:kern w:val="0"/>
          <w:sz w:val="32"/>
          <w:szCs w:val="32"/>
        </w:rPr>
        <w:t>行政办公室、工会</w:t>
      </w:r>
      <w:r>
        <w:rPr>
          <w:rFonts w:ascii="仿宋_GB2312" w:eastAsia="仿宋_GB2312" w:cs="仿宋_GB2312"/>
          <w:kern w:val="0"/>
          <w:sz w:val="32"/>
          <w:szCs w:val="32"/>
        </w:rPr>
        <w:t>、</w:t>
      </w:r>
      <w:r>
        <w:rPr>
          <w:rFonts w:hint="eastAsia" w:ascii="仿宋_GB2312" w:eastAsia="仿宋_GB2312" w:cs="仿宋_GB2312"/>
          <w:kern w:val="0"/>
          <w:sz w:val="32"/>
          <w:szCs w:val="32"/>
        </w:rPr>
        <w:t>团委办、资助办、</w:t>
      </w:r>
      <w:r>
        <w:rPr>
          <w:rFonts w:ascii="仿宋_GB2312" w:eastAsia="仿宋_GB2312" w:cs="仿宋_GB2312"/>
          <w:kern w:val="0"/>
          <w:sz w:val="32"/>
          <w:szCs w:val="32"/>
        </w:rPr>
        <w:t>总务处、教研处、教务处、政教处</w:t>
      </w:r>
      <w:r>
        <w:rPr>
          <w:rFonts w:hint="eastAsia" w:ascii="仿宋_GB2312" w:eastAsia="仿宋_GB2312" w:cs="仿宋_GB2312"/>
          <w:kern w:val="0"/>
          <w:sz w:val="32"/>
          <w:szCs w:val="32"/>
        </w:rPr>
        <w:t>。</w:t>
      </w:r>
    </w:p>
    <w:p>
      <w:pPr>
        <w:spacing w:line="440" w:lineRule="exact"/>
        <w:ind w:firstLine="643" w:firstLineChars="200"/>
        <w:rPr>
          <w:rFonts w:hint="eastAsia" w:ascii="宋体" w:hAnsi="宋体" w:cs="宋体"/>
          <w:b/>
          <w:sz w:val="32"/>
          <w:szCs w:val="32"/>
        </w:rPr>
      </w:pPr>
      <w:r>
        <w:rPr>
          <w:rFonts w:hint="eastAsia" w:ascii="宋体" w:hAnsi="宋体" w:cs="宋体"/>
          <w:b/>
          <w:sz w:val="32"/>
          <w:szCs w:val="32"/>
          <w:lang w:val="en-US" w:eastAsia="zh-CN"/>
        </w:rPr>
        <w:t>(二)</w:t>
      </w:r>
      <w:r>
        <w:rPr>
          <w:rFonts w:hint="eastAsia" w:ascii="宋体" w:hAnsi="宋体" w:cs="宋体"/>
          <w:b/>
          <w:sz w:val="32"/>
          <w:szCs w:val="32"/>
        </w:rPr>
        <w:t>人员构成情况</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年本校总编制人数</w:t>
      </w:r>
      <w:r>
        <w:rPr>
          <w:rFonts w:ascii="仿宋_GB2312" w:hAnsi="宋体" w:eastAsia="仿宋_GB2312" w:cs="宋体"/>
          <w:sz w:val="32"/>
          <w:szCs w:val="32"/>
        </w:rPr>
        <w:t>1</w:t>
      </w:r>
      <w:r>
        <w:rPr>
          <w:rFonts w:hint="eastAsia" w:ascii="仿宋_GB2312" w:hAnsi="宋体" w:eastAsia="仿宋_GB2312" w:cs="宋体"/>
          <w:sz w:val="32"/>
          <w:szCs w:val="32"/>
          <w:lang w:val="en-US" w:eastAsia="zh-CN"/>
        </w:rPr>
        <w:t>31</w:t>
      </w:r>
      <w:r>
        <w:rPr>
          <w:rFonts w:hint="eastAsia" w:ascii="仿宋_GB2312" w:hAnsi="宋体" w:eastAsia="仿宋_GB2312" w:cs="宋体"/>
          <w:sz w:val="32"/>
          <w:szCs w:val="32"/>
        </w:rPr>
        <w:t>人，事业编制数</w:t>
      </w:r>
      <w:r>
        <w:rPr>
          <w:rFonts w:hint="eastAsia" w:ascii="仿宋_GB2312" w:hAnsi="宋体" w:eastAsia="仿宋_GB2312" w:cs="宋体"/>
          <w:sz w:val="32"/>
          <w:szCs w:val="32"/>
          <w:lang w:val="en-US" w:eastAsia="zh-CN"/>
        </w:rPr>
        <w:t>131</w:t>
      </w:r>
      <w:r>
        <w:rPr>
          <w:rFonts w:hint="eastAsia" w:ascii="仿宋_GB2312" w:hAnsi="宋体" w:eastAsia="仿宋_GB2312" w:cs="宋体"/>
          <w:sz w:val="32"/>
          <w:szCs w:val="32"/>
        </w:rPr>
        <w:t>人</w:t>
      </w:r>
      <w:r>
        <w:rPr>
          <w:rFonts w:hint="eastAsia" w:ascii="仿宋_GB2312" w:eastAsia="仿宋_GB2312"/>
          <w:sz w:val="32"/>
          <w:szCs w:val="32"/>
        </w:rPr>
        <w:t>；</w:t>
      </w:r>
      <w:r>
        <w:rPr>
          <w:rFonts w:hint="eastAsia" w:ascii="仿宋_GB2312" w:hAnsi="宋体" w:eastAsia="仿宋_GB2312" w:cs="宋体"/>
          <w:sz w:val="32"/>
          <w:szCs w:val="32"/>
        </w:rPr>
        <w:t>实有在职人数</w:t>
      </w:r>
      <w:r>
        <w:rPr>
          <w:rFonts w:hint="eastAsia" w:ascii="仿宋_GB2312" w:hAnsi="宋体" w:eastAsia="仿宋_GB2312" w:cs="宋体"/>
          <w:sz w:val="32"/>
          <w:szCs w:val="32"/>
          <w:lang w:val="en-US" w:eastAsia="zh-CN"/>
        </w:rPr>
        <w:t>105</w:t>
      </w:r>
      <w:r>
        <w:rPr>
          <w:rFonts w:hint="eastAsia" w:ascii="仿宋_GB2312" w:hAnsi="宋体" w:eastAsia="仿宋_GB2312" w:cs="宋体"/>
          <w:sz w:val="32"/>
          <w:szCs w:val="32"/>
        </w:rPr>
        <w:t>人，退休人员</w:t>
      </w:r>
      <w:r>
        <w:rPr>
          <w:rFonts w:hint="eastAsia" w:ascii="仿宋_GB2312" w:hAnsi="宋体" w:eastAsia="仿宋_GB2312" w:cs="宋体"/>
          <w:sz w:val="32"/>
          <w:szCs w:val="32"/>
          <w:lang w:val="en-US" w:eastAsia="zh-CN"/>
        </w:rPr>
        <w:t>49</w:t>
      </w:r>
      <w:r>
        <w:rPr>
          <w:rFonts w:hint="eastAsia" w:ascii="仿宋_GB2312" w:hAnsi="宋体" w:eastAsia="仿宋_GB2312" w:cs="宋体"/>
          <w:sz w:val="32"/>
          <w:szCs w:val="32"/>
        </w:rPr>
        <w:t>人,学校专职保安人员</w:t>
      </w:r>
      <w:r>
        <w:rPr>
          <w:rFonts w:ascii="仿宋_GB2312" w:hAnsi="宋体" w:eastAsia="仿宋_GB2312" w:cs="宋体"/>
          <w:sz w:val="32"/>
          <w:szCs w:val="32"/>
        </w:rPr>
        <w:t>5</w:t>
      </w:r>
      <w:r>
        <w:rPr>
          <w:rFonts w:hint="eastAsia" w:ascii="仿宋_GB2312" w:hAnsi="宋体" w:eastAsia="仿宋_GB2312" w:cs="宋体"/>
          <w:sz w:val="32"/>
          <w:szCs w:val="32"/>
        </w:rPr>
        <w:t>人，食堂钟点工</w:t>
      </w:r>
      <w:r>
        <w:rPr>
          <w:rFonts w:ascii="仿宋_GB2312" w:hAnsi="宋体" w:eastAsia="仿宋_GB2312" w:cs="宋体"/>
          <w:sz w:val="32"/>
          <w:szCs w:val="32"/>
        </w:rPr>
        <w:t>2</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人。</w:t>
      </w:r>
    </w:p>
    <w:p>
      <w:pPr>
        <w:spacing w:line="460" w:lineRule="exact"/>
        <w:ind w:firstLine="617" w:firstLineChars="193"/>
        <w:rPr>
          <w:rFonts w:hint="eastAsia" w:ascii="仿宋_GB2312" w:eastAsia="仿宋_GB2312" w:cs="仿宋_GB2312"/>
          <w:kern w:val="0"/>
          <w:sz w:val="32"/>
          <w:szCs w:val="32"/>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880" w:firstLineChars="9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第二部分：环江毛南族自治县第三中学202</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年部门决算报表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r>
    </w:tbl>
    <w:p>
      <w:pPr>
        <w:rPr>
          <w:rFonts w:hint="eastAsia" w:ascii="宋体" w:hAnsi="宋体" w:eastAsia="宋体" w:cs="宋体"/>
          <w:color w:val="000000"/>
          <w:kern w:val="0"/>
          <w:sz w:val="30"/>
          <w:szCs w:val="30"/>
          <w:highlight w:val="none"/>
          <w:lang w:bidi="ar"/>
        </w:rPr>
      </w:pP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2362.41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2362.41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1778.86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1778.86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rPr>
          <w:rFonts w:hint="eastAsia" w:ascii="宋体" w:hAnsi="宋体" w:eastAsia="宋体" w:cs="宋体"/>
          <w:color w:val="000000"/>
          <w:kern w:val="0"/>
          <w:sz w:val="30"/>
          <w:szCs w:val="30"/>
          <w:highlight w:val="none"/>
          <w:lang w:bidi="ar"/>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表三：支出决算表</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398"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2362.41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2140.89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221.52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1703.55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1703.55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1778.86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1703.55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75.31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132.49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132.49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132.49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表四：财政拨款收入支出决算总表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1829.51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1829.51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228.05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2362.41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2362.41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2362.41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rPr>
          <w:rFonts w:hint="eastAsia" w:ascii="宋体" w:hAnsi="宋体" w:eastAsia="宋体" w:cs="宋体"/>
          <w:color w:val="000000"/>
          <w:kern w:val="0"/>
          <w:sz w:val="30"/>
          <w:szCs w:val="30"/>
          <w:highlight w:val="none"/>
          <w:lang w:bidi="ar"/>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表五：一般公共预算财政拨款支出决算表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2362.41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2140.89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221.52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1829.51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1703.55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1829.51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1703.55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1778.86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1703.55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75.31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95.56</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hint="eastAsia" w:ascii="宋体" w:hAnsi="宋体" w:eastAsia="宋体" w:cs="宋体"/>
          <w:color w:val="000000"/>
          <w:kern w:val="0"/>
          <w:sz w:val="30"/>
          <w:szCs w:val="30"/>
          <w:highlight w:val="none"/>
          <w:lang w:bidi="ar"/>
        </w:rPr>
        <w:br w:type="page"/>
      </w:r>
    </w:p>
    <w:p>
      <w:pPr>
        <w:rPr>
          <w:rFonts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表六：一般公共预算财政拨款基本支出决算表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1573.23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175.74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665.74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27.54</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16.54</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5.40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364.38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5.60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293.98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1937.61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203.28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tbl>
      <w:tblPr>
        <w:tblStyle w:val="6"/>
        <w:tblW w:w="14019" w:type="dxa"/>
        <w:tblInd w:w="0" w:type="dxa"/>
        <w:tblLayout w:type="fixed"/>
        <w:tblCellMar>
          <w:top w:w="0" w:type="dxa"/>
          <w:left w:w="108" w:type="dxa"/>
          <w:bottom w:w="0" w:type="dxa"/>
          <w:right w:w="108" w:type="dxa"/>
        </w:tblCellMar>
      </w:tblPr>
      <w:tblGrid>
        <w:gridCol w:w="1534"/>
        <w:gridCol w:w="1425"/>
        <w:gridCol w:w="1094"/>
        <w:gridCol w:w="1159"/>
        <w:gridCol w:w="1133"/>
        <w:gridCol w:w="1040"/>
        <w:gridCol w:w="1066"/>
        <w:gridCol w:w="1161"/>
        <w:gridCol w:w="1053"/>
        <w:gridCol w:w="1148"/>
        <w:gridCol w:w="1133"/>
        <w:gridCol w:w="1073"/>
      </w:tblGrid>
      <w:tr>
        <w:tblPrEx>
          <w:tblCellMar>
            <w:top w:w="0" w:type="dxa"/>
            <w:left w:w="108" w:type="dxa"/>
            <w:bottom w:w="0" w:type="dxa"/>
            <w:right w:w="108" w:type="dxa"/>
          </w:tblCellMar>
        </w:tblPrEx>
        <w:trPr>
          <w:trHeight w:val="632" w:hRule="atLeast"/>
        </w:trPr>
        <w:tc>
          <w:tcPr>
            <w:tcW w:w="14019"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6" w:hRule="atLeast"/>
        </w:trPr>
        <w:tc>
          <w:tcPr>
            <w:tcW w:w="15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7385"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广西河池市环江毛南族自治县恩恩中学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7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326" w:hRule="atLeast"/>
        </w:trPr>
        <w:tc>
          <w:tcPr>
            <w:tcW w:w="1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trHeight w:val="642" w:hRule="atLeast"/>
        </w:trPr>
        <w:tc>
          <w:tcPr>
            <w:tcW w:w="1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1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trHeight w:val="642" w:hRule="atLeast"/>
        </w:trPr>
        <w:tc>
          <w:tcPr>
            <w:tcW w:w="15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42" w:hRule="atLeast"/>
        </w:trPr>
        <w:tc>
          <w:tcPr>
            <w:tcW w:w="14019"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环江毛南族自治县第三中学</w:t>
      </w:r>
      <w:r>
        <w:rPr>
          <w:rFonts w:hint="eastAsia" w:ascii="黑体" w:hAnsi="黑体" w:eastAsia="黑体" w:cs="黑体"/>
          <w:sz w:val="32"/>
          <w:szCs w:val="32"/>
          <w:highlight w:val="none"/>
        </w:rPr>
        <w:t>2022年度部门决算情况说明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2362.41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增加89.44</w:t>
      </w:r>
      <w:r>
        <w:rPr>
          <w:rFonts w:hint="eastAsia" w:ascii="仿宋" w:hAnsi="仿宋" w:eastAsia="仿宋" w:cs="仿宋"/>
          <w:sz w:val="32"/>
          <w:szCs w:val="32"/>
          <w:highlight w:val="none"/>
        </w:rPr>
        <w:t>万元，</w:t>
      </w:r>
      <w:r>
        <w:rPr>
          <w:rFonts w:ascii="仿宋" w:hAnsi="仿宋" w:eastAsia="仿宋" w:cs="仿宋"/>
          <w:sz w:val="32"/>
          <w:u w:color="auto"/>
        </w:rPr>
        <w:t>增长3.93%</w:t>
      </w:r>
      <w:r>
        <w:rPr>
          <w:rFonts w:hint="eastAsia" w:ascii="仿宋" w:hAnsi="仿宋" w:eastAsia="仿宋" w:cs="仿宋"/>
          <w:sz w:val="32"/>
          <w:szCs w:val="32"/>
          <w:highlight w:val="none"/>
        </w:rPr>
        <w:t>，其中本年收入</w:t>
      </w:r>
      <w:r>
        <w:rPr>
          <w:rFonts w:ascii="仿宋" w:hAnsi="仿宋" w:eastAsia="仿宋" w:cs="仿宋"/>
          <w:sz w:val="32"/>
          <w:u w:color="auto"/>
        </w:rPr>
        <w:t>2362.41</w:t>
      </w:r>
      <w:r>
        <w:rPr>
          <w:rFonts w:hint="eastAsia" w:ascii="仿宋" w:hAnsi="仿宋" w:eastAsia="仿宋" w:cs="仿宋"/>
          <w:sz w:val="32"/>
          <w:szCs w:val="32"/>
          <w:highlight w:val="none"/>
        </w:rPr>
        <w:t>万元。收入具体情况如下。</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2362.41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增加258.53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增长12.29%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人员增加</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本单位无此类收入。</w:t>
      </w:r>
    </w:p>
    <w:p>
      <w:pPr>
        <w:autoSpaceDE w:val="0"/>
        <w:autoSpaceDN w:val="0"/>
        <w:adjustRightInd w:val="0"/>
        <w:spacing w:line="560" w:lineRule="exact"/>
        <w:ind w:firstLine="640" w:firstLineChars="200"/>
        <w:jc w:val="left"/>
        <w:rPr>
          <w:rFonts w:hint="eastAsia" w:ascii="仿宋" w:hAnsi="仿宋" w:eastAsia="华文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hint="eastAsia" w:ascii="华文仿宋" w:hAnsi="华文仿宋" w:eastAsia="华文仿宋" w:cs="华文仿宋"/>
          <w:kern w:val="0"/>
          <w:sz w:val="32"/>
          <w:szCs w:val="32"/>
        </w:rPr>
        <w:t>无此类收入</w:t>
      </w:r>
      <w:r>
        <w:rPr>
          <w:rFonts w:hint="eastAsia" w:ascii="华文仿宋" w:hAnsi="华文仿宋" w:eastAsia="华文仿宋" w:cs="华文仿宋"/>
          <w:kern w:val="0"/>
          <w:sz w:val="32"/>
          <w:szCs w:val="32"/>
          <w:lang w:eastAsia="zh-CN"/>
        </w:rPr>
        <w:t>。</w:t>
      </w:r>
    </w:p>
    <w:p>
      <w:pPr>
        <w:autoSpaceDE w:val="0"/>
        <w:autoSpaceDN w:val="0"/>
        <w:adjustRightInd w:val="0"/>
        <w:spacing w:line="560" w:lineRule="exact"/>
        <w:ind w:firstLine="640" w:firstLineChars="200"/>
        <w:jc w:val="left"/>
        <w:rPr>
          <w:rFonts w:hint="eastAsia" w:ascii="仿宋" w:hAnsi="仿宋" w:eastAsia="华文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r>
        <w:rPr>
          <w:rFonts w:hint="eastAsia" w:ascii="华文仿宋" w:hAnsi="华文仿宋" w:eastAsia="华文仿宋" w:cs="华文仿宋"/>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 w:hAnsi="仿宋" w:eastAsia="仿宋" w:cs="仿宋"/>
          <w:kern w:val="2"/>
          <w:sz w:val="32"/>
          <w:szCs w:val="32"/>
          <w:highlight w:val="none"/>
          <w:lang w:val="en-US" w:eastAsia="zh-CN" w:bidi="ar"/>
        </w:rPr>
        <w:t xml:space="preserve">事业收入 </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 xml:space="preserve"> 万元，</w:t>
      </w:r>
      <w:r>
        <w:rPr>
          <w:rFonts w:hint="eastAsia" w:ascii="仿宋" w:hAnsi="仿宋" w:eastAsia="仿宋" w:cs="仿宋"/>
          <w:kern w:val="2"/>
          <w:sz w:val="32"/>
          <w:szCs w:val="32"/>
          <w:highlight w:val="none"/>
          <w:lang w:val="en-US" w:eastAsia="zh-CN" w:bidi="ar"/>
        </w:rPr>
        <w:t>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 w:hAnsi="仿宋" w:eastAsia="仿宋" w:cs="仿宋"/>
          <w:kern w:val="2"/>
          <w:sz w:val="32"/>
          <w:szCs w:val="32"/>
          <w:highlight w:val="none"/>
          <w:lang w:val="en-US" w:eastAsia="zh-CN" w:bidi="ar"/>
        </w:rPr>
        <w:t xml:space="preserve">经营收入 0 </w:t>
      </w:r>
      <w:r>
        <w:rPr>
          <w:rFonts w:hint="eastAsia" w:ascii="仿宋_GB2312" w:hAnsi="仿宋_GB2312" w:eastAsia="仿宋_GB2312" w:cs="仿宋_GB2312"/>
          <w:kern w:val="0"/>
          <w:sz w:val="32"/>
          <w:szCs w:val="32"/>
        </w:rPr>
        <w:t>万元，</w:t>
      </w:r>
      <w:r>
        <w:rPr>
          <w:rFonts w:hint="eastAsia" w:ascii="仿宋" w:hAnsi="仿宋" w:eastAsia="仿宋" w:cs="仿宋"/>
          <w:kern w:val="2"/>
          <w:sz w:val="32"/>
          <w:szCs w:val="32"/>
          <w:highlight w:val="none"/>
          <w:lang w:val="en-US" w:eastAsia="zh-CN" w:bidi="ar"/>
        </w:rPr>
        <w:t>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autoSpaceDE w:val="0"/>
        <w:autoSpaceDN w:val="0"/>
        <w:adjustRightInd w:val="0"/>
        <w:spacing w:line="560" w:lineRule="exact"/>
        <w:ind w:firstLine="696"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pacing w:val="14"/>
          <w:kern w:val="0"/>
          <w:sz w:val="32"/>
          <w:szCs w:val="32"/>
          <w:lang w:val="en-US" w:eastAsia="zh-CN"/>
        </w:rPr>
        <w:t>8</w:t>
      </w:r>
      <w:r>
        <w:rPr>
          <w:rFonts w:hint="eastAsia" w:ascii="仿宋_GB2312" w:hAnsi="仿宋_GB2312" w:eastAsia="仿宋_GB2312" w:cs="仿宋_GB2312"/>
          <w:spacing w:val="14"/>
          <w:kern w:val="0"/>
          <w:sz w:val="32"/>
          <w:szCs w:val="32"/>
        </w:rPr>
        <w:t>.其他收入</w:t>
      </w:r>
      <w:r>
        <w:rPr>
          <w:rFonts w:ascii="仿宋_GB2312" w:hAnsi="仿宋_GB2312" w:eastAsia="仿宋_GB2312" w:cs="仿宋_GB2312"/>
          <w:spacing w:val="14"/>
          <w:kern w:val="0"/>
          <w:sz w:val="32"/>
          <w:szCs w:val="32"/>
        </w:rPr>
        <w:t>0</w:t>
      </w:r>
      <w:r>
        <w:rPr>
          <w:rFonts w:hint="eastAsia" w:ascii="仿宋_GB2312" w:hAnsi="仿宋_GB2312" w:eastAsia="仿宋_GB2312" w:cs="仿宋_GB2312"/>
          <w:spacing w:val="14"/>
          <w:kern w:val="0"/>
          <w:sz w:val="32"/>
          <w:szCs w:val="32"/>
        </w:rPr>
        <w:t>万元</w:t>
      </w:r>
      <w:r>
        <w:rPr>
          <w:rFonts w:hint="eastAsia" w:ascii="仿宋_GB2312" w:hAnsi="仿宋_GB2312" w:eastAsia="仿宋_GB2312" w:cs="仿宋_GB2312"/>
          <w:kern w:val="0"/>
          <w:sz w:val="32"/>
          <w:szCs w:val="32"/>
        </w:rPr>
        <w:t>，</w:t>
      </w:r>
      <w:r>
        <w:rPr>
          <w:rFonts w:hint="eastAsia" w:ascii="仿宋" w:hAnsi="仿宋" w:eastAsia="仿宋" w:cs="仿宋"/>
          <w:kern w:val="2"/>
          <w:sz w:val="32"/>
          <w:szCs w:val="32"/>
          <w:highlight w:val="none"/>
          <w:lang w:val="en-US" w:eastAsia="zh-CN" w:bidi="ar"/>
        </w:rPr>
        <w:t>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autoSpaceDE w:val="0"/>
        <w:autoSpaceDN w:val="0"/>
        <w:adjustRightInd w:val="0"/>
        <w:spacing w:line="560" w:lineRule="exact"/>
        <w:ind w:firstLine="640" w:firstLineChars="200"/>
        <w:jc w:val="left"/>
        <w:rPr>
          <w:rFonts w:hint="eastAsia" w:ascii="仿宋" w:hAnsi="仿宋" w:eastAsia="华文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hint="eastAsia" w:ascii="华文仿宋" w:hAnsi="华文仿宋" w:eastAsia="华文仿宋" w:cs="华文仿宋"/>
          <w:kern w:val="0"/>
          <w:sz w:val="32"/>
          <w:szCs w:val="32"/>
        </w:rPr>
        <w:t>无此类收入</w:t>
      </w:r>
      <w:r>
        <w:rPr>
          <w:rFonts w:hint="eastAsia" w:ascii="华文仿宋" w:hAnsi="华文仿宋" w:eastAsia="华文仿宋" w:cs="华文仿宋"/>
          <w:kern w:val="0"/>
          <w:sz w:val="32"/>
          <w:szCs w:val="32"/>
          <w:lang w:eastAsia="zh-CN"/>
        </w:rPr>
        <w:t>。</w:t>
      </w:r>
    </w:p>
    <w:p>
      <w:pPr>
        <w:autoSpaceDE w:val="0"/>
        <w:autoSpaceDN w:val="0"/>
        <w:adjustRightInd w:val="0"/>
        <w:spacing w:line="560" w:lineRule="exact"/>
        <w:ind w:firstLine="640" w:firstLineChars="200"/>
        <w:jc w:val="left"/>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减少169.09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主要原因：本年收入支出平衡，无结余。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191510"/>
            <wp:effectExtent l="4445" t="4445" r="20955" b="23495"/>
            <wp:docPr id="3" name="图表 3"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2"/>
        </w:numPr>
        <w:autoSpaceDE w:val="0"/>
        <w:autoSpaceDN w:val="0"/>
        <w:adjustRightInd w:val="0"/>
        <w:spacing w:line="560" w:lineRule="exact"/>
        <w:ind w:left="17" w:leftChars="8" w:firstLine="623"/>
        <w:jc w:val="left"/>
        <w:rPr>
          <w:rFonts w:hint="eastAsia" w:ascii="华文仿宋" w:hAnsi="华文仿宋" w:eastAsia="华文仿宋" w:cs="华文仿宋"/>
          <w:kern w:val="0"/>
          <w:sz w:val="32"/>
          <w:szCs w:val="32"/>
        </w:rPr>
      </w:pPr>
      <w:r>
        <w:rPr>
          <w:rFonts w:hint="eastAsia" w:ascii="仿宋_GB2312" w:hAnsi="仿宋_GB2312" w:eastAsia="仿宋_GB2312" w:cs="仿宋_GB2312"/>
          <w:kern w:val="0"/>
          <w:sz w:val="32"/>
          <w:szCs w:val="32"/>
        </w:rPr>
        <w:t xml:space="preserve">本部门本年度总支出 </w:t>
      </w:r>
      <w:r>
        <w:rPr>
          <w:rFonts w:hint="eastAsia" w:ascii="仿宋_GB2312" w:hAnsi="仿宋_GB2312" w:eastAsia="仿宋_GB2312" w:cs="仿宋_GB2312"/>
          <w:kern w:val="0"/>
          <w:sz w:val="32"/>
          <w:szCs w:val="32"/>
          <w:lang w:val="en-US" w:eastAsia="zh-CN"/>
        </w:rPr>
        <w:t>2362.41</w:t>
      </w:r>
      <w:r>
        <w:rPr>
          <w:rFonts w:hint="eastAsia" w:ascii="仿宋_GB2312" w:hAnsi="仿宋_GB2312" w:eastAsia="仿宋_GB2312" w:cs="仿宋_GB2312"/>
          <w:kern w:val="0"/>
          <w:sz w:val="32"/>
          <w:szCs w:val="32"/>
        </w:rPr>
        <w:t xml:space="preserve">万元，其中本年支出 </w:t>
      </w:r>
      <w:r>
        <w:rPr>
          <w:rFonts w:hint="eastAsia" w:ascii="仿宋_GB2312" w:hAnsi="仿宋_GB2312" w:eastAsia="仿宋_GB2312" w:cs="仿宋_GB2312"/>
          <w:kern w:val="0"/>
          <w:sz w:val="32"/>
          <w:szCs w:val="32"/>
          <w:lang w:val="en-US" w:eastAsia="zh-CN"/>
        </w:rPr>
        <w:t>2362.41</w:t>
      </w:r>
      <w:r>
        <w:rPr>
          <w:rFonts w:hint="eastAsia" w:ascii="仿宋_GB2312" w:hAnsi="仿宋_GB2312" w:eastAsia="仿宋_GB2312" w:cs="仿宋_GB2312"/>
          <w:kern w:val="0"/>
          <w:sz w:val="32"/>
          <w:szCs w:val="32"/>
        </w:rPr>
        <w:t xml:space="preserve"> 万</w:t>
      </w:r>
      <w:r>
        <w:rPr>
          <w:rFonts w:hint="eastAsia" w:ascii="仿宋_GB2312" w:hAnsi="仿宋_GB2312" w:eastAsia="仿宋_GB2312" w:cs="仿宋_GB2312"/>
          <w:sz w:val="32"/>
          <w:szCs w:val="32"/>
        </w:rPr>
        <w:t>元,</w:t>
      </w:r>
      <w:r>
        <w:rPr>
          <w:rFonts w:hint="eastAsia" w:ascii="仿宋" w:hAnsi="仿宋" w:eastAsia="仿宋" w:cs="仿宋"/>
          <w:sz w:val="32"/>
          <w:szCs w:val="32"/>
          <w:highlight w:val="none"/>
        </w:rPr>
        <w:t>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89.44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3.93</w:t>
      </w:r>
      <w:r>
        <w:rPr>
          <w:rFonts w:ascii="仿宋" w:hAnsi="仿宋" w:eastAsia="仿宋" w:cs="仿宋"/>
          <w:sz w:val="32"/>
          <w:u w:color="auto"/>
        </w:rPr>
        <w:t>%</w:t>
      </w:r>
      <w:r>
        <w:rPr>
          <w:rFonts w:hint="eastAsia" w:ascii="仿宋" w:hAnsi="仿宋" w:eastAsia="仿宋" w:cs="仿宋"/>
          <w:sz w:val="32"/>
          <w:u w:color="auto"/>
          <w:lang w:val="en-US" w:eastAsia="zh-CN"/>
        </w:rPr>
        <w:t>。</w:t>
      </w:r>
      <w:r>
        <w:rPr>
          <w:rFonts w:hint="eastAsia" w:ascii="华文仿宋" w:hAnsi="华文仿宋" w:eastAsia="华文仿宋" w:cs="华文仿宋"/>
          <w:kern w:val="0"/>
          <w:sz w:val="32"/>
          <w:szCs w:val="32"/>
        </w:rPr>
        <w:t>支出主要包括：</w:t>
      </w:r>
    </w:p>
    <w:p>
      <w:pPr>
        <w:keepNext w:val="0"/>
        <w:keepLines w:val="0"/>
        <w:widowControl w:val="0"/>
        <w:suppressLineNumbers w:val="0"/>
        <w:spacing w:before="0" w:beforeAutospacing="0" w:after="0" w:afterAutospacing="0"/>
        <w:ind w:left="0" w:right="0" w:firstLine="640" w:firstLineChars="200"/>
        <w:jc w:val="left"/>
        <w:rPr>
          <w:rFonts w:hint="default"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 xml:space="preserve"> 1.</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22.05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：教职工工会经费开支</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增加22.05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2021年预算科目分类不准确。</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2</w:t>
      </w:r>
      <w:r>
        <w:rPr>
          <w:rFonts w:hint="eastAsia" w:ascii="华文仿宋" w:hAnsi="华文仿宋" w:eastAsia="华文仿宋" w:cs="华文仿宋"/>
          <w:kern w:val="0"/>
          <w:sz w:val="32"/>
          <w:szCs w:val="32"/>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华文仿宋" w:hAnsi="华文仿宋" w:eastAsia="华文仿宋" w:cs="华文仿宋"/>
          <w:kern w:val="0"/>
          <w:sz w:val="32"/>
          <w:szCs w:val="32"/>
        </w:rPr>
        <w:t>1829.51万元，主要用于人员工资及为开展教育教学活动的支出。较20</w:t>
      </w:r>
      <w:r>
        <w:rPr>
          <w:rFonts w:hint="eastAsia" w:ascii="华文仿宋" w:hAnsi="华文仿宋" w:eastAsia="华文仿宋" w:cs="华文仿宋"/>
          <w:kern w:val="0"/>
          <w:sz w:val="32"/>
          <w:szCs w:val="32"/>
          <w:lang w:val="en-US" w:eastAsia="zh-CN"/>
        </w:rPr>
        <w:t>21</w:t>
      </w:r>
      <w:r>
        <w:rPr>
          <w:rFonts w:hint="eastAsia" w:ascii="华文仿宋" w:hAnsi="华文仿宋" w:eastAsia="华文仿宋" w:cs="华文仿宋"/>
          <w:kern w:val="0"/>
          <w:sz w:val="32"/>
          <w:szCs w:val="32"/>
        </w:rPr>
        <w:t>年度决算数</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50.37</w:t>
      </w:r>
      <w:r>
        <w:rPr>
          <w:rFonts w:hint="eastAsia" w:ascii="华文仿宋" w:hAnsi="华文仿宋" w:eastAsia="华文仿宋" w:cs="华文仿宋"/>
          <w:kern w:val="0"/>
          <w:sz w:val="32"/>
          <w:szCs w:val="32"/>
        </w:rPr>
        <w:t>万元，</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2.83</w:t>
      </w:r>
      <w:r>
        <w:rPr>
          <w:rFonts w:hint="eastAsia" w:ascii="华文仿宋" w:hAnsi="华文仿宋" w:eastAsia="华文仿宋" w:cs="华文仿宋"/>
          <w:kern w:val="0"/>
          <w:sz w:val="32"/>
          <w:szCs w:val="32"/>
        </w:rPr>
        <w:t>%，主要是教育各项收支比上年度均有所</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rPr>
        <w:t>。</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3</w:t>
      </w:r>
      <w:r>
        <w:rPr>
          <w:rFonts w:hint="eastAsia" w:ascii="华文仿宋" w:hAnsi="华文仿宋" w:eastAsia="华文仿宋" w:cs="华文仿宋"/>
          <w:kern w:val="0"/>
          <w:sz w:val="32"/>
          <w:szCs w:val="32"/>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华文仿宋" w:hAnsi="华文仿宋" w:eastAsia="华文仿宋" w:cs="华文仿宋"/>
          <w:kern w:val="0"/>
          <w:sz w:val="32"/>
          <w:szCs w:val="32"/>
        </w:rPr>
        <w:t>158.85万元，主要用于缴纳教职工“五险”。较20</w:t>
      </w:r>
      <w:r>
        <w:rPr>
          <w:rFonts w:hint="eastAsia" w:ascii="华文仿宋" w:hAnsi="华文仿宋" w:eastAsia="华文仿宋" w:cs="华文仿宋"/>
          <w:kern w:val="0"/>
          <w:sz w:val="32"/>
          <w:szCs w:val="32"/>
          <w:lang w:val="en-US" w:eastAsia="zh-CN"/>
        </w:rPr>
        <w:t>21</w:t>
      </w:r>
      <w:r>
        <w:rPr>
          <w:rFonts w:hint="eastAsia" w:ascii="华文仿宋" w:hAnsi="华文仿宋" w:eastAsia="华文仿宋" w:cs="华文仿宋"/>
          <w:kern w:val="0"/>
          <w:sz w:val="32"/>
          <w:szCs w:val="32"/>
        </w:rPr>
        <w:t>年度决算数</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1.81</w:t>
      </w:r>
      <w:r>
        <w:rPr>
          <w:rFonts w:hint="eastAsia" w:ascii="华文仿宋" w:hAnsi="华文仿宋" w:eastAsia="华文仿宋" w:cs="华文仿宋"/>
          <w:kern w:val="0"/>
          <w:sz w:val="32"/>
          <w:szCs w:val="32"/>
        </w:rPr>
        <w:t>万元，</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1.15</w:t>
      </w:r>
      <w:r>
        <w:rPr>
          <w:rFonts w:hint="eastAsia" w:ascii="华文仿宋" w:hAnsi="华文仿宋" w:eastAsia="华文仿宋" w:cs="华文仿宋"/>
          <w:kern w:val="0"/>
          <w:sz w:val="32"/>
          <w:szCs w:val="32"/>
        </w:rPr>
        <w:t>%，主要是</w:t>
      </w:r>
      <w:r>
        <w:rPr>
          <w:rFonts w:hint="eastAsia" w:ascii="华文仿宋" w:hAnsi="华文仿宋" w:eastAsia="华文仿宋" w:cs="华文仿宋"/>
          <w:kern w:val="0"/>
          <w:sz w:val="32"/>
          <w:szCs w:val="32"/>
          <w:lang w:eastAsia="zh-CN"/>
        </w:rPr>
        <w:t>在职</w:t>
      </w:r>
      <w:r>
        <w:rPr>
          <w:rFonts w:hint="eastAsia" w:ascii="华文仿宋" w:hAnsi="华文仿宋" w:eastAsia="华文仿宋" w:cs="华文仿宋"/>
          <w:kern w:val="0"/>
          <w:sz w:val="32"/>
          <w:szCs w:val="32"/>
        </w:rPr>
        <w:t>人员增多，教职工“五险”比去年有所</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rPr>
        <w:t>。</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4</w:t>
      </w:r>
      <w:r>
        <w:rPr>
          <w:rFonts w:hint="eastAsia" w:ascii="华文仿宋" w:hAnsi="华文仿宋" w:eastAsia="华文仿宋" w:cs="华文仿宋"/>
          <w:kern w:val="0"/>
          <w:sz w:val="32"/>
          <w:szCs w:val="32"/>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华文仿宋" w:hAnsi="华文仿宋" w:eastAsia="华文仿宋" w:cs="华文仿宋"/>
          <w:kern w:val="0"/>
          <w:sz w:val="32"/>
          <w:szCs w:val="32"/>
          <w:lang w:val="en-US" w:eastAsia="zh-CN"/>
        </w:rPr>
        <w:t>123.95</w:t>
      </w:r>
      <w:r>
        <w:rPr>
          <w:rFonts w:hint="eastAsia" w:ascii="华文仿宋" w:hAnsi="华文仿宋" w:eastAsia="华文仿宋" w:cs="华文仿宋"/>
          <w:kern w:val="0"/>
          <w:sz w:val="32"/>
          <w:szCs w:val="32"/>
        </w:rPr>
        <w:t>万元。较20</w:t>
      </w:r>
      <w:r>
        <w:rPr>
          <w:rFonts w:hint="eastAsia" w:ascii="华文仿宋" w:hAnsi="华文仿宋" w:eastAsia="华文仿宋" w:cs="华文仿宋"/>
          <w:kern w:val="0"/>
          <w:sz w:val="32"/>
          <w:szCs w:val="32"/>
          <w:lang w:val="en-US" w:eastAsia="zh-CN"/>
        </w:rPr>
        <w:t>21</w:t>
      </w:r>
      <w:r>
        <w:rPr>
          <w:rFonts w:hint="eastAsia" w:ascii="华文仿宋" w:hAnsi="华文仿宋" w:eastAsia="华文仿宋" w:cs="华文仿宋"/>
          <w:kern w:val="0"/>
          <w:sz w:val="32"/>
          <w:szCs w:val="32"/>
        </w:rPr>
        <w:t>年度决算数</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57.48</w:t>
      </w:r>
      <w:r>
        <w:rPr>
          <w:rFonts w:hint="eastAsia" w:ascii="华文仿宋" w:hAnsi="华文仿宋" w:eastAsia="华文仿宋" w:cs="华文仿宋"/>
          <w:kern w:val="0"/>
          <w:sz w:val="32"/>
          <w:szCs w:val="32"/>
        </w:rPr>
        <w:t>万元，</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86.47</w:t>
      </w:r>
      <w:r>
        <w:rPr>
          <w:rFonts w:hint="eastAsia" w:ascii="华文仿宋" w:hAnsi="华文仿宋" w:eastAsia="华文仿宋" w:cs="华文仿宋"/>
          <w:kern w:val="0"/>
          <w:sz w:val="32"/>
          <w:szCs w:val="32"/>
        </w:rPr>
        <w:t>%，主要是</w:t>
      </w:r>
      <w:r>
        <w:rPr>
          <w:rFonts w:hint="eastAsia" w:ascii="华文仿宋" w:hAnsi="华文仿宋" w:eastAsia="华文仿宋" w:cs="华文仿宋"/>
          <w:kern w:val="0"/>
          <w:sz w:val="32"/>
          <w:szCs w:val="32"/>
          <w:lang w:eastAsia="zh-CN"/>
        </w:rPr>
        <w:t>在职</w:t>
      </w:r>
      <w:r>
        <w:rPr>
          <w:rFonts w:hint="eastAsia" w:ascii="华文仿宋" w:hAnsi="华文仿宋" w:eastAsia="华文仿宋" w:cs="华文仿宋"/>
          <w:kern w:val="0"/>
          <w:sz w:val="32"/>
          <w:szCs w:val="32"/>
        </w:rPr>
        <w:t>人员增多，教职工</w:t>
      </w:r>
      <w:r>
        <w:rPr>
          <w:rFonts w:hint="eastAsia" w:ascii="华文仿宋" w:hAnsi="华文仿宋" w:eastAsia="华文仿宋" w:cs="华文仿宋"/>
          <w:kern w:val="0"/>
          <w:sz w:val="32"/>
          <w:szCs w:val="32"/>
          <w:lang w:eastAsia="zh-CN"/>
        </w:rPr>
        <w:t>住房公积金</w:t>
      </w:r>
      <w:r>
        <w:rPr>
          <w:rFonts w:hint="eastAsia" w:ascii="华文仿宋" w:hAnsi="华文仿宋" w:eastAsia="华文仿宋" w:cs="华文仿宋"/>
          <w:kern w:val="0"/>
          <w:sz w:val="32"/>
          <w:szCs w:val="32"/>
        </w:rPr>
        <w:t>比去年有所</w:t>
      </w:r>
      <w:r>
        <w:rPr>
          <w:rFonts w:hint="eastAsia" w:ascii="华文仿宋" w:hAnsi="华文仿宋" w:eastAsia="华文仿宋" w:cs="华文仿宋"/>
          <w:kern w:val="0"/>
          <w:sz w:val="32"/>
          <w:szCs w:val="32"/>
          <w:lang w:eastAsia="zh-CN"/>
        </w:rPr>
        <w:t>增加。</w:t>
      </w:r>
    </w:p>
    <w:p>
      <w:pPr>
        <w:autoSpaceDE w:val="0"/>
        <w:autoSpaceDN w:val="0"/>
        <w:adjustRightInd w:val="0"/>
        <w:spacing w:line="560" w:lineRule="exact"/>
        <w:ind w:firstLine="627" w:firstLineChars="196"/>
        <w:jc w:val="left"/>
        <w:rPr>
          <w:rFonts w:hint="default"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5</w:t>
      </w:r>
      <w:r>
        <w:rPr>
          <w:rFonts w:hint="eastAsia" w:ascii="华文仿宋" w:hAnsi="华文仿宋" w:eastAsia="华文仿宋" w:cs="华文仿宋"/>
          <w:kern w:val="0"/>
          <w:sz w:val="32"/>
          <w:szCs w:val="32"/>
        </w:rPr>
        <w:t>.其他支出228.05万元，主要是202</w:t>
      </w:r>
      <w:r>
        <w:rPr>
          <w:rFonts w:hint="eastAsia" w:ascii="华文仿宋" w:hAnsi="华文仿宋" w:eastAsia="华文仿宋" w:cs="华文仿宋"/>
          <w:kern w:val="0"/>
          <w:sz w:val="32"/>
          <w:szCs w:val="32"/>
          <w:lang w:val="en-US" w:eastAsia="zh-CN"/>
        </w:rPr>
        <w:t>2</w:t>
      </w:r>
      <w:r>
        <w:rPr>
          <w:rFonts w:hint="eastAsia" w:ascii="华文仿宋" w:hAnsi="华文仿宋" w:eastAsia="华文仿宋" w:cs="华文仿宋"/>
          <w:kern w:val="0"/>
          <w:sz w:val="32"/>
          <w:szCs w:val="32"/>
        </w:rPr>
        <w:t>年绩效考评奖励金。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2022年无结余。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2022年无结余。</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27575" cy="2727325"/>
            <wp:effectExtent l="4445" t="4445" r="11430" b="11430"/>
            <wp:docPr id="6" name="图表 6"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第三</w:t>
      </w:r>
      <w:r>
        <w:rPr>
          <w:rFonts w:hint="eastAsia" w:ascii="仿宋" w:hAnsi="仿宋" w:eastAsia="仿宋" w:cs="仿宋"/>
          <w:sz w:val="32"/>
          <w:szCs w:val="32"/>
          <w:highlight w:val="none"/>
        </w:rPr>
        <w:t>中学2022年度一般公共预算财政拨款支出</w:t>
      </w:r>
      <w:r>
        <w:rPr>
          <w:rFonts w:ascii="仿宋" w:hAnsi="仿宋" w:eastAsia="仿宋" w:cs="仿宋"/>
          <w:sz w:val="32"/>
          <w:u w:color="auto"/>
        </w:rPr>
        <w:t>2362.41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增加89.63</w:t>
      </w:r>
      <w:r>
        <w:rPr>
          <w:rFonts w:hint="eastAsia" w:ascii="仿宋" w:hAnsi="仿宋" w:eastAsia="仿宋" w:cs="仿宋"/>
          <w:sz w:val="32"/>
          <w:szCs w:val="32"/>
          <w:highlight w:val="none"/>
        </w:rPr>
        <w:t>万元，</w:t>
      </w:r>
      <w:r>
        <w:rPr>
          <w:rFonts w:ascii="仿宋" w:hAnsi="仿宋" w:eastAsia="仿宋" w:cs="仿宋"/>
          <w:sz w:val="32"/>
          <w:u w:color="auto"/>
        </w:rPr>
        <w:t>增长3.94%</w:t>
      </w:r>
      <w:r>
        <w:rPr>
          <w:rFonts w:hint="eastAsia" w:ascii="仿宋" w:hAnsi="仿宋" w:eastAsia="仿宋" w:cs="仿宋"/>
          <w:sz w:val="32"/>
          <w:szCs w:val="32"/>
          <w:highlight w:val="none"/>
        </w:rPr>
        <w:t>。其中：基本支出</w:t>
      </w:r>
      <w:r>
        <w:rPr>
          <w:rFonts w:ascii="仿宋" w:hAnsi="仿宋" w:eastAsia="仿宋" w:cs="仿宋"/>
          <w:sz w:val="32"/>
          <w:u w:color="auto"/>
        </w:rPr>
        <w:t>2140.89</w:t>
      </w:r>
      <w:r>
        <w:rPr>
          <w:rFonts w:hint="eastAsia" w:ascii="仿宋" w:hAnsi="仿宋" w:eastAsia="仿宋" w:cs="仿宋"/>
          <w:sz w:val="32"/>
          <w:szCs w:val="32"/>
          <w:highlight w:val="none"/>
        </w:rPr>
        <w:t>万元，项目支出</w:t>
      </w:r>
      <w:r>
        <w:rPr>
          <w:rFonts w:ascii="仿宋" w:hAnsi="仿宋" w:eastAsia="仿宋" w:cs="仿宋"/>
          <w:sz w:val="32"/>
          <w:u w:color="auto"/>
        </w:rPr>
        <w:t>221.52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第三</w:t>
      </w:r>
      <w:r>
        <w:rPr>
          <w:rFonts w:hint="eastAsia" w:ascii="仿宋" w:hAnsi="仿宋" w:eastAsia="仿宋" w:cs="仿宋"/>
          <w:sz w:val="32"/>
          <w:szCs w:val="32"/>
          <w:highlight w:val="none"/>
        </w:rPr>
        <w:t>中学2022 年度一般公共预算财政拨款支出年初预算为</w:t>
      </w:r>
      <w:r>
        <w:rPr>
          <w:rFonts w:ascii="仿宋" w:hAnsi="仿宋" w:eastAsia="仿宋" w:cs="仿宋"/>
          <w:sz w:val="32"/>
          <w:u w:color="auto"/>
        </w:rPr>
        <w:t>1533.79</w:t>
      </w:r>
      <w:r>
        <w:rPr>
          <w:rFonts w:hint="eastAsia" w:ascii="仿宋" w:hAnsi="仿宋" w:eastAsia="仿宋" w:cs="仿宋"/>
          <w:sz w:val="32"/>
          <w:szCs w:val="32"/>
          <w:highlight w:val="none"/>
        </w:rPr>
        <w:t>万元，支出决算为</w:t>
      </w:r>
      <w:r>
        <w:rPr>
          <w:rFonts w:ascii="仿宋" w:hAnsi="仿宋" w:eastAsia="仿宋" w:cs="仿宋"/>
          <w:sz w:val="32"/>
          <w:u w:color="auto"/>
        </w:rPr>
        <w:t>2362.41</w:t>
      </w:r>
      <w:r>
        <w:rPr>
          <w:rFonts w:hint="eastAsia" w:ascii="仿宋" w:hAnsi="仿宋" w:eastAsia="仿宋" w:cs="仿宋"/>
          <w:sz w:val="32"/>
          <w:szCs w:val="32"/>
          <w:highlight w:val="none"/>
        </w:rPr>
        <w:t>万元，完成年初预算的</w:t>
      </w:r>
      <w:r>
        <w:rPr>
          <w:rFonts w:ascii="仿宋" w:hAnsi="仿宋" w:eastAsia="仿宋" w:cs="仿宋"/>
          <w:sz w:val="32"/>
          <w:u w:color="auto"/>
        </w:rPr>
        <w:t>154.02%</w:t>
      </w:r>
      <w:r>
        <w:rPr>
          <w:rFonts w:hint="eastAsia" w:ascii="仿宋" w:hAnsi="仿宋" w:eastAsia="仿宋" w:cs="仿宋"/>
          <w:sz w:val="32"/>
          <w:szCs w:val="32"/>
          <w:highlight w:val="none"/>
        </w:rPr>
        <w:t>。</w:t>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22.05</w:t>
      </w:r>
      <w:r>
        <w:rPr>
          <w:rFonts w:hint="eastAsia" w:ascii="仿宋" w:hAnsi="仿宋" w:eastAsia="仿宋"/>
          <w:sz w:val="32"/>
          <w:szCs w:val="32"/>
          <w:highlight w:val="none"/>
        </w:rPr>
        <w:t>万元，支出决算为</w:t>
      </w:r>
      <w:r>
        <w:rPr>
          <w:rFonts w:ascii="仿宋" w:hAnsi="仿宋" w:eastAsia="仿宋"/>
          <w:sz w:val="32"/>
          <w:szCs w:val="32"/>
          <w:highlight w:val="none"/>
        </w:rPr>
        <w:t>22.05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1203.00</w:t>
      </w:r>
      <w:r>
        <w:rPr>
          <w:rFonts w:hint="eastAsia" w:ascii="仿宋" w:hAnsi="仿宋" w:eastAsia="仿宋"/>
          <w:sz w:val="32"/>
          <w:szCs w:val="32"/>
          <w:highlight w:val="none"/>
        </w:rPr>
        <w:t>万元，支出决算为</w:t>
      </w:r>
      <w:r>
        <w:rPr>
          <w:rFonts w:ascii="仿宋" w:hAnsi="仿宋" w:eastAsia="仿宋"/>
          <w:sz w:val="32"/>
          <w:szCs w:val="32"/>
          <w:highlight w:val="none"/>
        </w:rPr>
        <w:t>1829.51</w:t>
      </w:r>
      <w:r>
        <w:rPr>
          <w:rFonts w:hint="eastAsia" w:ascii="仿宋" w:hAnsi="仿宋" w:eastAsia="仿宋"/>
          <w:sz w:val="32"/>
          <w:szCs w:val="32"/>
          <w:highlight w:val="none"/>
        </w:rPr>
        <w:t>万元，完成年初预算的</w:t>
      </w:r>
      <w:r>
        <w:rPr>
          <w:rFonts w:ascii="仿宋" w:hAnsi="仿宋" w:eastAsia="仿宋"/>
          <w:sz w:val="32"/>
          <w:szCs w:val="32"/>
          <w:highlight w:val="none"/>
        </w:rPr>
        <w:t>152.08%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原因是：中途有新增人员</w:t>
      </w:r>
      <w:r>
        <w:rPr>
          <w:rFonts w:hint="eastAsia" w:ascii="仿宋" w:hAnsi="仿宋" w:eastAsia="仿宋" w:cs="仿宋"/>
          <w:color w:val="FF0000"/>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1778.86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147.87%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教职工工资福利支出、商品服务支出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商品服务支出增加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学校商品和服务支出等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年初没有之类预算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1829.51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82875"/>
            <wp:effectExtent l="4445" t="4445" r="16510" b="17780"/>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176.42</w:t>
      </w:r>
      <w:r>
        <w:rPr>
          <w:rFonts w:hint="eastAsia" w:ascii="仿宋" w:hAnsi="仿宋" w:eastAsia="仿宋"/>
          <w:sz w:val="32"/>
          <w:szCs w:val="32"/>
          <w:highlight w:val="none"/>
        </w:rPr>
        <w:t>万元，支出决算为</w:t>
      </w:r>
      <w:r>
        <w:rPr>
          <w:rFonts w:ascii="仿宋" w:hAnsi="仿宋" w:eastAsia="仿宋"/>
          <w:sz w:val="32"/>
          <w:szCs w:val="32"/>
          <w:highlight w:val="none"/>
        </w:rPr>
        <w:t>158.85</w:t>
      </w:r>
      <w:r>
        <w:rPr>
          <w:rFonts w:hint="eastAsia" w:ascii="仿宋" w:hAnsi="仿宋" w:eastAsia="仿宋"/>
          <w:sz w:val="32"/>
          <w:szCs w:val="32"/>
          <w:highlight w:val="none"/>
        </w:rPr>
        <w:t>万元，完成年初预算的</w:t>
      </w:r>
      <w:r>
        <w:rPr>
          <w:rFonts w:ascii="仿宋" w:hAnsi="仿宋" w:eastAsia="仿宋"/>
          <w:sz w:val="32"/>
          <w:szCs w:val="32"/>
          <w:highlight w:val="none"/>
        </w:rPr>
        <w:t>90.04%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原因是：中途有人员退休、调离等。</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2385"/>
        <w:gridCol w:w="960"/>
        <w:gridCol w:w="930"/>
        <w:gridCol w:w="1230"/>
        <w:gridCol w:w="1410"/>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23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4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23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176.42</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158.85</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90.04%</w:t>
            </w:r>
          </w:p>
        </w:tc>
        <w:tc>
          <w:tcPr>
            <w:tcW w:w="14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职工养老保险缴费</w:t>
            </w: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23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176.42</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158.85</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9686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132.32</w:t>
      </w:r>
      <w:r>
        <w:rPr>
          <w:rFonts w:hint="eastAsia" w:ascii="仿宋" w:hAnsi="仿宋" w:eastAsia="仿宋"/>
          <w:sz w:val="32"/>
          <w:szCs w:val="32"/>
          <w:highlight w:val="none"/>
        </w:rPr>
        <w:t>万元，支出决算为</w:t>
      </w:r>
      <w:r>
        <w:rPr>
          <w:rFonts w:ascii="仿宋" w:hAnsi="仿宋" w:eastAsia="仿宋"/>
          <w:sz w:val="32"/>
          <w:szCs w:val="32"/>
          <w:highlight w:val="none"/>
        </w:rPr>
        <w:t>123.95</w:t>
      </w:r>
      <w:r>
        <w:rPr>
          <w:rFonts w:hint="eastAsia" w:ascii="仿宋" w:hAnsi="仿宋" w:eastAsia="仿宋"/>
          <w:sz w:val="32"/>
          <w:szCs w:val="32"/>
          <w:highlight w:val="none"/>
        </w:rPr>
        <w:t>万元，完成年初预算的</w:t>
      </w:r>
      <w:r>
        <w:rPr>
          <w:rFonts w:ascii="仿宋" w:hAnsi="仿宋" w:eastAsia="仿宋"/>
          <w:sz w:val="32"/>
          <w:szCs w:val="32"/>
          <w:highlight w:val="none"/>
        </w:rPr>
        <w:t>93.67%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原因是：中途有人员退休、调离等</w:t>
      </w:r>
      <w:r>
        <w:rPr>
          <w:rFonts w:hint="eastAsia" w:ascii="仿宋" w:hAnsi="仿宋" w:eastAsia="仿宋"/>
          <w:color w:val="000000" w:themeColor="text1"/>
          <w:sz w:val="32"/>
          <w:szCs w:val="32"/>
          <w:highlight w:val="none"/>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132.32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123.95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93.67%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人员退休、调离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132.32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123.95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22.05</w:t>
      </w:r>
      <w:r>
        <w:rPr>
          <w:rFonts w:hint="eastAsia" w:ascii="仿宋" w:hAnsi="仿宋" w:eastAsia="仿宋"/>
          <w:sz w:val="32"/>
          <w:szCs w:val="32"/>
          <w:highlight w:val="none"/>
        </w:rPr>
        <w:t>万元，支出决算为</w:t>
      </w:r>
      <w:r>
        <w:rPr>
          <w:rFonts w:ascii="仿宋" w:hAnsi="仿宋" w:eastAsia="仿宋"/>
          <w:sz w:val="32"/>
          <w:szCs w:val="32"/>
          <w:highlight w:val="none"/>
        </w:rPr>
        <w:t>228.05</w:t>
      </w:r>
      <w:r>
        <w:rPr>
          <w:rFonts w:hint="eastAsia" w:ascii="仿宋" w:hAnsi="仿宋" w:eastAsia="仿宋"/>
          <w:sz w:val="32"/>
          <w:szCs w:val="32"/>
          <w:highlight w:val="none"/>
        </w:rPr>
        <w:t>万元，完成年初预算的</w:t>
      </w:r>
      <w:r>
        <w:rPr>
          <w:rFonts w:ascii="仿宋" w:hAnsi="仿宋" w:eastAsia="仿宋"/>
          <w:sz w:val="32"/>
          <w:szCs w:val="32"/>
          <w:highlight w:val="none"/>
        </w:rPr>
        <w:t>1034.24%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奖励性补贴和助学金增加，年初没有之类预算。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奖励性补贴，退休人员补助，学生资助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年初没有之类预算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2140.89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1937.61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203.28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1573.23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110.03%</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主要原因是：教职工奖金提高。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665.74万元，30102津贴补贴97.25万元，30103奖金200.70万元，30107绩效工资241.96万元，30108机关事业单位基本养老保险缴158.85万元，30110职工基本医疗保险缴费77.93万元，30112其他社会保障缴费6.84万元，30113住房公积金123.95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175.74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797.01%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主要原因是：年初除了工会经费之外，其他支出没有预算。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46.52万元，30205水费19.37万元，30206电费21.61万元，30207邮电费4.62万元，30209物业管理费3.26万元，30211差旅费2.21万元，30213维修（护）费34.31万元，30218专用材料费2.14万元，30228工会经费22.05万元，30299其他商品和服务支出19.64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210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对个人和家庭的补助364.38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987.75%</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主要原因是：年初没有预算助学金金额，年末多了助学金跟抚血金。</w:t>
      </w:r>
    </w:p>
    <w:p>
      <w:pPr>
        <w:jc w:val="center"/>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30304抚恤金16.08万元，30305生活补助42.35万元，30308助学金293.98万元，30309奖励金0.08万元，30399其他对个人和家庭的补助11.89万元。</w:t>
      </w: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主要原因是：本单位无之类预算支出。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162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27.54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31002办公设备购置16.54万元，专用设备购置5.40万元，31099其他资本性支出5.60万元。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67355"/>
            <wp:effectExtent l="4445" t="4445" r="16510" b="1905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主要原因是：本单位无之类预算支出。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环江毛南族自治县</w:t>
      </w:r>
      <w:r>
        <w:rPr>
          <w:rFonts w:hint="eastAsia" w:ascii="仿宋_GB2312" w:hAnsi="Times New Roman" w:eastAsia="仿宋_GB2312" w:cs="Times New Roman"/>
          <w:color w:val="auto"/>
          <w:sz w:val="32"/>
          <w:szCs w:val="32"/>
          <w:lang w:eastAsia="zh-CN"/>
        </w:rPr>
        <w:t>第三</w:t>
      </w:r>
      <w:r>
        <w:rPr>
          <w:rFonts w:hint="eastAsia" w:ascii="仿宋_GB2312" w:hAnsi="Times New Roman" w:eastAsia="仿宋_GB2312" w:cs="Times New Roman"/>
          <w:color w:val="auto"/>
          <w:sz w:val="32"/>
          <w:szCs w:val="32"/>
        </w:rPr>
        <w:t>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3" w:name="PO_part3A5B1C1DiffReason1"/>
      <w:r>
        <w:rPr>
          <w:rFonts w:hint="eastAsia" w:ascii="仿宋_GB2312" w:hAnsi="Times New Roman" w:eastAsia="仿宋_GB2312" w:cs="Times New Roman"/>
          <w:color w:val="auto"/>
          <w:sz w:val="32"/>
          <w:szCs w:val="32"/>
        </w:rPr>
        <w:t>环江毛南族自治县</w:t>
      </w:r>
      <w:r>
        <w:rPr>
          <w:rFonts w:hint="eastAsia" w:ascii="仿宋_GB2312" w:hAnsi="Times New Roman" w:eastAsia="仿宋_GB2312" w:cs="Times New Roman"/>
          <w:color w:val="auto"/>
          <w:sz w:val="32"/>
          <w:szCs w:val="32"/>
          <w:lang w:eastAsia="zh-CN"/>
        </w:rPr>
        <w:t>第三</w:t>
      </w:r>
      <w:r>
        <w:rPr>
          <w:rFonts w:hint="eastAsia" w:ascii="仿宋_GB2312" w:hAnsi="Times New Roman" w:eastAsia="仿宋_GB2312" w:cs="Times New Roman"/>
          <w:color w:val="auto"/>
          <w:sz w:val="32"/>
          <w:szCs w:val="32"/>
        </w:rPr>
        <w:t>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3"/>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原因是：无</w:t>
      </w:r>
      <w:r>
        <w:rPr>
          <w:rFonts w:hint="eastAsia" w:ascii="仿宋_GB2312" w:hAnsi="Times New Roman"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rPr>
        <w:t>全年使用财政拨款安排</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（局、办、镇）机关、</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个所属单位出国团组</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个，参加其他单位组织的出国团组</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 xml:space="preserve"> 万元。主要原因是</w:t>
      </w:r>
      <w:bookmarkStart w:id="4" w:name="PO_part3A6B2IncReason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无公务用车购置</w:t>
      </w:r>
      <w:bookmarkEnd w:id="4"/>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无公务用车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highlight w:val="none"/>
          <w:u w:color="auto"/>
          <w:lang w:val="en-US" w:eastAsia="zh-CN"/>
        </w:rPr>
        <w:t>本部门</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w:t>
      </w:r>
      <w:bookmarkStart w:id="5" w:name="_GoBack"/>
      <w:bookmarkEnd w:id="5"/>
      <w:r>
        <w:rPr>
          <w:rFonts w:hint="eastAsia" w:ascii="仿宋" w:hAnsi="仿宋" w:eastAsia="仿宋" w:cs="仿宋"/>
          <w:color w:val="auto"/>
          <w:sz w:val="32"/>
          <w:szCs w:val="32"/>
          <w:highlight w:val="none"/>
          <w:u w:val="single"/>
          <w:lang w:val="en-US" w:eastAsia="zh-CN"/>
        </w:rPr>
        <w:t>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主要原因是：本部门无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789.32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33.41</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696.07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万元。从评价情况来看，该项目目标明确，组织管理到位，执行项目有力，资金管理规范，综合评价结果为优</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789.32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项目目标明确，组织管理到位，执行项目有力，资金管理规范，</w:t>
      </w:r>
      <w:r>
        <w:rPr>
          <w:rFonts w:hint="eastAsia" w:ascii="仿宋" w:hAnsi="仿宋" w:eastAsia="仿宋" w:cs="仿宋"/>
          <w:color w:val="000000" w:themeColor="text1"/>
          <w:sz w:val="32"/>
          <w:szCs w:val="32"/>
          <w:lang w:eastAsia="zh-CN"/>
          <w14:textFill>
            <w14:solidFill>
              <w14:schemeClr w14:val="tx1"/>
            </w14:solidFill>
          </w14:textFill>
        </w:rPr>
        <w:t>进一步提高了我单位的绩效管理水平，更加认识到了绩效管理对部门综合管理提升的重要性，自评结果将用于2022年及以后年度编制部门预算的重要参考和日常管理的标靶，吸取经验，改进工作，让工作与绩效目标匹配，让成果与工作推进互动，以经得起上级、服务对象及社会大众的肯定和满意为准绳，继续开展财政部门预算的绩效评价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89.9</w:t>
      </w:r>
      <w:r>
        <w:rPr>
          <w:rFonts w:hint="eastAsia" w:ascii="仿宋" w:hAnsi="仿宋" w:eastAsia="仿宋" w:cs="仿宋"/>
          <w:color w:val="000000" w:themeColor="text1"/>
          <w:sz w:val="32"/>
          <w:szCs w:val="32"/>
          <w14:textFill>
            <w14:solidFill>
              <w14:schemeClr w14:val="tx1"/>
            </w14:solidFill>
          </w14:textFill>
        </w:rPr>
        <w:t>分。发现的主要问题及原因：一是学校报账材料整理比</w:t>
      </w:r>
      <w:r>
        <w:rPr>
          <w:rFonts w:hint="eastAsia" w:ascii="仿宋" w:hAnsi="仿宋" w:eastAsia="仿宋" w:cs="仿宋"/>
          <w:color w:val="000000" w:themeColor="text1"/>
          <w:sz w:val="32"/>
          <w:szCs w:val="32"/>
          <w:lang w:val="en-US" w:eastAsia="zh-CN"/>
          <w14:textFill>
            <w14:solidFill>
              <w14:schemeClr w14:val="tx1"/>
            </w14:solidFill>
          </w14:textFill>
        </w:rPr>
        <w:t>较</w:t>
      </w:r>
      <w:r>
        <w:rPr>
          <w:rFonts w:hint="eastAsia" w:ascii="仿宋" w:hAnsi="仿宋" w:eastAsia="仿宋" w:cs="仿宋"/>
          <w:color w:val="000000" w:themeColor="text1"/>
          <w:sz w:val="32"/>
          <w:szCs w:val="32"/>
          <w14:textFill>
            <w14:solidFill>
              <w14:schemeClr w14:val="tx1"/>
            </w14:solidFill>
          </w14:textFill>
        </w:rPr>
        <w:t>慢。下一步改进措施：一是</w:t>
      </w:r>
      <w:r>
        <w:rPr>
          <w:rFonts w:hint="eastAsia" w:ascii="仿宋" w:hAnsi="仿宋" w:eastAsia="仿宋" w:cs="仿宋"/>
          <w:color w:val="000000" w:themeColor="text1"/>
          <w:sz w:val="32"/>
          <w:szCs w:val="32"/>
          <w:lang w:eastAsia="zh-CN"/>
          <w14:textFill>
            <w14:solidFill>
              <w14:schemeClr w14:val="tx1"/>
            </w14:solidFill>
          </w14:textFill>
        </w:rPr>
        <w:t>及时整理报账材料</w:t>
      </w:r>
      <w:r>
        <w:rPr>
          <w:rFonts w:hint="eastAsia" w:ascii="仿宋" w:hAnsi="仿宋" w:eastAsia="仿宋" w:cs="仿宋"/>
          <w:color w:val="000000" w:themeColor="text1"/>
          <w:sz w:val="32"/>
          <w:szCs w:val="32"/>
          <w14:textFill>
            <w14:solidFill>
              <w14:schemeClr w14:val="tx1"/>
            </w14:solidFill>
          </w14:textFill>
        </w:rPr>
        <w:t>；二是与财政沟通第二年</w:t>
      </w:r>
      <w:r>
        <w:rPr>
          <w:rFonts w:hint="eastAsia" w:ascii="仿宋" w:hAnsi="仿宋" w:eastAsia="仿宋" w:cs="仿宋"/>
          <w:color w:val="000000" w:themeColor="text1"/>
          <w:sz w:val="32"/>
          <w:szCs w:val="32"/>
          <w:lang w:eastAsia="zh-CN"/>
          <w14:textFill>
            <w14:solidFill>
              <w14:schemeClr w14:val="tx1"/>
            </w14:solidFill>
          </w14:textFill>
        </w:rPr>
        <w:t>继续</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color w:val="000000" w:themeColor="text1"/>
          <w:sz w:val="32"/>
          <w:szCs w:val="32"/>
          <w:lang w:val="en-US" w:eastAsia="zh-CN"/>
          <w14:textFill>
            <w14:solidFill>
              <w14:schemeClr w14:val="tx1"/>
            </w14:solidFill>
          </w14:textFill>
        </w:rPr>
        <w:t>该项金额；三是完善项目相关管理制度，并依照制度办事，为项目的实施提供有效的保障。</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1673B24"/>
    <w:multiLevelType w:val="singleLevel"/>
    <w:tmpl w:val="A1673B24"/>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FE538045"/>
    <w:multiLevelType w:val="singleLevel"/>
    <w:tmpl w:val="FE538045"/>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MmE2MjkzODBkZGIwNWE2Y2FjMWJjYjJmMmIwM2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4C66"/>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B62F5"/>
    <w:rsid w:val="00FC438B"/>
    <w:rsid w:val="012203CB"/>
    <w:rsid w:val="01234E98"/>
    <w:rsid w:val="015F1951"/>
    <w:rsid w:val="020531A4"/>
    <w:rsid w:val="020C171D"/>
    <w:rsid w:val="0216715F"/>
    <w:rsid w:val="02E0291A"/>
    <w:rsid w:val="04096148"/>
    <w:rsid w:val="047168CE"/>
    <w:rsid w:val="04E54546"/>
    <w:rsid w:val="051536FE"/>
    <w:rsid w:val="05992762"/>
    <w:rsid w:val="059C5908"/>
    <w:rsid w:val="066A1827"/>
    <w:rsid w:val="06AD62E4"/>
    <w:rsid w:val="07B0770E"/>
    <w:rsid w:val="08013370"/>
    <w:rsid w:val="084872DB"/>
    <w:rsid w:val="08512C9F"/>
    <w:rsid w:val="08BE66B2"/>
    <w:rsid w:val="08D622FF"/>
    <w:rsid w:val="09064195"/>
    <w:rsid w:val="0942143F"/>
    <w:rsid w:val="0964088A"/>
    <w:rsid w:val="0ADD618E"/>
    <w:rsid w:val="0CB11F5E"/>
    <w:rsid w:val="0CF30A74"/>
    <w:rsid w:val="0D100297"/>
    <w:rsid w:val="0D202B45"/>
    <w:rsid w:val="0D764ED8"/>
    <w:rsid w:val="0DA43A6A"/>
    <w:rsid w:val="0DBB4F33"/>
    <w:rsid w:val="0DE7058E"/>
    <w:rsid w:val="0ED463D8"/>
    <w:rsid w:val="0F130D79"/>
    <w:rsid w:val="0F2B6888"/>
    <w:rsid w:val="0F4C5A29"/>
    <w:rsid w:val="0F8D4C87"/>
    <w:rsid w:val="0FA9079A"/>
    <w:rsid w:val="0FB12275"/>
    <w:rsid w:val="103B0527"/>
    <w:rsid w:val="10505FAA"/>
    <w:rsid w:val="105F7E7E"/>
    <w:rsid w:val="11E56B5B"/>
    <w:rsid w:val="11F47F60"/>
    <w:rsid w:val="124F7C71"/>
    <w:rsid w:val="125C77AB"/>
    <w:rsid w:val="13780BF5"/>
    <w:rsid w:val="141513CE"/>
    <w:rsid w:val="141D36E3"/>
    <w:rsid w:val="14C32D2D"/>
    <w:rsid w:val="14CB726E"/>
    <w:rsid w:val="15704C38"/>
    <w:rsid w:val="163013C0"/>
    <w:rsid w:val="16D6591B"/>
    <w:rsid w:val="16F72CD1"/>
    <w:rsid w:val="17694101"/>
    <w:rsid w:val="17BB5554"/>
    <w:rsid w:val="17E92249"/>
    <w:rsid w:val="18475097"/>
    <w:rsid w:val="187477BF"/>
    <w:rsid w:val="18D304F1"/>
    <w:rsid w:val="191A6C85"/>
    <w:rsid w:val="19BD7D93"/>
    <w:rsid w:val="19F32577"/>
    <w:rsid w:val="19F45B80"/>
    <w:rsid w:val="1A062641"/>
    <w:rsid w:val="1AD35795"/>
    <w:rsid w:val="1B0C078D"/>
    <w:rsid w:val="1B1C370C"/>
    <w:rsid w:val="1B2B31E2"/>
    <w:rsid w:val="1B4C295A"/>
    <w:rsid w:val="1B892541"/>
    <w:rsid w:val="1B973C63"/>
    <w:rsid w:val="1BA1001E"/>
    <w:rsid w:val="1D010337"/>
    <w:rsid w:val="1D317259"/>
    <w:rsid w:val="1D390E44"/>
    <w:rsid w:val="1D7B7C87"/>
    <w:rsid w:val="1E196012"/>
    <w:rsid w:val="1E664F5B"/>
    <w:rsid w:val="1EB34BE1"/>
    <w:rsid w:val="1ED45DCE"/>
    <w:rsid w:val="1FD105F6"/>
    <w:rsid w:val="204E5CDB"/>
    <w:rsid w:val="20560B41"/>
    <w:rsid w:val="20E657FD"/>
    <w:rsid w:val="215E0E58"/>
    <w:rsid w:val="215E639F"/>
    <w:rsid w:val="21EC3183"/>
    <w:rsid w:val="21FC7CC7"/>
    <w:rsid w:val="225E72CD"/>
    <w:rsid w:val="246E2F77"/>
    <w:rsid w:val="24CC7104"/>
    <w:rsid w:val="252E37B4"/>
    <w:rsid w:val="254B4E2B"/>
    <w:rsid w:val="26082801"/>
    <w:rsid w:val="261A2CE7"/>
    <w:rsid w:val="262F3654"/>
    <w:rsid w:val="269E115E"/>
    <w:rsid w:val="27EB62D2"/>
    <w:rsid w:val="27FA5955"/>
    <w:rsid w:val="28336941"/>
    <w:rsid w:val="283D7C94"/>
    <w:rsid w:val="28AF4446"/>
    <w:rsid w:val="28C52458"/>
    <w:rsid w:val="292B1835"/>
    <w:rsid w:val="29480E03"/>
    <w:rsid w:val="2983634D"/>
    <w:rsid w:val="298933C6"/>
    <w:rsid w:val="29B46DF6"/>
    <w:rsid w:val="29F319B0"/>
    <w:rsid w:val="2A3F5094"/>
    <w:rsid w:val="2AAC09AA"/>
    <w:rsid w:val="2BB02055"/>
    <w:rsid w:val="2BB563D7"/>
    <w:rsid w:val="2BCA022F"/>
    <w:rsid w:val="2C3C39FF"/>
    <w:rsid w:val="2C575A56"/>
    <w:rsid w:val="2EA46D80"/>
    <w:rsid w:val="2EF74F7D"/>
    <w:rsid w:val="2F257714"/>
    <w:rsid w:val="2F3275E5"/>
    <w:rsid w:val="2FB7264D"/>
    <w:rsid w:val="309A02D0"/>
    <w:rsid w:val="30AA08EF"/>
    <w:rsid w:val="30D23D1C"/>
    <w:rsid w:val="31221CF5"/>
    <w:rsid w:val="31400178"/>
    <w:rsid w:val="316A49BB"/>
    <w:rsid w:val="321E3342"/>
    <w:rsid w:val="327759C8"/>
    <w:rsid w:val="32C07A6B"/>
    <w:rsid w:val="33185FE3"/>
    <w:rsid w:val="333252F7"/>
    <w:rsid w:val="3407536A"/>
    <w:rsid w:val="34104A35"/>
    <w:rsid w:val="34EE2E36"/>
    <w:rsid w:val="356071AB"/>
    <w:rsid w:val="356C533B"/>
    <w:rsid w:val="36154A20"/>
    <w:rsid w:val="36777241"/>
    <w:rsid w:val="36DB2BDE"/>
    <w:rsid w:val="36E65E63"/>
    <w:rsid w:val="36ED5D04"/>
    <w:rsid w:val="36FD1B1F"/>
    <w:rsid w:val="38095191"/>
    <w:rsid w:val="382007BD"/>
    <w:rsid w:val="38A951DB"/>
    <w:rsid w:val="38B31605"/>
    <w:rsid w:val="39003F4F"/>
    <w:rsid w:val="39E805F8"/>
    <w:rsid w:val="3B0818FE"/>
    <w:rsid w:val="3C07002B"/>
    <w:rsid w:val="3C8440D2"/>
    <w:rsid w:val="3D0D152A"/>
    <w:rsid w:val="3D1C7F93"/>
    <w:rsid w:val="3D437274"/>
    <w:rsid w:val="3D6F4567"/>
    <w:rsid w:val="3DF62756"/>
    <w:rsid w:val="3E9032F0"/>
    <w:rsid w:val="3EE15664"/>
    <w:rsid w:val="3EF406E9"/>
    <w:rsid w:val="3F1B7587"/>
    <w:rsid w:val="3F9B295D"/>
    <w:rsid w:val="3FDD65EB"/>
    <w:rsid w:val="40556135"/>
    <w:rsid w:val="408E382E"/>
    <w:rsid w:val="40BD47B2"/>
    <w:rsid w:val="41801C20"/>
    <w:rsid w:val="41AC6721"/>
    <w:rsid w:val="41D52571"/>
    <w:rsid w:val="41DA2A3C"/>
    <w:rsid w:val="41E57B4F"/>
    <w:rsid w:val="432F26F6"/>
    <w:rsid w:val="43782A6B"/>
    <w:rsid w:val="43880F63"/>
    <w:rsid w:val="43931DE2"/>
    <w:rsid w:val="43FB39C7"/>
    <w:rsid w:val="441C5A6F"/>
    <w:rsid w:val="444560F8"/>
    <w:rsid w:val="44C44FCC"/>
    <w:rsid w:val="44CC7369"/>
    <w:rsid w:val="44DC50C3"/>
    <w:rsid w:val="45592BB7"/>
    <w:rsid w:val="45703A5D"/>
    <w:rsid w:val="457F5108"/>
    <w:rsid w:val="46511AE0"/>
    <w:rsid w:val="465F4964"/>
    <w:rsid w:val="46951B6B"/>
    <w:rsid w:val="46F2696F"/>
    <w:rsid w:val="473E24F4"/>
    <w:rsid w:val="48490E75"/>
    <w:rsid w:val="48FA2C33"/>
    <w:rsid w:val="49307111"/>
    <w:rsid w:val="498B355B"/>
    <w:rsid w:val="49A34401"/>
    <w:rsid w:val="49B1746D"/>
    <w:rsid w:val="49E270A4"/>
    <w:rsid w:val="49E52C6C"/>
    <w:rsid w:val="4A3E30AB"/>
    <w:rsid w:val="4AC14DAC"/>
    <w:rsid w:val="4ADC502F"/>
    <w:rsid w:val="4BDB2215"/>
    <w:rsid w:val="4BF84E3D"/>
    <w:rsid w:val="4C1A71FA"/>
    <w:rsid w:val="4C57043D"/>
    <w:rsid w:val="4C8A687D"/>
    <w:rsid w:val="4D035F66"/>
    <w:rsid w:val="4D0656EF"/>
    <w:rsid w:val="4D154C85"/>
    <w:rsid w:val="4D881C57"/>
    <w:rsid w:val="4DCA0219"/>
    <w:rsid w:val="4E652758"/>
    <w:rsid w:val="4EC8553A"/>
    <w:rsid w:val="4F241A4F"/>
    <w:rsid w:val="503A56B1"/>
    <w:rsid w:val="508F4E24"/>
    <w:rsid w:val="50962F12"/>
    <w:rsid w:val="51461E90"/>
    <w:rsid w:val="51463753"/>
    <w:rsid w:val="51603222"/>
    <w:rsid w:val="51BF3DA2"/>
    <w:rsid w:val="51C72E25"/>
    <w:rsid w:val="52553A93"/>
    <w:rsid w:val="53157FF5"/>
    <w:rsid w:val="53521F8B"/>
    <w:rsid w:val="53B04709"/>
    <w:rsid w:val="53E22F47"/>
    <w:rsid w:val="54330F48"/>
    <w:rsid w:val="54522FF8"/>
    <w:rsid w:val="54DD317D"/>
    <w:rsid w:val="55450629"/>
    <w:rsid w:val="556015BE"/>
    <w:rsid w:val="563E3CF6"/>
    <w:rsid w:val="56692963"/>
    <w:rsid w:val="568B0F48"/>
    <w:rsid w:val="56E4057D"/>
    <w:rsid w:val="57733B36"/>
    <w:rsid w:val="5786217B"/>
    <w:rsid w:val="57B5783B"/>
    <w:rsid w:val="583D75C8"/>
    <w:rsid w:val="58992848"/>
    <w:rsid w:val="59337A15"/>
    <w:rsid w:val="59810274"/>
    <w:rsid w:val="599E6993"/>
    <w:rsid w:val="59ED4F26"/>
    <w:rsid w:val="5A39104B"/>
    <w:rsid w:val="5A673229"/>
    <w:rsid w:val="5AA71457"/>
    <w:rsid w:val="5AF32D0E"/>
    <w:rsid w:val="5B12459E"/>
    <w:rsid w:val="5B583BEB"/>
    <w:rsid w:val="5C516125"/>
    <w:rsid w:val="5CA96A00"/>
    <w:rsid w:val="5CF730BC"/>
    <w:rsid w:val="5D4178F4"/>
    <w:rsid w:val="5D786D1A"/>
    <w:rsid w:val="5D7F0D50"/>
    <w:rsid w:val="5E551F3A"/>
    <w:rsid w:val="5E5F0DCE"/>
    <w:rsid w:val="5E9F558F"/>
    <w:rsid w:val="5EA404D8"/>
    <w:rsid w:val="5EDA53F9"/>
    <w:rsid w:val="5F8E554A"/>
    <w:rsid w:val="5F8F005B"/>
    <w:rsid w:val="5FA40A7B"/>
    <w:rsid w:val="5FD56D29"/>
    <w:rsid w:val="5FE54E85"/>
    <w:rsid w:val="5FEC7F3F"/>
    <w:rsid w:val="5FF03616"/>
    <w:rsid w:val="60223863"/>
    <w:rsid w:val="602E72AE"/>
    <w:rsid w:val="6056016E"/>
    <w:rsid w:val="606E67E2"/>
    <w:rsid w:val="60D65732"/>
    <w:rsid w:val="60F74BC3"/>
    <w:rsid w:val="617D3BF8"/>
    <w:rsid w:val="61841F6A"/>
    <w:rsid w:val="62140410"/>
    <w:rsid w:val="623007A9"/>
    <w:rsid w:val="62836A75"/>
    <w:rsid w:val="637644DD"/>
    <w:rsid w:val="637D7558"/>
    <w:rsid w:val="63CB6F10"/>
    <w:rsid w:val="644F19AC"/>
    <w:rsid w:val="650A532A"/>
    <w:rsid w:val="65AA4920"/>
    <w:rsid w:val="65F85558"/>
    <w:rsid w:val="666346EA"/>
    <w:rsid w:val="67694F1E"/>
    <w:rsid w:val="67982893"/>
    <w:rsid w:val="67AB3D4A"/>
    <w:rsid w:val="67C7278A"/>
    <w:rsid w:val="67F02AB0"/>
    <w:rsid w:val="6805604E"/>
    <w:rsid w:val="6850233F"/>
    <w:rsid w:val="69060DC3"/>
    <w:rsid w:val="69597934"/>
    <w:rsid w:val="695F0FA6"/>
    <w:rsid w:val="69D95962"/>
    <w:rsid w:val="6A071C2E"/>
    <w:rsid w:val="6A170A9B"/>
    <w:rsid w:val="6B2667E8"/>
    <w:rsid w:val="6B2A3BA1"/>
    <w:rsid w:val="6B964DDC"/>
    <w:rsid w:val="6BA71575"/>
    <w:rsid w:val="6BEE37AA"/>
    <w:rsid w:val="6C253C21"/>
    <w:rsid w:val="6C783074"/>
    <w:rsid w:val="6CD11D44"/>
    <w:rsid w:val="6D9E65C6"/>
    <w:rsid w:val="6DA81947"/>
    <w:rsid w:val="6DC36570"/>
    <w:rsid w:val="6E156460"/>
    <w:rsid w:val="6E91041D"/>
    <w:rsid w:val="6EB66DE2"/>
    <w:rsid w:val="6EB71231"/>
    <w:rsid w:val="6ED3075F"/>
    <w:rsid w:val="6F170D10"/>
    <w:rsid w:val="6F2A2D4B"/>
    <w:rsid w:val="6F6C307F"/>
    <w:rsid w:val="6F8A0C1E"/>
    <w:rsid w:val="703F45D4"/>
    <w:rsid w:val="71542301"/>
    <w:rsid w:val="715D6546"/>
    <w:rsid w:val="71BE069E"/>
    <w:rsid w:val="71E16ADA"/>
    <w:rsid w:val="728B290A"/>
    <w:rsid w:val="735F0AE9"/>
    <w:rsid w:val="73953409"/>
    <w:rsid w:val="73E069A3"/>
    <w:rsid w:val="74D63AB4"/>
    <w:rsid w:val="754F5CE3"/>
    <w:rsid w:val="755F1275"/>
    <w:rsid w:val="758656AB"/>
    <w:rsid w:val="75ED409E"/>
    <w:rsid w:val="761E4537"/>
    <w:rsid w:val="771A4029"/>
    <w:rsid w:val="775A2BCB"/>
    <w:rsid w:val="77B15174"/>
    <w:rsid w:val="77BC12C0"/>
    <w:rsid w:val="78104AA8"/>
    <w:rsid w:val="781F4CEB"/>
    <w:rsid w:val="785B21C7"/>
    <w:rsid w:val="78E257C5"/>
    <w:rsid w:val="79464079"/>
    <w:rsid w:val="794B35BE"/>
    <w:rsid w:val="797D616D"/>
    <w:rsid w:val="7A5C00F8"/>
    <w:rsid w:val="7B0A3A31"/>
    <w:rsid w:val="7B3360ED"/>
    <w:rsid w:val="7B5319F3"/>
    <w:rsid w:val="7B8B1522"/>
    <w:rsid w:val="7BDF037E"/>
    <w:rsid w:val="7BF50948"/>
    <w:rsid w:val="7C016BE2"/>
    <w:rsid w:val="7CE66A78"/>
    <w:rsid w:val="7D23564C"/>
    <w:rsid w:val="7D5E062D"/>
    <w:rsid w:val="7DF76CD8"/>
    <w:rsid w:val="7E2D6B40"/>
    <w:rsid w:val="7E865AC4"/>
    <w:rsid w:val="7F695C26"/>
    <w:rsid w:val="7F954211"/>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2362.41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16.08</c:v>
                </c:pt>
                <c:pt idx="4">
                  <c:v>42.35</c:v>
                </c:pt>
                <c:pt idx="5">
                  <c:v>0</c:v>
                </c:pt>
                <c:pt idx="6">
                  <c:v>0</c:v>
                </c:pt>
                <c:pt idx="7">
                  <c:v>293.98</c:v>
                </c:pt>
                <c:pt idx="8">
                  <c:v>0.08</c:v>
                </c:pt>
                <c:pt idx="9">
                  <c:v>0</c:v>
                </c:pt>
                <c:pt idx="10">
                  <c:v>0</c:v>
                </c:pt>
                <c:pt idx="11">
                  <c:v>11.89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16.54</c:v>
                </c:pt>
                <c:pt idx="2">
                  <c:v>5.4</c:v>
                </c:pt>
                <c:pt idx="3">
                  <c:v>0</c:v>
                </c:pt>
                <c:pt idx="4">
                  <c:v>0</c:v>
                </c:pt>
                <c:pt idx="5">
                  <c:v>0</c:v>
                </c:pt>
                <c:pt idx="6">
                  <c:v>0</c:v>
                </c:pt>
                <c:pt idx="7">
                  <c:v>0</c:v>
                </c:pt>
                <c:pt idx="8">
                  <c:v>0</c:v>
                </c:pt>
                <c:pt idx="9">
                  <c:v>0</c:v>
                </c:pt>
                <c:pt idx="10">
                  <c:v>0</c:v>
                </c:pt>
                <c:pt idx="11">
                  <c:v>0</c:v>
                </c:pt>
                <c:pt idx="12">
                  <c:v>0</c:v>
                </c:pt>
                <c:pt idx="13">
                  <c:v>0</c:v>
                </c:pt>
                <c:pt idx="14">
                  <c:v>0</c:v>
                </c:pt>
                <c:pt idx="15">
                  <c:v>5.6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1779.14</c:v>
                </c:pt>
                <c:pt idx="2">
                  <c:v>157.04</c:v>
                </c:pt>
                <c:pt idx="3">
                  <c:v>66.47</c:v>
                </c:pt>
                <c:pt idx="4">
                  <c:v>270.32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22.05</c:v>
                </c:pt>
                <c:pt idx="1">
                  <c:v>1829.51</c:v>
                </c:pt>
                <c:pt idx="2">
                  <c:v>158.85</c:v>
                </c:pt>
                <c:pt idx="3">
                  <c:v>123.95</c:v>
                </c:pt>
                <c:pt idx="4">
                  <c:v>228.05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22.05</c:v>
                </c:pt>
                <c:pt idx="1">
                  <c:v>22.05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1778.86</c:v>
                </c:pt>
                <c:pt idx="1">
                  <c:v>50.65</c:v>
                </c:pt>
                <c:pt idx="2">
                  <c:v>1829.51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158.85</c:v>
                </c:pt>
                <c:pt idx="1">
                  <c:v>158.85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123.95</c:v>
                </c:pt>
                <c:pt idx="1">
                  <c:v>123.95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228.05</c:v>
                </c:pt>
                <c:pt idx="1">
                  <c:v>228.05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665.74</c:v>
                </c:pt>
                <c:pt idx="1">
                  <c:v>97.25</c:v>
                </c:pt>
                <c:pt idx="2">
                  <c:v>200.7</c:v>
                </c:pt>
                <c:pt idx="3">
                  <c:v>0</c:v>
                </c:pt>
                <c:pt idx="4">
                  <c:v>241.96</c:v>
                </c:pt>
                <c:pt idx="5">
                  <c:v>158.85</c:v>
                </c:pt>
                <c:pt idx="6">
                  <c:v>0</c:v>
                </c:pt>
                <c:pt idx="7">
                  <c:v>77.93</c:v>
                </c:pt>
                <c:pt idx="8">
                  <c:v>0</c:v>
                </c:pt>
                <c:pt idx="9">
                  <c:v>6.84</c:v>
                </c:pt>
                <c:pt idx="10">
                  <c:v>123.95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46.52</c:v>
                </c:pt>
                <c:pt idx="1">
                  <c:v>0</c:v>
                </c:pt>
                <c:pt idx="2">
                  <c:v>0</c:v>
                </c:pt>
                <c:pt idx="3">
                  <c:v>0</c:v>
                </c:pt>
                <c:pt idx="4">
                  <c:v>19.37</c:v>
                </c:pt>
                <c:pt idx="5">
                  <c:v>21.61</c:v>
                </c:pt>
                <c:pt idx="6">
                  <c:v>4.62</c:v>
                </c:pt>
                <c:pt idx="7">
                  <c:v>0</c:v>
                </c:pt>
                <c:pt idx="8">
                  <c:v>3.26</c:v>
                </c:pt>
                <c:pt idx="9">
                  <c:v>2.21</c:v>
                </c:pt>
                <c:pt idx="10">
                  <c:v>0</c:v>
                </c:pt>
                <c:pt idx="11">
                  <c:v>34.31</c:v>
                </c:pt>
                <c:pt idx="12">
                  <c:v>0</c:v>
                </c:pt>
                <c:pt idx="13">
                  <c:v>0</c:v>
                </c:pt>
                <c:pt idx="14">
                  <c:v>0</c:v>
                </c:pt>
                <c:pt idx="15">
                  <c:v>0</c:v>
                </c:pt>
                <c:pt idx="16">
                  <c:v>2.14</c:v>
                </c:pt>
                <c:pt idx="17">
                  <c:v>0</c:v>
                </c:pt>
                <c:pt idx="18">
                  <c:v>0</c:v>
                </c:pt>
                <c:pt idx="19">
                  <c:v>0</c:v>
                </c:pt>
                <c:pt idx="20">
                  <c:v>0</c:v>
                </c:pt>
                <c:pt idx="21">
                  <c:v>22.05</c:v>
                </c:pt>
                <c:pt idx="22">
                  <c:v>0</c:v>
                </c:pt>
                <c:pt idx="23">
                  <c:v>0</c:v>
                </c:pt>
                <c:pt idx="24">
                  <c:v>0</c:v>
                </c:pt>
                <c:pt idx="25">
                  <c:v>0</c:v>
                </c:pt>
                <c:pt idx="26">
                  <c:v>19.64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2023-11-20T02:55:00Z</cp:lastPrinted>
  <dcterms:modified xsi:type="dcterms:W3CDTF">2023-11-28T08:01:50Z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