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环江毛南族自治县第三幼儿园</w:t>
      </w:r>
    </w:p>
    <w:p>
      <w:pPr>
        <w:jc w:val="center"/>
        <w:rPr>
          <w:rFonts w:ascii="黑体" w:hAnsi="黑体" w:eastAsia="黑体" w:cs="黑体"/>
          <w:b/>
          <w:bCs/>
          <w:sz w:val="52"/>
          <w:szCs w:val="52"/>
        </w:rPr>
      </w:pPr>
      <w:r>
        <w:rPr>
          <w:rFonts w:hint="eastAsia" w:ascii="黑体" w:hAnsi="黑体" w:eastAsia="黑体" w:cs="黑体"/>
          <w:b/>
          <w:bCs/>
          <w:sz w:val="52"/>
          <w:szCs w:val="52"/>
        </w:rPr>
        <w:t>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2560" w:firstLineChars="800"/>
        <w:jc w:val="left"/>
        <w:rPr>
          <w:rFonts w:ascii="黑体" w:hAnsi="黑体" w:eastAsia="黑体" w:cs="仿宋"/>
          <w:sz w:val="32"/>
          <w:szCs w:val="32"/>
        </w:rPr>
      </w:pPr>
      <w:r>
        <w:rPr>
          <w:rFonts w:hint="eastAsia" w:ascii="黑体" w:hAnsi="黑体" w:eastAsia="黑体" w:cs="仿宋"/>
          <w:sz w:val="32"/>
          <w:szCs w:val="32"/>
        </w:rPr>
        <w:t>单位负责人：卢正芳</w:t>
      </w:r>
    </w:p>
    <w:p>
      <w:pPr>
        <w:jc w:val="left"/>
        <w:rPr>
          <w:rFonts w:ascii="仿宋" w:hAnsi="仿宋" w:eastAsia="仿宋" w:cs="仿宋"/>
          <w:sz w:val="32"/>
          <w:szCs w:val="32"/>
        </w:rPr>
      </w:pPr>
    </w:p>
    <w:p>
      <w:pPr>
        <w:jc w:val="center"/>
        <w:rPr>
          <w:rFonts w:ascii="黑体" w:hAnsi="黑体" w:eastAsia="黑体" w:cs="黑体"/>
          <w:b/>
          <w:bCs/>
          <w:sz w:val="36"/>
          <w:szCs w:val="36"/>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环江毛南族自治县第三幼儿园</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二、部门决算单位构成</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环江毛南族自治县第三幼儿园</w:t>
      </w:r>
      <w:r>
        <w:rPr>
          <w:rFonts w:hint="eastAsia" w:ascii="黑体" w:hAnsi="黑体" w:eastAsia="黑体" w:cs="黑体"/>
          <w:sz w:val="32"/>
          <w:szCs w:val="32"/>
        </w:rPr>
        <w:t>2022年度部门决算报表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环江毛南族自治县第三幼儿园</w:t>
      </w:r>
      <w:r>
        <w:rPr>
          <w:rFonts w:hint="eastAsia" w:ascii="黑体" w:hAnsi="黑体" w:eastAsia="黑体" w:cs="黑体"/>
          <w:sz w:val="32"/>
          <w:szCs w:val="32"/>
        </w:rPr>
        <w:t>2022年度部门决算情况说明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环江毛南族自治县第三幼儿园</w:t>
      </w:r>
      <w:r>
        <w:rPr>
          <w:rFonts w:hint="eastAsia" w:ascii="黑体" w:hAnsi="黑体" w:eastAsia="黑体" w:cs="黑体"/>
          <w:b/>
          <w:bCs/>
          <w:sz w:val="32"/>
          <w:szCs w:val="32"/>
        </w:rPr>
        <w:t>概况</w:t>
      </w:r>
    </w:p>
    <w:p>
      <w:pPr>
        <w:jc w:val="left"/>
        <w:rPr>
          <w:rFonts w:ascii="仿宋" w:hAnsi="仿宋" w:eastAsia="仿宋" w:cs="仿宋"/>
          <w:sz w:val="32"/>
          <w:szCs w:val="32"/>
        </w:rPr>
      </w:pPr>
      <w:r>
        <w:rPr>
          <w:rFonts w:hint="eastAsia" w:ascii="黑体" w:hAnsi="黑体" w:eastAsia="黑体" w:cs="黑体"/>
          <w:sz w:val="32"/>
          <w:szCs w:val="32"/>
        </w:rPr>
        <w:t>一、主要职能</w:t>
      </w:r>
    </w:p>
    <w:p>
      <w:pPr>
        <w:jc w:val="left"/>
        <w:rPr>
          <w:rFonts w:ascii="仿宋" w:hAnsi="仿宋" w:eastAsia="仿宋" w:cs="仿宋"/>
          <w:sz w:val="32"/>
          <w:szCs w:val="32"/>
        </w:rPr>
      </w:pPr>
      <w:r>
        <w:rPr>
          <w:rFonts w:hint="eastAsia" w:ascii="仿宋" w:hAnsi="仿宋" w:eastAsia="仿宋" w:cs="仿宋"/>
          <w:sz w:val="32"/>
          <w:szCs w:val="32"/>
        </w:rPr>
        <w:t>（一）贯彻执行党和国家的教育方针、政策和法律法规；拟订全园教育改革与发展规划并组织实施。</w:t>
      </w:r>
    </w:p>
    <w:p>
      <w:pPr>
        <w:jc w:val="left"/>
        <w:rPr>
          <w:rFonts w:ascii="仿宋" w:hAnsi="仿宋" w:eastAsia="仿宋" w:cs="仿宋"/>
          <w:sz w:val="32"/>
          <w:szCs w:val="32"/>
        </w:rPr>
      </w:pPr>
      <w:r>
        <w:rPr>
          <w:rFonts w:hint="eastAsia" w:ascii="仿宋" w:hAnsi="仿宋" w:eastAsia="仿宋" w:cs="仿宋"/>
          <w:sz w:val="32"/>
          <w:szCs w:val="32"/>
        </w:rPr>
        <w:t>（二）编制本园教育事业发展规划并检查实施情况，向自治县人民政府和上级教育部门作出报告。</w:t>
      </w:r>
    </w:p>
    <w:p>
      <w:pPr>
        <w:jc w:val="left"/>
        <w:rPr>
          <w:rFonts w:ascii="仿宋" w:hAnsi="仿宋" w:eastAsia="仿宋" w:cs="仿宋"/>
          <w:sz w:val="32"/>
          <w:szCs w:val="32"/>
        </w:rPr>
      </w:pPr>
      <w:r>
        <w:rPr>
          <w:rFonts w:hint="eastAsia" w:ascii="仿宋" w:hAnsi="仿宋" w:eastAsia="仿宋" w:cs="仿宋"/>
          <w:sz w:val="32"/>
          <w:szCs w:val="32"/>
        </w:rPr>
        <w:t>（三）督促检查全园贯彻执行教育方针、政策、法令、法规和上级的各项规定；评估指导全园教育教学工作。</w:t>
      </w:r>
    </w:p>
    <w:p>
      <w:pPr>
        <w:jc w:val="left"/>
        <w:rPr>
          <w:rFonts w:ascii="仿宋" w:hAnsi="仿宋" w:eastAsia="仿宋" w:cs="仿宋"/>
          <w:sz w:val="32"/>
          <w:szCs w:val="32"/>
        </w:rPr>
      </w:pPr>
      <w:r>
        <w:rPr>
          <w:rFonts w:hint="eastAsia" w:ascii="仿宋" w:hAnsi="仿宋" w:eastAsia="仿宋" w:cs="仿宋"/>
          <w:sz w:val="32"/>
          <w:szCs w:val="32"/>
        </w:rPr>
        <w:t>（四）负责推进幼儿教育均衡发展和促进教育公平。</w:t>
      </w:r>
    </w:p>
    <w:p>
      <w:pPr>
        <w:jc w:val="left"/>
        <w:rPr>
          <w:rFonts w:ascii="仿宋" w:hAnsi="仿宋" w:eastAsia="仿宋" w:cs="仿宋"/>
          <w:sz w:val="32"/>
          <w:szCs w:val="32"/>
        </w:rPr>
      </w:pPr>
      <w:r>
        <w:rPr>
          <w:rFonts w:hint="eastAsia" w:ascii="仿宋" w:hAnsi="仿宋" w:eastAsia="仿宋" w:cs="仿宋"/>
          <w:sz w:val="32"/>
          <w:szCs w:val="32"/>
        </w:rPr>
        <w:t>（五）负责全园人才队伍和教师队伍建设，包括园长岗位培训、后备干部队伍建设、教师学历教育、继续教育等。</w:t>
      </w:r>
    </w:p>
    <w:p>
      <w:pPr>
        <w:jc w:val="left"/>
        <w:rPr>
          <w:rFonts w:ascii="仿宋" w:hAnsi="仿宋" w:eastAsia="仿宋" w:cs="仿宋"/>
          <w:sz w:val="32"/>
          <w:szCs w:val="32"/>
        </w:rPr>
      </w:pPr>
      <w:r>
        <w:rPr>
          <w:rFonts w:hint="eastAsia" w:ascii="仿宋" w:hAnsi="仿宋" w:eastAsia="仿宋" w:cs="仿宋"/>
          <w:sz w:val="32"/>
          <w:szCs w:val="32"/>
        </w:rPr>
        <w:t>（六）负责组织全园做好学籍管理工作。</w:t>
      </w:r>
    </w:p>
    <w:p>
      <w:pPr>
        <w:jc w:val="left"/>
        <w:rPr>
          <w:rFonts w:ascii="仿宋" w:hAnsi="仿宋" w:eastAsia="仿宋" w:cs="仿宋"/>
          <w:sz w:val="32"/>
          <w:szCs w:val="32"/>
        </w:rPr>
      </w:pPr>
      <w:r>
        <w:rPr>
          <w:rFonts w:hint="eastAsia" w:ascii="仿宋" w:hAnsi="仿宋" w:eastAsia="仿宋" w:cs="仿宋"/>
          <w:sz w:val="32"/>
          <w:szCs w:val="32"/>
        </w:rPr>
        <w:t>（七）按照中央关于全面推进素质教育要求，负责教育教学管理、教育教学改革及教育教学科学研究工作，检查指导全园实施素质教育工作，并组织推广先进的教育教学经验。</w:t>
      </w:r>
    </w:p>
    <w:p>
      <w:pPr>
        <w:jc w:val="left"/>
        <w:rPr>
          <w:rFonts w:ascii="仿宋" w:hAnsi="仿宋" w:eastAsia="仿宋" w:cs="仿宋"/>
          <w:sz w:val="32"/>
          <w:szCs w:val="32"/>
        </w:rPr>
      </w:pPr>
      <w:r>
        <w:rPr>
          <w:rFonts w:hint="eastAsia" w:ascii="仿宋" w:hAnsi="仿宋" w:eastAsia="仿宋" w:cs="仿宋"/>
          <w:sz w:val="32"/>
          <w:szCs w:val="32"/>
        </w:rPr>
        <w:t>（八）检查指导学校教育教学设备的装备、管理和使用工作。</w:t>
      </w:r>
    </w:p>
    <w:p>
      <w:pPr>
        <w:jc w:val="left"/>
        <w:rPr>
          <w:rFonts w:ascii="仿宋" w:hAnsi="仿宋" w:eastAsia="仿宋" w:cs="仿宋"/>
          <w:sz w:val="32"/>
          <w:szCs w:val="32"/>
        </w:rPr>
      </w:pPr>
      <w:r>
        <w:rPr>
          <w:rFonts w:hint="eastAsia" w:ascii="仿宋" w:hAnsi="仿宋" w:eastAsia="仿宋" w:cs="仿宋"/>
          <w:sz w:val="32"/>
          <w:szCs w:val="32"/>
        </w:rPr>
        <w:t>（九）检查指导全园开展电化教育和信息化教学工作。</w:t>
      </w:r>
    </w:p>
    <w:p>
      <w:pPr>
        <w:jc w:val="left"/>
        <w:rPr>
          <w:rFonts w:ascii="仿宋" w:hAnsi="仿宋" w:eastAsia="仿宋" w:cs="仿宋"/>
          <w:sz w:val="32"/>
          <w:szCs w:val="32"/>
        </w:rPr>
      </w:pPr>
      <w:r>
        <w:rPr>
          <w:rFonts w:hint="eastAsia" w:ascii="仿宋" w:hAnsi="仿宋" w:eastAsia="仿宋" w:cs="仿宋"/>
          <w:sz w:val="32"/>
          <w:szCs w:val="32"/>
        </w:rPr>
        <w:t>（十）负责全园教师初级专业技术职务资格的评审，中、高级专业技术职务资格的申报工作。按照管理权限对教师进行考核、聘任、奖惩、晋升等工作。</w:t>
      </w:r>
    </w:p>
    <w:p>
      <w:pPr>
        <w:jc w:val="left"/>
        <w:rPr>
          <w:rFonts w:ascii="仿宋" w:hAnsi="仿宋" w:eastAsia="仿宋" w:cs="仿宋"/>
          <w:sz w:val="32"/>
          <w:szCs w:val="32"/>
        </w:rPr>
      </w:pPr>
      <w:r>
        <w:rPr>
          <w:rFonts w:hint="eastAsia" w:ascii="仿宋" w:hAnsi="仿宋" w:eastAsia="仿宋" w:cs="仿宋"/>
          <w:sz w:val="32"/>
          <w:szCs w:val="32"/>
        </w:rPr>
        <w:t>（十一）负责监督审计全园教育经费和教育基建经费拨付及教育附加费和教育费附加的征收、管理与使用工作。</w:t>
      </w:r>
    </w:p>
    <w:p>
      <w:pPr>
        <w:jc w:val="left"/>
        <w:rPr>
          <w:rFonts w:ascii="仿宋" w:hAnsi="仿宋" w:eastAsia="仿宋" w:cs="仿宋"/>
          <w:sz w:val="32"/>
          <w:szCs w:val="32"/>
        </w:rPr>
      </w:pPr>
      <w:r>
        <w:rPr>
          <w:rFonts w:hint="eastAsia" w:ascii="仿宋" w:hAnsi="仿宋" w:eastAsia="仿宋" w:cs="仿宋"/>
          <w:sz w:val="32"/>
          <w:szCs w:val="32"/>
        </w:rPr>
        <w:t>（十二）负责指导全园学生资助管理工作。</w:t>
      </w:r>
    </w:p>
    <w:p>
      <w:pPr>
        <w:jc w:val="left"/>
        <w:rPr>
          <w:rFonts w:ascii="仿宋" w:hAnsi="仿宋" w:eastAsia="仿宋" w:cs="仿宋"/>
          <w:sz w:val="32"/>
          <w:szCs w:val="32"/>
        </w:rPr>
      </w:pPr>
      <w:r>
        <w:rPr>
          <w:rFonts w:hint="eastAsia" w:ascii="仿宋" w:hAnsi="仿宋" w:eastAsia="仿宋" w:cs="仿宋"/>
          <w:sz w:val="32"/>
          <w:szCs w:val="32"/>
        </w:rPr>
        <w:t>（十三）负责语言文字和指导推广普通话工作。</w:t>
      </w:r>
    </w:p>
    <w:p>
      <w:pPr>
        <w:jc w:val="left"/>
        <w:rPr>
          <w:rFonts w:ascii="仿宋" w:hAnsi="仿宋" w:eastAsia="仿宋" w:cs="仿宋"/>
          <w:sz w:val="32"/>
          <w:szCs w:val="32"/>
        </w:rPr>
      </w:pPr>
      <w:r>
        <w:rPr>
          <w:rFonts w:hint="eastAsia" w:ascii="仿宋" w:hAnsi="仿宋" w:eastAsia="仿宋" w:cs="仿宋"/>
          <w:sz w:val="32"/>
          <w:szCs w:val="32"/>
        </w:rPr>
        <w:t>（十四）完成上级部门交办的其他工作。</w:t>
      </w:r>
    </w:p>
    <w:p>
      <w:pPr>
        <w:jc w:val="left"/>
        <w:rPr>
          <w:rFonts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第三幼儿园有四个内设机构，分别为：行政办公室、保教室、财务室、安全办。共有2</w:t>
      </w:r>
      <w:r>
        <w:rPr>
          <w:rFonts w:ascii="仿宋" w:hAnsi="仿宋" w:eastAsia="仿宋" w:cs="仿宋"/>
          <w:sz w:val="32"/>
          <w:szCs w:val="32"/>
        </w:rPr>
        <w:t>0</w:t>
      </w:r>
      <w:r>
        <w:rPr>
          <w:rFonts w:hint="eastAsia" w:ascii="仿宋" w:hAnsi="仿宋" w:eastAsia="仿宋" w:cs="仿宋"/>
          <w:sz w:val="32"/>
          <w:szCs w:val="32"/>
        </w:rPr>
        <w:t>名编制，其中6名实名制编制，1</w:t>
      </w:r>
      <w:r>
        <w:rPr>
          <w:rFonts w:ascii="仿宋" w:hAnsi="仿宋" w:eastAsia="仿宋" w:cs="仿宋"/>
          <w:sz w:val="32"/>
          <w:szCs w:val="32"/>
        </w:rPr>
        <w:t>4</w:t>
      </w:r>
      <w:r>
        <w:rPr>
          <w:rFonts w:hint="eastAsia" w:ascii="仿宋" w:hAnsi="仿宋" w:eastAsia="仿宋" w:cs="仿宋"/>
          <w:sz w:val="32"/>
          <w:szCs w:val="32"/>
        </w:rPr>
        <w:t>名教师控制数编制。现实有编制人数1</w:t>
      </w:r>
      <w:r>
        <w:rPr>
          <w:rFonts w:ascii="仿宋" w:hAnsi="仿宋" w:eastAsia="仿宋" w:cs="仿宋"/>
          <w:sz w:val="32"/>
          <w:szCs w:val="32"/>
        </w:rPr>
        <w:t>5</w:t>
      </w:r>
      <w:r>
        <w:rPr>
          <w:rFonts w:hint="eastAsia" w:ascii="仿宋" w:hAnsi="仿宋" w:eastAsia="仿宋" w:cs="仿宋"/>
          <w:sz w:val="32"/>
          <w:szCs w:val="32"/>
        </w:rPr>
        <w:t>人，单位自聘教职工2</w:t>
      </w:r>
      <w:r>
        <w:rPr>
          <w:rFonts w:ascii="仿宋" w:hAnsi="仿宋" w:eastAsia="仿宋" w:cs="仿宋"/>
          <w:sz w:val="32"/>
          <w:szCs w:val="32"/>
        </w:rPr>
        <w:t>7</w:t>
      </w:r>
      <w:r>
        <w:rPr>
          <w:rFonts w:hint="eastAsia" w:ascii="仿宋" w:hAnsi="仿宋" w:eastAsia="仿宋" w:cs="仿宋"/>
          <w:sz w:val="32"/>
          <w:szCs w:val="32"/>
        </w:rPr>
        <w:t>名。</w:t>
      </w:r>
    </w:p>
    <w:p>
      <w:pPr>
        <w:jc w:val="center"/>
        <w:rPr>
          <w:rFonts w:ascii="黑体" w:hAnsi="黑体" w:eastAsia="黑体" w:cs="黑体"/>
          <w:sz w:val="32"/>
          <w:szCs w:val="32"/>
        </w:rPr>
      </w:pPr>
    </w:p>
    <w:p>
      <w:pPr>
        <w:jc w:val="center"/>
        <w:rPr>
          <w:rFonts w:ascii="黑体" w:hAnsi="黑体" w:eastAsia="黑体" w:cs="黑体"/>
          <w:sz w:val="32"/>
          <w:szCs w:val="32"/>
        </w:rPr>
      </w:pPr>
    </w:p>
    <w:p>
      <w:pP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环江毛南族自治县第三幼儿园</w:t>
      </w:r>
      <w:r>
        <w:rPr>
          <w:rFonts w:hint="eastAsia" w:ascii="黑体" w:hAnsi="黑体" w:eastAsia="黑体" w:cs="黑体"/>
          <w:sz w:val="32"/>
          <w:szCs w:val="32"/>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jc w:val="left"/>
              <w:rPr>
                <w:rFonts w:ascii="仿宋" w:hAnsi="仿宋" w:eastAsia="仿宋" w:cs="仿宋"/>
                <w:sz w:val="24"/>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5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5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3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6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4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7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385"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290.83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290.83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243.03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243.03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21.12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21.12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表三：支出决算表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22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2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60"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653"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54"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702"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290.83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234.86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55.98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209.97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209.97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243.03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209.37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21.12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0.60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center"/>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表四：财政拨款收入支出决算总表</w:t>
      </w:r>
    </w:p>
    <w:p>
      <w:pPr>
        <w:jc w:val="left"/>
        <w:rPr>
          <w:rFonts w:ascii="仿宋" w:hAnsi="仿宋" w:eastAsia="仿宋" w:cs="仿宋"/>
          <w:sz w:val="24"/>
        </w:rPr>
      </w:pPr>
    </w:p>
    <w:tbl>
      <w:tblPr>
        <w:tblStyle w:val="6"/>
        <w:tblW w:w="4966" w:type="pct"/>
        <w:tblInd w:w="0" w:type="dxa"/>
        <w:tblLayout w:type="fixed"/>
        <w:tblCellMar>
          <w:top w:w="0" w:type="dxa"/>
          <w:left w:w="108" w:type="dxa"/>
          <w:bottom w:w="0" w:type="dxa"/>
          <w:right w:w="108" w:type="dxa"/>
        </w:tblCellMar>
      </w:tblPr>
      <w:tblGrid>
        <w:gridCol w:w="2214"/>
        <w:gridCol w:w="786"/>
        <w:gridCol w:w="1306"/>
        <w:gridCol w:w="2359"/>
        <w:gridCol w:w="850"/>
        <w:gridCol w:w="1090"/>
        <w:gridCol w:w="1771"/>
        <w:gridCol w:w="1808"/>
        <w:gridCol w:w="189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7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4"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3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2"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6"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629"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4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672"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264.14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264.14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11.30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7.34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7.34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290.83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290.83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290.83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672"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表五：一般公共预算财政拨款支出决算表</w:t>
      </w:r>
    </w:p>
    <w:p>
      <w:pPr>
        <w:jc w:val="left"/>
        <w:rPr>
          <w:rFonts w:ascii="仿宋" w:hAnsi="仿宋" w:eastAsia="仿宋" w:cs="仿宋"/>
          <w:sz w:val="24"/>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290.83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234.86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55.98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209.97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264.14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209.97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54.18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243.03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209.37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21.12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0.60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20.52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p>
      <w:pPr>
        <w:jc w:val="left"/>
        <w:rPr>
          <w:rFonts w:ascii="仿宋" w:hAnsi="仿宋" w:eastAsia="仿宋" w:cs="仿宋"/>
          <w:sz w:val="24"/>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7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0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14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0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16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17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456"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科目编码</w:t>
            </w:r>
          </w:p>
          <w:p>
            <w:pPr>
              <w:widowControl/>
              <w:jc w:val="center"/>
              <w:textAlignment w:val="center"/>
              <w:rPr>
                <w:rFonts w:ascii="宋体" w:hAnsi="宋体" w:eastAsia="宋体" w:cs="宋体"/>
                <w:color w:val="000000"/>
                <w:sz w:val="22"/>
                <w:szCs w:val="22"/>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121.82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23.01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63.02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12.05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11.30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5.64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7.34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90.02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90.00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17.13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22"/>
                <w:szCs w:val="22"/>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211.85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23.01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p>
      <w:pPr>
        <w:jc w:val="left"/>
        <w:rPr>
          <w:rFonts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2" w:type="dxa"/>
            <w:gridSpan w:val="10"/>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3982" w:type="dxa"/>
            <w:gridSpan w:val="10"/>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年度没有政府性基金预算财政拨款收入，也没有政府性基金预算财政拨款安排的支出，故本表无数据。</w:t>
            </w:r>
            <w:r>
              <w:rPr>
                <w:rFonts w:hint="eastAsia" w:ascii="Times New Roman" w:hAnsi="Times New Roman" w:eastAsia="宋体" w:cs="Times New Roman"/>
                <w:szCs w:val="21"/>
                <w:lang w:bidi="ar"/>
              </w:rPr>
              <w:t xml:space="preserve"> </w:t>
            </w:r>
          </w:p>
          <w:p>
            <w:pPr>
              <w:widowControl/>
              <w:jc w:val="left"/>
              <w:textAlignment w:val="center"/>
              <w:rPr>
                <w:rFonts w:ascii="宋体" w:hAnsi="宋体" w:eastAsia="宋体" w:cs="宋体"/>
                <w:color w:val="000000"/>
                <w:kern w:val="0"/>
                <w:sz w:val="22"/>
                <w:szCs w:val="22"/>
                <w:lang w:bidi="ar"/>
              </w:rPr>
            </w:pPr>
          </w:p>
        </w:tc>
      </w:tr>
    </w:tbl>
    <w:p>
      <w:pPr>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r>
        <w:rPr>
          <w:rFonts w:hint="eastAsia" w:ascii="仿宋" w:hAnsi="仿宋" w:eastAsia="仿宋" w:cs="仿宋"/>
          <w:sz w:val="24"/>
        </w:rPr>
        <w:t>表八：国有资本经营预算财政拨款支出决算表</w:t>
      </w:r>
    </w:p>
    <w:p>
      <w:pPr>
        <w:jc w:val="left"/>
        <w:rPr>
          <w:rFonts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kern w:val="0"/>
                <w:sz w:val="30"/>
                <w:szCs w:val="30"/>
                <w:lang w:bidi="ar"/>
              </w:rPr>
            </w:pP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w:t>
            </w:r>
            <w:r>
              <w:rPr>
                <w:rFonts w:hint="eastAsia" w:ascii="宋体" w:hAnsi="宋体" w:eastAsia="宋体" w:cs="宋体"/>
                <w:kern w:val="0"/>
                <w:sz w:val="22"/>
                <w:szCs w:val="22"/>
                <w:lang w:bidi="ar"/>
              </w:rPr>
              <w:t>年一般公共预算财政拨款和以前年度结转资金安排的实际支出。</w:t>
            </w:r>
          </w:p>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2022</w:t>
            </w:r>
            <w:r>
              <w:rPr>
                <w:rFonts w:hint="eastAsia" w:ascii="宋体" w:hAnsi="宋体" w:eastAsia="宋体" w:cs="宋体"/>
                <w:szCs w:val="21"/>
                <w:lang w:bidi="ar"/>
              </w:rPr>
              <w:t>年度没有财政拨款“三公”经费收入，也没有财政拨款“三公”经费安排的支出，故本表无数据。</w:t>
            </w:r>
            <w:r>
              <w:rPr>
                <w:rFonts w:hint="eastAsia" w:ascii="宋体" w:hAnsi="宋体" w:eastAsia="宋体" w:cs="宋体"/>
                <w:color w:val="FF0000"/>
                <w:szCs w:val="21"/>
                <w:lang w:bidi="ar"/>
              </w:rPr>
              <w:t xml:space="preserve">  </w:t>
            </w: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环江毛南族自治县第三幼儿园</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290.83</w:t>
      </w:r>
      <w:r>
        <w:rPr>
          <w:rFonts w:hint="eastAsia" w:ascii="仿宋" w:hAnsi="仿宋" w:eastAsia="仿宋" w:cs="仿宋"/>
          <w:sz w:val="32"/>
          <w:szCs w:val="32"/>
        </w:rPr>
        <w:t>万元，较2021年度决算数</w:t>
      </w:r>
      <w:r>
        <w:rPr>
          <w:rFonts w:ascii="仿宋" w:hAnsi="仿宋" w:eastAsia="仿宋" w:cs="仿宋"/>
          <w:sz w:val="32"/>
        </w:rPr>
        <w:t>增加95.01</w:t>
      </w:r>
      <w:r>
        <w:rPr>
          <w:rFonts w:hint="eastAsia" w:ascii="仿宋" w:hAnsi="仿宋" w:eastAsia="仿宋" w:cs="仿宋"/>
          <w:sz w:val="32"/>
          <w:szCs w:val="32"/>
        </w:rPr>
        <w:t>万元，</w:t>
      </w:r>
      <w:r>
        <w:rPr>
          <w:rFonts w:ascii="仿宋" w:hAnsi="仿宋" w:eastAsia="仿宋" w:cs="仿宋"/>
          <w:sz w:val="32"/>
        </w:rPr>
        <w:t>增长48.52%</w:t>
      </w:r>
      <w:r>
        <w:rPr>
          <w:rFonts w:hint="eastAsia" w:ascii="仿宋" w:hAnsi="仿宋" w:eastAsia="仿宋" w:cs="仿宋"/>
          <w:sz w:val="32"/>
          <w:szCs w:val="32"/>
        </w:rPr>
        <w:t>，其中本年收入</w:t>
      </w:r>
      <w:r>
        <w:rPr>
          <w:rFonts w:ascii="仿宋" w:hAnsi="仿宋" w:eastAsia="仿宋" w:cs="仿宋"/>
          <w:sz w:val="32"/>
        </w:rPr>
        <w:t>290.83</w:t>
      </w:r>
      <w:r>
        <w:rPr>
          <w:rFonts w:hint="eastAsia" w:ascii="仿宋" w:hAnsi="仿宋" w:eastAsia="仿宋" w:cs="仿宋"/>
          <w:sz w:val="32"/>
          <w:szCs w:val="32"/>
        </w:rPr>
        <w:t>万元。收入具体情况如下。</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290.83</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增加112.92</w:t>
      </w:r>
      <w:r>
        <w:rPr>
          <w:rFonts w:hint="eastAsia" w:ascii="仿宋" w:hAnsi="仿宋" w:eastAsia="仿宋" w:cs="仿宋"/>
          <w:sz w:val="32"/>
          <w:szCs w:val="32"/>
          <w:lang w:bidi="ar"/>
        </w:rPr>
        <w:t>万元，</w:t>
      </w:r>
      <w:r>
        <w:rPr>
          <w:rFonts w:ascii="仿宋" w:hAnsi="仿宋" w:eastAsia="仿宋" w:cs="仿宋"/>
          <w:sz w:val="32"/>
        </w:rPr>
        <w:t>增长63.47%</w:t>
      </w:r>
      <w:r>
        <w:rPr>
          <w:rFonts w:hint="eastAsia" w:ascii="仿宋" w:hAnsi="仿宋" w:eastAsia="仿宋" w:cs="仿宋"/>
          <w:sz w:val="32"/>
          <w:szCs w:val="32"/>
          <w:lang w:bidi="ar"/>
        </w:rPr>
        <w:t>，主要原因：本部门2</w:t>
      </w:r>
      <w:r>
        <w:rPr>
          <w:rFonts w:ascii="仿宋" w:hAnsi="仿宋" w:eastAsia="仿宋" w:cs="仿宋"/>
          <w:sz w:val="32"/>
          <w:szCs w:val="32"/>
          <w:lang w:bidi="ar"/>
        </w:rPr>
        <w:t>022</w:t>
      </w:r>
      <w:r>
        <w:rPr>
          <w:rFonts w:hint="eastAsia" w:ascii="仿宋" w:hAnsi="仿宋" w:eastAsia="仿宋" w:cs="仿宋"/>
          <w:sz w:val="32"/>
          <w:szCs w:val="32"/>
          <w:lang w:bidi="ar"/>
        </w:rPr>
        <w:t>年度新公招6名教师控制数；2</w:t>
      </w:r>
      <w:r>
        <w:rPr>
          <w:rFonts w:ascii="仿宋" w:hAnsi="仿宋" w:eastAsia="仿宋" w:cs="仿宋"/>
          <w:sz w:val="32"/>
          <w:szCs w:val="32"/>
          <w:lang w:bidi="ar"/>
        </w:rPr>
        <w:t>022</w:t>
      </w:r>
      <w:r>
        <w:rPr>
          <w:rFonts w:hint="eastAsia" w:ascii="仿宋" w:hAnsi="仿宋" w:eastAsia="仿宋" w:cs="仿宋"/>
          <w:sz w:val="32"/>
          <w:szCs w:val="32"/>
          <w:lang w:bidi="ar"/>
        </w:rPr>
        <w:t>年度调整工资标准。</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，主要原因：本部门2</w:t>
      </w:r>
      <w:r>
        <w:rPr>
          <w:rFonts w:ascii="仿宋" w:hAnsi="仿宋" w:eastAsia="仿宋" w:cs="仿宋"/>
          <w:sz w:val="32"/>
          <w:szCs w:val="32"/>
          <w:lang w:bidi="ar"/>
        </w:rPr>
        <w:t>022</w:t>
      </w:r>
      <w:r>
        <w:rPr>
          <w:rFonts w:hint="eastAsia" w:ascii="仿宋" w:hAnsi="仿宋" w:eastAsia="仿宋" w:cs="仿宋"/>
          <w:sz w:val="32"/>
          <w:szCs w:val="32"/>
          <w:lang w:bidi="ar"/>
        </w:rPr>
        <w:t>年度无政府性基金预算财政拨款收入。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3.</w:t>
      </w:r>
      <w:bookmarkStart w:id="2" w:name="_Hlk151194373"/>
      <w:r>
        <w:rPr>
          <w:rFonts w:hint="eastAsia" w:ascii="仿宋" w:hAnsi="仿宋" w:eastAsia="仿宋" w:cs="仿宋"/>
          <w:sz w:val="32"/>
          <w:szCs w:val="32"/>
          <w:lang w:bidi="ar"/>
        </w:rPr>
        <w:t>国有资本经营预算财政拨款收入</w:t>
      </w:r>
      <w:bookmarkEnd w:id="2"/>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，主要原因是：本部门2022年度无国有资本经营预算财政拨款收入。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，主要原因是：本单位没有事业收入。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6.经营收入0.00万,为事业单位在业务活动之外开展非独立核算经营活动取得的收入。较2021年度决算数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，主要原因是：本单位没有非财政拨款结余。</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万元，为以前年度支出预算因客观条件变化未执行完毕、结转到本年度按有关规定继续使用的资金。较2021年度决算数</w:t>
      </w:r>
      <w:r>
        <w:rPr>
          <w:rFonts w:ascii="仿宋" w:hAnsi="仿宋" w:eastAsia="仿宋" w:cs="仿宋"/>
          <w:sz w:val="32"/>
        </w:rPr>
        <w:t>减少17.91</w:t>
      </w:r>
      <w:r>
        <w:rPr>
          <w:rFonts w:hint="eastAsia" w:ascii="仿宋" w:hAnsi="仿宋" w:eastAsia="仿宋" w:cs="仿宋"/>
          <w:sz w:val="32"/>
          <w:szCs w:val="32"/>
          <w:lang w:bidi="ar"/>
        </w:rPr>
        <w:t>万元，</w:t>
      </w:r>
      <w:r>
        <w:rPr>
          <w:rFonts w:ascii="仿宋" w:hAnsi="仿宋" w:eastAsia="仿宋" w:cs="仿宋"/>
          <w:sz w:val="32"/>
        </w:rPr>
        <w:t>下降100.00%</w:t>
      </w:r>
      <w:r>
        <w:rPr>
          <w:rFonts w:hint="eastAsia" w:ascii="仿宋" w:hAnsi="仿宋" w:eastAsia="仿宋" w:cs="仿宋"/>
          <w:sz w:val="32"/>
          <w:szCs w:val="32"/>
          <w:lang w:bidi="ar"/>
        </w:rPr>
        <w:t>，主要原因：部分项目已在本年执行完毕，不需要结转至下年继续执行。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02958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290.83</w:t>
      </w:r>
      <w:r>
        <w:rPr>
          <w:rFonts w:hint="eastAsia" w:ascii="仿宋" w:hAnsi="仿宋" w:eastAsia="仿宋" w:cs="仿宋"/>
          <w:sz w:val="32"/>
          <w:szCs w:val="32"/>
        </w:rPr>
        <w:t>万元，其中本年支出</w:t>
      </w:r>
      <w:r>
        <w:rPr>
          <w:rFonts w:ascii="仿宋" w:hAnsi="仿宋" w:eastAsia="仿宋" w:cs="仿宋"/>
          <w:sz w:val="32"/>
        </w:rPr>
        <w:t>290.83</w:t>
      </w:r>
      <w:r>
        <w:rPr>
          <w:rFonts w:hint="eastAsia" w:ascii="仿宋" w:hAnsi="仿宋" w:eastAsia="仿宋" w:cs="仿宋"/>
          <w:sz w:val="32"/>
          <w:szCs w:val="32"/>
        </w:rPr>
        <w:t>万元，较2021年度决算数</w:t>
      </w:r>
      <w:r>
        <w:rPr>
          <w:rFonts w:ascii="仿宋" w:hAnsi="仿宋" w:eastAsia="仿宋" w:cs="仿宋"/>
          <w:sz w:val="32"/>
        </w:rPr>
        <w:t>增加95.01</w:t>
      </w:r>
      <w:r>
        <w:rPr>
          <w:rFonts w:hint="eastAsia" w:ascii="仿宋" w:hAnsi="仿宋" w:eastAsia="仿宋" w:cs="仿宋"/>
          <w:sz w:val="32"/>
          <w:szCs w:val="32"/>
        </w:rPr>
        <w:t>万元，</w:t>
      </w:r>
      <w:r>
        <w:rPr>
          <w:rFonts w:ascii="仿宋" w:hAnsi="仿宋" w:eastAsia="仿宋" w:cs="仿宋"/>
          <w:sz w:val="32"/>
        </w:rPr>
        <w:t>增长48.52%</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1.44</w:t>
      </w:r>
      <w:r>
        <w:rPr>
          <w:rFonts w:hint="eastAsia" w:ascii="仿宋" w:hAnsi="仿宋" w:eastAsia="仿宋" w:cs="仿宋"/>
          <w:sz w:val="32"/>
          <w:szCs w:val="32"/>
        </w:rPr>
        <w:t>万元：主要用于：教职工工会活动费。较2021年度决算数</w:t>
      </w:r>
      <w:r>
        <w:rPr>
          <w:rFonts w:hint="eastAsia" w:ascii="仿宋" w:hAnsi="仿宋" w:eastAsia="仿宋" w:cs="仿宋"/>
          <w:sz w:val="32"/>
          <w:szCs w:val="32"/>
          <w:lang w:bidi="ar"/>
        </w:rPr>
        <w:t>增加1.44</w:t>
      </w:r>
      <w:r>
        <w:rPr>
          <w:rFonts w:hint="eastAsia" w:ascii="仿宋" w:hAnsi="仿宋" w:eastAsia="仿宋" w:cs="仿宋"/>
          <w:sz w:val="32"/>
          <w:szCs w:val="32"/>
        </w:rPr>
        <w:t>万元，</w:t>
      </w:r>
      <w:r>
        <w:rPr>
          <w:rFonts w:hint="eastAsia" w:ascii="仿宋" w:hAnsi="仿宋" w:eastAsia="仿宋" w:cs="仿宋"/>
          <w:sz w:val="32"/>
          <w:szCs w:val="32"/>
          <w:lang w:bidi="ar"/>
        </w:rPr>
        <w:t>增长100%</w:t>
      </w:r>
      <w:r>
        <w:rPr>
          <w:rFonts w:hint="eastAsia" w:ascii="仿宋" w:hAnsi="仿宋" w:eastAsia="仿宋" w:cs="仿宋"/>
          <w:sz w:val="32"/>
          <w:szCs w:val="32"/>
        </w:rPr>
        <w:t>，</w:t>
      </w:r>
      <w:r>
        <w:rPr>
          <w:rFonts w:hint="eastAsia" w:ascii="仿宋" w:hAnsi="仿宋" w:eastAsia="仿宋" w:cs="仿宋"/>
          <w:sz w:val="32"/>
          <w:szCs w:val="32"/>
          <w:lang w:bidi="ar"/>
        </w:rPr>
        <w:t>主要原因是：</w:t>
      </w:r>
      <w:bookmarkStart w:id="3" w:name="_Hlk151196098"/>
      <w:r>
        <w:rPr>
          <w:rFonts w:hint="eastAsia" w:ascii="仿宋" w:hAnsi="仿宋" w:eastAsia="仿宋" w:cs="仿宋"/>
          <w:sz w:val="32"/>
          <w:szCs w:val="32"/>
          <w:lang w:bidi="ar"/>
        </w:rPr>
        <w:t>本部门2</w:t>
      </w:r>
      <w:r>
        <w:rPr>
          <w:rFonts w:ascii="仿宋" w:hAnsi="仿宋" w:eastAsia="仿宋" w:cs="仿宋"/>
          <w:sz w:val="32"/>
          <w:szCs w:val="32"/>
          <w:lang w:bidi="ar"/>
        </w:rPr>
        <w:t>022</w:t>
      </w:r>
      <w:r>
        <w:rPr>
          <w:rFonts w:hint="eastAsia" w:ascii="仿宋" w:hAnsi="仿宋" w:eastAsia="仿宋" w:cs="仿宋"/>
          <w:sz w:val="32"/>
          <w:szCs w:val="32"/>
          <w:lang w:bidi="ar"/>
        </w:rPr>
        <w:t>年度新增6名公招教师控制数。</w:t>
      </w:r>
    </w:p>
    <w:bookmarkEnd w:id="3"/>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264.14</w:t>
      </w:r>
      <w:r>
        <w:rPr>
          <w:rFonts w:hint="eastAsia" w:ascii="仿宋" w:hAnsi="仿宋" w:eastAsia="仿宋" w:cs="仿宋"/>
          <w:sz w:val="32"/>
          <w:szCs w:val="32"/>
        </w:rPr>
        <w:t>万元：主要用于：人员基本工资，商品服务支出。。较2021年度决算数</w:t>
      </w:r>
      <w:r>
        <w:rPr>
          <w:rFonts w:hint="eastAsia" w:ascii="仿宋" w:hAnsi="仿宋" w:eastAsia="仿宋" w:cs="仿宋"/>
          <w:sz w:val="32"/>
          <w:szCs w:val="32"/>
          <w:lang w:bidi="ar"/>
        </w:rPr>
        <w:t>增加86.46</w:t>
      </w:r>
      <w:r>
        <w:rPr>
          <w:rFonts w:hint="eastAsia" w:ascii="仿宋" w:hAnsi="仿宋" w:eastAsia="仿宋" w:cs="仿宋"/>
          <w:sz w:val="32"/>
          <w:szCs w:val="32"/>
        </w:rPr>
        <w:t>万元，</w:t>
      </w:r>
      <w:r>
        <w:rPr>
          <w:rFonts w:hint="eastAsia" w:ascii="仿宋" w:hAnsi="仿宋" w:eastAsia="仿宋" w:cs="仿宋"/>
          <w:sz w:val="32"/>
          <w:szCs w:val="32"/>
          <w:lang w:bidi="ar"/>
        </w:rPr>
        <w:t>增长48.66%</w:t>
      </w:r>
      <w:r>
        <w:rPr>
          <w:rFonts w:hint="eastAsia" w:ascii="仿宋" w:hAnsi="仿宋" w:eastAsia="仿宋" w:cs="仿宋"/>
          <w:sz w:val="32"/>
          <w:szCs w:val="32"/>
        </w:rPr>
        <w:t>，</w:t>
      </w:r>
      <w:r>
        <w:rPr>
          <w:rFonts w:hint="eastAsia" w:ascii="仿宋" w:hAnsi="仿宋" w:eastAsia="仿宋" w:cs="仿宋"/>
          <w:sz w:val="32"/>
          <w:szCs w:val="32"/>
          <w:lang w:bidi="ar"/>
        </w:rPr>
        <w:t>主要原因是：本部门2022年度新增6名公招教师控制数；2</w:t>
      </w:r>
      <w:r>
        <w:rPr>
          <w:rFonts w:ascii="仿宋" w:hAnsi="仿宋" w:eastAsia="仿宋" w:cs="仿宋"/>
          <w:sz w:val="32"/>
          <w:szCs w:val="32"/>
          <w:lang w:bidi="ar"/>
        </w:rPr>
        <w:t>022</w:t>
      </w:r>
      <w:r>
        <w:rPr>
          <w:rFonts w:hint="eastAsia" w:ascii="仿宋" w:hAnsi="仿宋" w:eastAsia="仿宋" w:cs="仿宋"/>
          <w:sz w:val="32"/>
          <w:szCs w:val="32"/>
          <w:lang w:bidi="ar"/>
        </w:rPr>
        <w:t>年度调整工资标准。</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11.30</w:t>
      </w:r>
      <w:r>
        <w:rPr>
          <w:rFonts w:hint="eastAsia" w:ascii="仿宋" w:hAnsi="仿宋" w:eastAsia="仿宋" w:cs="仿宋"/>
          <w:sz w:val="32"/>
          <w:szCs w:val="32"/>
        </w:rPr>
        <w:t>万元：主要用于：本部门2</w:t>
      </w:r>
      <w:r>
        <w:rPr>
          <w:rFonts w:ascii="仿宋" w:hAnsi="仿宋" w:eastAsia="仿宋" w:cs="仿宋"/>
          <w:sz w:val="32"/>
          <w:szCs w:val="32"/>
        </w:rPr>
        <w:t>022</w:t>
      </w:r>
      <w:r>
        <w:rPr>
          <w:rFonts w:hint="eastAsia" w:ascii="仿宋" w:hAnsi="仿宋" w:eastAsia="仿宋" w:cs="仿宋"/>
          <w:sz w:val="32"/>
          <w:szCs w:val="32"/>
        </w:rPr>
        <w:t>年度教职工基本养老保险缴费支出。较2021年度决算数</w:t>
      </w:r>
      <w:r>
        <w:rPr>
          <w:rFonts w:hint="eastAsia" w:ascii="仿宋" w:hAnsi="仿宋" w:eastAsia="仿宋" w:cs="仿宋"/>
          <w:sz w:val="32"/>
          <w:szCs w:val="32"/>
          <w:lang w:bidi="ar"/>
        </w:rPr>
        <w:t>增加4.13</w:t>
      </w:r>
      <w:r>
        <w:rPr>
          <w:rFonts w:hint="eastAsia" w:ascii="仿宋" w:hAnsi="仿宋" w:eastAsia="仿宋" w:cs="仿宋"/>
          <w:sz w:val="32"/>
          <w:szCs w:val="32"/>
        </w:rPr>
        <w:t>万元，</w:t>
      </w:r>
      <w:r>
        <w:rPr>
          <w:rFonts w:hint="eastAsia" w:ascii="仿宋" w:hAnsi="仿宋" w:eastAsia="仿宋" w:cs="仿宋"/>
          <w:sz w:val="32"/>
          <w:szCs w:val="32"/>
          <w:lang w:bidi="ar"/>
        </w:rPr>
        <w:t>增长57.60%</w:t>
      </w:r>
      <w:r>
        <w:rPr>
          <w:rFonts w:hint="eastAsia" w:ascii="仿宋" w:hAnsi="仿宋" w:eastAsia="仿宋" w:cs="仿宋"/>
          <w:sz w:val="32"/>
          <w:szCs w:val="32"/>
        </w:rPr>
        <w:t>，</w:t>
      </w:r>
      <w:r>
        <w:rPr>
          <w:rFonts w:hint="eastAsia" w:ascii="仿宋" w:hAnsi="仿宋" w:eastAsia="仿宋" w:cs="仿宋"/>
          <w:sz w:val="32"/>
          <w:szCs w:val="32"/>
          <w:lang w:bidi="ar"/>
        </w:rPr>
        <w:t>主要原因是：本部门2022年度新增6名公招教师控制数；2022年度调整缴费基数。</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7.34</w:t>
      </w:r>
      <w:r>
        <w:rPr>
          <w:rFonts w:hint="eastAsia" w:ascii="仿宋" w:hAnsi="仿宋" w:eastAsia="仿宋" w:cs="仿宋"/>
          <w:sz w:val="32"/>
          <w:szCs w:val="32"/>
        </w:rPr>
        <w:t>万元：主要用于：本部门2</w:t>
      </w:r>
      <w:r>
        <w:rPr>
          <w:rFonts w:ascii="仿宋" w:hAnsi="仿宋" w:eastAsia="仿宋" w:cs="仿宋"/>
          <w:sz w:val="32"/>
          <w:szCs w:val="32"/>
        </w:rPr>
        <w:t>022</w:t>
      </w:r>
      <w:r>
        <w:rPr>
          <w:rFonts w:hint="eastAsia" w:ascii="仿宋" w:hAnsi="仿宋" w:eastAsia="仿宋" w:cs="仿宋"/>
          <w:sz w:val="32"/>
          <w:szCs w:val="32"/>
        </w:rPr>
        <w:t>年度教职工住房公积金支出。较2021年度决算数</w:t>
      </w:r>
      <w:r>
        <w:rPr>
          <w:rFonts w:hint="eastAsia" w:ascii="仿宋" w:hAnsi="仿宋" w:eastAsia="仿宋" w:cs="仿宋"/>
          <w:sz w:val="32"/>
          <w:szCs w:val="32"/>
          <w:lang w:bidi="ar"/>
        </w:rPr>
        <w:t>增加4.21</w:t>
      </w:r>
      <w:r>
        <w:rPr>
          <w:rFonts w:hint="eastAsia" w:ascii="仿宋" w:hAnsi="仿宋" w:eastAsia="仿宋" w:cs="仿宋"/>
          <w:sz w:val="32"/>
          <w:szCs w:val="32"/>
        </w:rPr>
        <w:t>万元，</w:t>
      </w:r>
      <w:r>
        <w:rPr>
          <w:rFonts w:hint="eastAsia" w:ascii="仿宋" w:hAnsi="仿宋" w:eastAsia="仿宋" w:cs="仿宋"/>
          <w:sz w:val="32"/>
          <w:szCs w:val="32"/>
          <w:lang w:bidi="ar"/>
        </w:rPr>
        <w:t>增长134.50%</w:t>
      </w:r>
      <w:r>
        <w:rPr>
          <w:rFonts w:hint="eastAsia" w:ascii="仿宋" w:hAnsi="仿宋" w:eastAsia="仿宋" w:cs="仿宋"/>
          <w:sz w:val="32"/>
          <w:szCs w:val="32"/>
        </w:rPr>
        <w:t>，</w:t>
      </w:r>
      <w:r>
        <w:rPr>
          <w:rFonts w:hint="eastAsia" w:ascii="仿宋" w:hAnsi="仿宋" w:eastAsia="仿宋" w:cs="仿宋"/>
          <w:sz w:val="32"/>
          <w:szCs w:val="32"/>
          <w:lang w:bidi="ar"/>
        </w:rPr>
        <w:t>主要原因是本部门2022年度新增6名公招教师控制数；2022年度调整缴费基数。</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6.62</w:t>
      </w:r>
      <w:r>
        <w:rPr>
          <w:rFonts w:hint="eastAsia" w:ascii="仿宋" w:hAnsi="仿宋" w:eastAsia="仿宋" w:cs="仿宋"/>
          <w:sz w:val="32"/>
          <w:szCs w:val="32"/>
        </w:rPr>
        <w:t>万元：主要用于：其他工资福利支出。较2021年度决算数</w:t>
      </w:r>
      <w:r>
        <w:rPr>
          <w:rFonts w:hint="eastAsia" w:ascii="仿宋" w:hAnsi="仿宋" w:eastAsia="仿宋" w:cs="仿宋"/>
          <w:sz w:val="32"/>
          <w:szCs w:val="32"/>
          <w:lang w:bidi="ar"/>
        </w:rPr>
        <w:t>减少1.22</w:t>
      </w:r>
      <w:r>
        <w:rPr>
          <w:rFonts w:hint="eastAsia" w:ascii="仿宋" w:hAnsi="仿宋" w:eastAsia="仿宋" w:cs="仿宋"/>
          <w:sz w:val="32"/>
          <w:szCs w:val="32"/>
        </w:rPr>
        <w:t>万元，</w:t>
      </w:r>
      <w:r>
        <w:rPr>
          <w:rFonts w:hint="eastAsia" w:ascii="仿宋" w:hAnsi="仿宋" w:eastAsia="仿宋" w:cs="仿宋"/>
          <w:sz w:val="32"/>
          <w:szCs w:val="32"/>
          <w:lang w:bidi="ar"/>
        </w:rPr>
        <w:t>下降15.56%</w:t>
      </w:r>
      <w:r>
        <w:rPr>
          <w:rFonts w:hint="eastAsia" w:ascii="仿宋" w:hAnsi="仿宋" w:eastAsia="仿宋" w:cs="仿宋"/>
          <w:sz w:val="32"/>
          <w:szCs w:val="32"/>
        </w:rPr>
        <w:t>，</w:t>
      </w:r>
      <w:r>
        <w:rPr>
          <w:rFonts w:hint="eastAsia" w:ascii="仿宋" w:hAnsi="仿宋" w:eastAsia="仿宋" w:cs="仿宋"/>
          <w:sz w:val="32"/>
          <w:szCs w:val="32"/>
          <w:lang w:bidi="ar"/>
        </w:rPr>
        <w:t>主要原因是：2</w:t>
      </w:r>
      <w:r>
        <w:rPr>
          <w:rFonts w:ascii="仿宋" w:hAnsi="仿宋" w:eastAsia="仿宋" w:cs="仿宋"/>
          <w:sz w:val="32"/>
          <w:szCs w:val="32"/>
          <w:lang w:bidi="ar"/>
        </w:rPr>
        <w:t>022</w:t>
      </w:r>
      <w:r>
        <w:rPr>
          <w:rFonts w:hint="eastAsia" w:ascii="仿宋" w:hAnsi="仿宋" w:eastAsia="仿宋" w:cs="仿宋"/>
          <w:sz w:val="32"/>
          <w:szCs w:val="32"/>
          <w:lang w:bidi="ar"/>
        </w:rPr>
        <w:t>年度下半年无伙食补助费。</w:t>
      </w:r>
    </w:p>
    <w:p>
      <w:pPr>
        <w:ind w:firstLine="620" w:firstLineChars="200"/>
        <w:jc w:val="left"/>
        <w:rPr>
          <w:rFonts w:ascii="仿宋" w:hAnsi="仿宋" w:eastAsia="仿宋_GB2312" w:cs="仿宋"/>
          <w:sz w:val="32"/>
          <w:szCs w:val="32"/>
          <w:lang w:bidi="ar"/>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1</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lang w:bidi="ar"/>
        </w:rPr>
        <w:t>：</w:t>
      </w:r>
      <w:bookmarkStart w:id="4" w:name="_Hlk151197655"/>
      <w:r>
        <w:rPr>
          <w:rFonts w:hint="eastAsia" w:ascii="仿宋" w:hAnsi="仿宋" w:eastAsia="仿宋" w:cs="仿宋"/>
          <w:sz w:val="32"/>
          <w:szCs w:val="32"/>
          <w:lang w:bidi="ar"/>
        </w:rPr>
        <w:t>本部门2</w:t>
      </w:r>
      <w:r>
        <w:rPr>
          <w:rFonts w:ascii="仿宋" w:hAnsi="仿宋" w:eastAsia="仿宋" w:cs="仿宋"/>
          <w:sz w:val="32"/>
          <w:szCs w:val="32"/>
          <w:lang w:bidi="ar"/>
        </w:rPr>
        <w:t>022</w:t>
      </w:r>
      <w:r>
        <w:rPr>
          <w:rFonts w:hint="eastAsia" w:ascii="仿宋" w:hAnsi="仿宋" w:eastAsia="仿宋" w:cs="仿宋"/>
          <w:sz w:val="32"/>
          <w:szCs w:val="32"/>
          <w:lang w:bidi="ar"/>
        </w:rPr>
        <w:t>年度无结余分配资金。</w:t>
      </w:r>
      <w:bookmarkEnd w:id="4"/>
    </w:p>
    <w:p>
      <w:pPr>
        <w:ind w:firstLine="640" w:firstLineChars="200"/>
        <w:jc w:val="left"/>
        <w:rPr>
          <w:rFonts w:ascii="黑体" w:hAnsi="黑体" w:eastAsia="黑体" w:cs="黑体"/>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万元，为本年度或以前年度预算安排、因客观条件发生变化无法按原计划实施，需要延迟到以后年度按有关规定继续使用的资金。较2021年度决算数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sz w:val="32"/>
          <w:szCs w:val="32"/>
          <w:lang w:bidi="ar"/>
        </w:rPr>
        <w:t>主要原因是：本部门2022年度无结余分配资金。</w:t>
      </w:r>
      <w:r>
        <w:rPr>
          <w:rFonts w:hint="eastAsia" w:ascii="仿宋" w:hAnsi="仿宋" w:eastAsia="仿宋" w:cs="仿宋"/>
          <w:sz w:val="32"/>
          <w:szCs w:val="32"/>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5" w:name="OLE_LINK1"/>
      <w:r>
        <w:rPr>
          <w:rFonts w:hint="eastAsia" w:ascii="黑体" w:hAnsi="黑体" w:eastAsia="黑体" w:cs="黑体"/>
          <w:sz w:val="32"/>
          <w:szCs w:val="32"/>
        </w:rPr>
        <w:t>一般公共预算财政拨款支出决算情况</w:t>
      </w:r>
      <w:bookmarkEnd w:id="5"/>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环江毛南族自治县第三幼儿园2022年度一般公共预算财政拨款支出</w:t>
      </w:r>
      <w:r>
        <w:rPr>
          <w:rFonts w:ascii="仿宋" w:hAnsi="仿宋" w:eastAsia="仿宋" w:cs="仿宋"/>
          <w:sz w:val="32"/>
        </w:rPr>
        <w:t>290.83</w:t>
      </w:r>
      <w:r>
        <w:rPr>
          <w:rFonts w:hint="eastAsia" w:ascii="仿宋" w:hAnsi="仿宋" w:eastAsia="仿宋" w:cs="仿宋"/>
          <w:sz w:val="32"/>
          <w:szCs w:val="32"/>
        </w:rPr>
        <w:t>万元，较2021年度决算数</w:t>
      </w:r>
      <w:r>
        <w:rPr>
          <w:rFonts w:ascii="仿宋" w:hAnsi="仿宋" w:eastAsia="仿宋" w:cs="仿宋"/>
          <w:sz w:val="32"/>
        </w:rPr>
        <w:t>增加95.01</w:t>
      </w:r>
      <w:r>
        <w:rPr>
          <w:rFonts w:hint="eastAsia" w:ascii="仿宋" w:hAnsi="仿宋" w:eastAsia="仿宋" w:cs="仿宋"/>
          <w:sz w:val="32"/>
          <w:szCs w:val="32"/>
        </w:rPr>
        <w:t>万元，</w:t>
      </w:r>
      <w:r>
        <w:rPr>
          <w:rFonts w:ascii="仿宋" w:hAnsi="仿宋" w:eastAsia="仿宋" w:cs="仿宋"/>
          <w:sz w:val="32"/>
        </w:rPr>
        <w:t>增长48.52%</w:t>
      </w:r>
      <w:r>
        <w:rPr>
          <w:rFonts w:hint="eastAsia" w:ascii="仿宋" w:hAnsi="仿宋" w:eastAsia="仿宋" w:cs="仿宋"/>
          <w:sz w:val="32"/>
          <w:szCs w:val="32"/>
        </w:rPr>
        <w:t>。其中：基本支出</w:t>
      </w:r>
      <w:r>
        <w:rPr>
          <w:rFonts w:ascii="仿宋" w:hAnsi="仿宋" w:eastAsia="仿宋" w:cs="仿宋"/>
          <w:sz w:val="32"/>
        </w:rPr>
        <w:t>234.86</w:t>
      </w:r>
      <w:r>
        <w:rPr>
          <w:rFonts w:hint="eastAsia" w:ascii="仿宋" w:hAnsi="仿宋" w:eastAsia="仿宋" w:cs="仿宋"/>
          <w:sz w:val="32"/>
          <w:szCs w:val="32"/>
        </w:rPr>
        <w:t>万元，项目支出</w:t>
      </w:r>
      <w:r>
        <w:rPr>
          <w:rFonts w:ascii="仿宋" w:hAnsi="仿宋" w:eastAsia="仿宋" w:cs="仿宋"/>
          <w:sz w:val="32"/>
        </w:rPr>
        <w:t>55.98</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 年度一般公共预算财政拨款支出年初预算为</w:t>
      </w:r>
      <w:r>
        <w:rPr>
          <w:rFonts w:ascii="仿宋" w:hAnsi="仿宋" w:eastAsia="仿宋" w:cs="仿宋"/>
          <w:sz w:val="32"/>
        </w:rPr>
        <w:t>201.46</w:t>
      </w:r>
      <w:r>
        <w:rPr>
          <w:rFonts w:hint="eastAsia" w:ascii="仿宋" w:hAnsi="仿宋" w:eastAsia="仿宋" w:cs="仿宋"/>
          <w:sz w:val="32"/>
          <w:szCs w:val="32"/>
        </w:rPr>
        <w:t>万元，支出决算为</w:t>
      </w:r>
      <w:r>
        <w:rPr>
          <w:rFonts w:ascii="仿宋" w:hAnsi="仿宋" w:eastAsia="仿宋" w:cs="仿宋"/>
          <w:sz w:val="32"/>
        </w:rPr>
        <w:t>290.83</w:t>
      </w:r>
      <w:r>
        <w:rPr>
          <w:rFonts w:hint="eastAsia" w:ascii="仿宋" w:hAnsi="仿宋" w:eastAsia="仿宋" w:cs="仿宋"/>
          <w:sz w:val="32"/>
          <w:szCs w:val="32"/>
        </w:rPr>
        <w:t>万元，完成年初预算的</w:t>
      </w:r>
      <w:r>
        <w:rPr>
          <w:rFonts w:ascii="仿宋" w:hAnsi="仿宋" w:eastAsia="仿宋" w:cs="仿宋"/>
          <w:sz w:val="32"/>
        </w:rPr>
        <w:t>144.36%</w:t>
      </w:r>
      <w:r>
        <w:rPr>
          <w:rFonts w:hint="eastAsia" w:ascii="仿宋" w:hAnsi="仿宋" w:eastAsia="仿宋" w:cs="仿宋"/>
          <w:sz w:val="32"/>
          <w:szCs w:val="32"/>
        </w:rPr>
        <w:t>。</w:t>
      </w:r>
      <w:bookmarkStart w:id="6" w:name="OLE_LINK2"/>
      <w:bookmarkEnd w:id="6"/>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1.44</w:t>
      </w:r>
      <w:r>
        <w:rPr>
          <w:rFonts w:hint="eastAsia" w:ascii="仿宋" w:hAnsi="仿宋" w:eastAsia="仿宋"/>
          <w:sz w:val="32"/>
          <w:szCs w:val="32"/>
        </w:rPr>
        <w:t>万元，支出决算为</w:t>
      </w:r>
      <w:r>
        <w:rPr>
          <w:rFonts w:ascii="仿宋" w:hAnsi="仿宋" w:eastAsia="仿宋"/>
          <w:sz w:val="32"/>
          <w:szCs w:val="32"/>
        </w:rPr>
        <w:t>1.44</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179.93</w:t>
      </w:r>
      <w:r>
        <w:rPr>
          <w:rFonts w:hint="eastAsia" w:ascii="仿宋" w:hAnsi="仿宋" w:eastAsia="仿宋"/>
          <w:sz w:val="32"/>
          <w:szCs w:val="32"/>
        </w:rPr>
        <w:t>万元，支出决算为</w:t>
      </w:r>
      <w:r>
        <w:rPr>
          <w:rFonts w:ascii="仿宋" w:hAnsi="仿宋" w:eastAsia="仿宋"/>
          <w:sz w:val="32"/>
          <w:szCs w:val="32"/>
        </w:rPr>
        <w:t>264.14</w:t>
      </w:r>
      <w:r>
        <w:rPr>
          <w:rFonts w:hint="eastAsia" w:ascii="仿宋" w:hAnsi="仿宋" w:eastAsia="仿宋"/>
          <w:sz w:val="32"/>
          <w:szCs w:val="32"/>
        </w:rPr>
        <w:t>万元，完成年初预算的</w:t>
      </w:r>
      <w:r>
        <w:rPr>
          <w:rFonts w:ascii="仿宋" w:hAnsi="仿宋" w:eastAsia="仿宋"/>
          <w:sz w:val="32"/>
          <w:szCs w:val="32"/>
        </w:rPr>
        <w:t>146.80%</w:t>
      </w:r>
      <w:r>
        <w:rPr>
          <w:rFonts w:hint="eastAsia" w:ascii="仿宋" w:hAnsi="仿宋" w:eastAsia="仿宋"/>
          <w:sz w:val="32"/>
          <w:szCs w:val="32"/>
        </w:rPr>
        <w:t>。预决算存有差异原因是：</w:t>
      </w:r>
      <w:r>
        <w:rPr>
          <w:rFonts w:hint="eastAsia" w:ascii="仿宋" w:hAnsi="仿宋" w:eastAsia="仿宋" w:cs="仿宋"/>
          <w:sz w:val="32"/>
          <w:szCs w:val="32"/>
          <w:lang w:bidi="ar"/>
        </w:rPr>
        <w:t>人员增加，调整工资标准。</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179.93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243.03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135.07%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人员增加，调整工资标准。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21.12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民办幼儿园人员工资福利支出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179.93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264.14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60604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w:t>
      </w:r>
      <w:r>
        <w:rPr>
          <w:rFonts w:ascii="仿宋" w:hAnsi="仿宋" w:eastAsia="仿宋"/>
          <w:sz w:val="32"/>
          <w:szCs w:val="32"/>
        </w:rPr>
        <w:t>11.48</w:t>
      </w:r>
      <w:r>
        <w:rPr>
          <w:rFonts w:hint="eastAsia" w:ascii="仿宋" w:hAnsi="仿宋" w:eastAsia="仿宋"/>
          <w:sz w:val="32"/>
          <w:szCs w:val="32"/>
        </w:rPr>
        <w:t>万元，支出决算为</w:t>
      </w:r>
      <w:r>
        <w:rPr>
          <w:rFonts w:ascii="仿宋" w:hAnsi="仿宋" w:eastAsia="仿宋"/>
          <w:sz w:val="32"/>
          <w:szCs w:val="32"/>
        </w:rPr>
        <w:t>11.30</w:t>
      </w:r>
      <w:r>
        <w:rPr>
          <w:rFonts w:hint="eastAsia" w:ascii="仿宋" w:hAnsi="仿宋" w:eastAsia="仿宋"/>
          <w:sz w:val="32"/>
          <w:szCs w:val="32"/>
        </w:rPr>
        <w:t>万元，完成年初预算的</w:t>
      </w:r>
      <w:r>
        <w:rPr>
          <w:rFonts w:ascii="仿宋" w:hAnsi="仿宋" w:eastAsia="仿宋"/>
          <w:sz w:val="32"/>
          <w:szCs w:val="32"/>
        </w:rPr>
        <w:t>98.43%</w:t>
      </w:r>
      <w:r>
        <w:rPr>
          <w:rFonts w:hint="eastAsia" w:ascii="仿宋" w:hAnsi="仿宋" w:eastAsia="仿宋"/>
          <w:sz w:val="32"/>
          <w:szCs w:val="32"/>
        </w:rPr>
        <w:t>。预决算存有差异原因是：</w:t>
      </w:r>
      <w:r>
        <w:rPr>
          <w:rFonts w:hint="eastAsia" w:ascii="仿宋" w:hAnsi="仿宋" w:eastAsia="仿宋" w:cs="仿宋"/>
          <w:sz w:val="32"/>
          <w:szCs w:val="32"/>
          <w:lang w:bidi="ar"/>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11.48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11.30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98.43%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bookmarkStart w:id="7" w:name="_Hlk151198286"/>
            <w:r>
              <w:rPr>
                <w:rFonts w:hint="eastAsia" w:ascii="仿宋" w:hAnsi="仿宋" w:eastAsia="仿宋" w:cs="仿宋"/>
                <w:sz w:val="18"/>
                <w:szCs w:val="18"/>
              </w:rPr>
              <w:t>年初预算缴费基数过高。</w:t>
            </w:r>
            <w:bookmarkEnd w:id="7"/>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11.30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both"/>
        <w:rPr>
          <w:rFonts w:ascii="仿宋" w:hAnsi="仿宋" w:eastAsia="仿宋"/>
          <w:sz w:val="32"/>
          <w:szCs w:val="32"/>
        </w:rPr>
      </w:pPr>
      <w:r>
        <w:rPr>
          <w:rFonts w:hint="eastAsia" w:ascii="仿宋" w:hAnsi="仿宋" w:eastAsia="仿宋" w:cs="仿宋"/>
          <w:sz w:val="32"/>
          <w:szCs w:val="32"/>
        </w:rPr>
        <w:drawing>
          <wp:inline distT="0" distB="0" distL="114300" distR="114300">
            <wp:extent cx="4474845" cy="264477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w:t>
      </w:r>
      <w:r>
        <w:rPr>
          <w:rFonts w:ascii="仿宋" w:hAnsi="仿宋" w:eastAsia="仿宋"/>
          <w:sz w:val="32"/>
          <w:szCs w:val="32"/>
        </w:rPr>
        <w:t>8.61</w:t>
      </w:r>
      <w:r>
        <w:rPr>
          <w:rFonts w:hint="eastAsia" w:ascii="仿宋" w:hAnsi="仿宋" w:eastAsia="仿宋"/>
          <w:sz w:val="32"/>
          <w:szCs w:val="32"/>
        </w:rPr>
        <w:t>万元，支出决算为</w:t>
      </w:r>
      <w:r>
        <w:rPr>
          <w:rFonts w:ascii="仿宋" w:hAnsi="仿宋" w:eastAsia="仿宋"/>
          <w:sz w:val="32"/>
          <w:szCs w:val="32"/>
        </w:rPr>
        <w:t>7.34</w:t>
      </w:r>
      <w:r>
        <w:rPr>
          <w:rFonts w:hint="eastAsia" w:ascii="仿宋" w:hAnsi="仿宋" w:eastAsia="仿宋"/>
          <w:sz w:val="32"/>
          <w:szCs w:val="32"/>
        </w:rPr>
        <w:t>万元，完成年初预算的</w:t>
      </w:r>
      <w:r>
        <w:rPr>
          <w:rFonts w:ascii="仿宋" w:hAnsi="仿宋" w:eastAsia="仿宋"/>
          <w:sz w:val="32"/>
          <w:szCs w:val="32"/>
        </w:rPr>
        <w:t>85.25%</w:t>
      </w:r>
      <w:r>
        <w:rPr>
          <w:rFonts w:hint="eastAsia" w:ascii="仿宋" w:hAnsi="仿宋" w:eastAsia="仿宋"/>
          <w:sz w:val="32"/>
          <w:szCs w:val="32"/>
        </w:rPr>
        <w:t>。预决算存有差异原因是：</w:t>
      </w:r>
      <w:r>
        <w:rPr>
          <w:rFonts w:hint="eastAsia" w:ascii="仿宋" w:hAnsi="仿宋" w:eastAsia="仿宋" w:cs="仿宋"/>
          <w:sz w:val="32"/>
          <w:szCs w:val="32"/>
          <w:lang w:bidi="ar"/>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7.34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85.25%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年初预算缴费基数过高。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8.61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7.34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6.62</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lang w:bidi="ar"/>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其他工资福利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环江毛南族自治县第三幼儿园2022年度一般公共预算财政拨款基本支出</w:t>
      </w:r>
      <w:r>
        <w:rPr>
          <w:rFonts w:ascii="仿宋" w:hAnsi="仿宋" w:eastAsia="仿宋" w:cs="仿宋"/>
          <w:sz w:val="32"/>
        </w:rPr>
        <w:t>234.86</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211.85</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23.01</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121.82万元，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138.43%</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主要原因是：本部门2022年度新公招6名教师控制数；2022年度调整工资标准；职工五险一金基数调整。</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63.02万元，30102津贴补贴3.15万元，30103奖金12.05万元，30107绩效工资18.46万元，30108机关事业单位基本养老保险缴费11.30万元，30110职工基本医疗保险缴费5.64万元，30112其他社会保障缴费0.58万元，30113住房公积金7.34万元，30199其他工资福利支出0.30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653665"/>
            <wp:effectExtent l="4445" t="4445" r="16510" b="889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w:t>
      </w:r>
      <w:r>
        <w:rPr>
          <w:rFonts w:ascii="仿宋" w:hAnsi="仿宋" w:eastAsia="仿宋" w:cs="仿宋"/>
          <w:sz w:val="32"/>
        </w:rPr>
        <w:t>23.01万元，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1597.92%</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 2</w:t>
      </w:r>
      <w:r>
        <w:rPr>
          <w:rFonts w:ascii="仿宋" w:hAnsi="仿宋" w:eastAsia="仿宋" w:cs="仿宋"/>
          <w:sz w:val="32"/>
          <w:szCs w:val="32"/>
          <w:lang w:bidi="ar"/>
        </w:rPr>
        <w:t>022</w:t>
      </w:r>
      <w:r>
        <w:rPr>
          <w:rFonts w:hint="eastAsia" w:ascii="仿宋" w:hAnsi="仿宋" w:eastAsia="仿宋" w:cs="仿宋"/>
          <w:sz w:val="32"/>
          <w:szCs w:val="32"/>
          <w:lang w:bidi="ar"/>
        </w:rPr>
        <w:t>年度辖区内普惠性民办幼儿园上级有关拨款经费通过我单位支出。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：30201办公费4.45万元，30226劳务费17.13万元，30228工会经费1.44万元。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90.02万元，</w:t>
      </w:r>
      <w:r>
        <w:rPr>
          <w:rFonts w:ascii="仿宋_GB2312" w:hAnsi="微软雅黑" w:eastAsia="仿宋_GB2312" w:cs="仿宋_GB2312"/>
          <w:color w:val="000000"/>
          <w:sz w:val="31"/>
          <w:szCs w:val="31"/>
          <w:shd w:val="clear" w:color="auto" w:fill="FFFFFF"/>
        </w:rPr>
        <w:t>完成年初预算</w:t>
      </w:r>
      <w:r>
        <w:rPr>
          <w:rFonts w:ascii="仿宋_GB2312" w:hAnsi="微软雅黑" w:eastAsia="仿宋_GB2312" w:cs="仿宋_GB2312"/>
          <w:sz w:val="31"/>
          <w:szCs w:val="31"/>
          <w:shd w:val="clear" w:color="auto" w:fill="FFFFFF"/>
        </w:rPr>
        <w:t>的</w:t>
      </w:r>
      <w:r>
        <w:rPr>
          <w:rFonts w:hint="eastAsia" w:ascii="仿宋" w:hAnsi="仿宋" w:eastAsia="仿宋" w:cs="仿宋"/>
          <w:sz w:val="32"/>
          <w:szCs w:val="32"/>
        </w:rPr>
        <w:t>450100%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主要原因是：本部门2022年度聘用教职工其他工资福利支出。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：30305生活补助90.00万元，30309奖励金0.02万元。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492375"/>
            <wp:effectExtent l="4445" t="4445" r="16510" b="1778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lang w:bidi="ar"/>
        </w:rPr>
        <w:t>主要原因是：无债务利息及费用支出。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7876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2"/>
        </w:numPr>
        <w:jc w:val="left"/>
        <w:rPr>
          <w:rFonts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：无资本性支出。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997200"/>
            <wp:effectExtent l="5080" t="4445" r="15875" b="825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sz w:val="32"/>
          <w:szCs w:val="32"/>
          <w:lang w:bidi="ar"/>
        </w:rPr>
        <w:t>主要原因是：无其他支出。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环江毛南族自治县第三幼儿园2022年度政府性基金支出</w:t>
      </w:r>
      <w:r>
        <w:rPr>
          <w:rFonts w:ascii="仿宋" w:hAnsi="仿宋" w:eastAsia="仿宋" w:cs="仿宋"/>
          <w:sz w:val="32"/>
          <w:szCs w:val="32"/>
        </w:rPr>
        <w:t>0.00</w:t>
      </w:r>
      <w:r>
        <w:rPr>
          <w:rFonts w:hint="eastAsia" w:ascii="仿宋" w:hAnsi="仿宋" w:eastAsia="仿宋" w:cs="仿宋"/>
          <w:sz w:val="32"/>
          <w:szCs w:val="32"/>
        </w:rPr>
        <w:t>万元，较2021年度决算数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环江毛南族自治县第三幼儿园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环江毛南族自治县第三幼儿园2022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8" w:name="PO_part3A5B1C1DiffReason1"/>
      <w:r>
        <w:rPr>
          <w:rFonts w:hint="eastAsia" w:ascii="仿宋_GB2312" w:hAnsi="Times New Roman" w:eastAsia="仿宋_GB2312" w:cs="Times New Roman"/>
          <w:sz w:val="32"/>
          <w:szCs w:val="32"/>
        </w:rPr>
        <w:t>环江毛南族自治县第三幼儿园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w:t>
      </w:r>
      <w:bookmarkEnd w:id="8"/>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主要原因是：无财政拨款安排的“三公”经费支出。</w:t>
      </w:r>
      <w:r>
        <w:rPr>
          <w:rFonts w:hint="eastAsia" w:ascii="仿宋" w:hAnsi="仿宋" w:eastAsia="仿宋" w:cs="仿宋"/>
          <w:sz w:val="32"/>
          <w:szCs w:val="32"/>
        </w:rPr>
        <w:t>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万元。原因是：无</w:t>
      </w:r>
      <w:r>
        <w:rPr>
          <w:rFonts w:hint="eastAsia" w:ascii="仿宋_GB2312" w:hAnsi="Times New Roman" w:eastAsia="仿宋_GB2312" w:cs="Times New Roman"/>
          <w:sz w:val="32"/>
          <w:szCs w:val="32"/>
        </w:rPr>
        <w:t>财政拨款安排的“三公”经费支出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bookmarkStart w:id="12" w:name="_GoBack"/>
      <w:bookmarkEnd w:id="12"/>
    </w:p>
    <w:p>
      <w:pPr>
        <w:ind w:firstLine="640" w:firstLineChars="200"/>
        <w:jc w:val="left"/>
        <w:rPr>
          <w:rFonts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9" w:name="PO_part3A6B2IncReason1"/>
      <w:r>
        <w:rPr>
          <w:rFonts w:hint="eastAsia" w:ascii="仿宋" w:hAnsi="仿宋" w:eastAsia="仿宋" w:cs="仿宋"/>
          <w:sz w:val="32"/>
          <w:szCs w:val="32"/>
        </w:rPr>
        <w:t>本部门无公务用车购置</w:t>
      </w:r>
      <w:bookmarkEnd w:id="9"/>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10" w:name="_Hlk151200525"/>
      <w:r>
        <w:rPr>
          <w:rFonts w:hint="eastAsia" w:ascii="仿宋" w:hAnsi="仿宋" w:eastAsia="仿宋" w:cs="仿宋"/>
          <w:sz w:val="32"/>
          <w:szCs w:val="32"/>
        </w:rPr>
        <w:t>公务用车运行维护支出</w:t>
      </w:r>
      <w:bookmarkEnd w:id="10"/>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万元。主要原因是：无公务用车运行维护支出。2022年，</w:t>
      </w:r>
      <w:r>
        <w:rPr>
          <w:rFonts w:ascii="仿宋" w:hAnsi="仿宋" w:eastAsia="仿宋" w:cs="仿宋"/>
          <w:sz w:val="32"/>
        </w:rPr>
        <w:t>环江毛南族自治县第三幼儿园</w:t>
      </w:r>
      <w:r>
        <w:rPr>
          <w:rFonts w:hint="eastAsia" w:ascii="仿宋" w:hAnsi="仿宋" w:eastAsia="仿宋" w:cs="仿宋"/>
          <w:sz w:val="32"/>
          <w:szCs w:val="32"/>
        </w:rPr>
        <w:t>及</w:t>
      </w:r>
      <w:r>
        <w:rPr>
          <w:rFonts w:hint="eastAsia" w:ascii="仿宋" w:hAnsi="仿宋" w:eastAsia="仿宋" w:cs="仿宋"/>
          <w:sz w:val="32"/>
          <w:szCs w:val="32"/>
          <w:u w:val="single"/>
        </w:rPr>
        <w:t xml:space="preserve">  </w:t>
      </w:r>
      <w:r>
        <w:rPr>
          <w:rFonts w:ascii="仿宋" w:hAnsi="仿宋" w:eastAsia="仿宋" w:cs="仿宋"/>
          <w:sz w:val="32"/>
          <w:szCs w:val="32"/>
          <w:u w:val="single"/>
        </w:rPr>
        <w:t>0</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 xml:space="preserve">万元，平均每辆 </w:t>
      </w:r>
      <w:r>
        <w:rPr>
          <w:rFonts w:ascii="仿宋" w:hAnsi="仿宋" w:eastAsia="仿宋" w:cs="仿宋"/>
          <w:sz w:val="32"/>
          <w:szCs w:val="32"/>
        </w:rPr>
        <w:t>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主要原因是：无公务接待费支出。</w:t>
      </w:r>
      <w:r>
        <w:rPr>
          <w:rFonts w:hint="eastAsia" w:ascii="仿宋" w:hAnsi="仿宋" w:eastAsia="仿宋" w:cs="仿宋"/>
          <w:sz w:val="32"/>
          <w:szCs w:val="32"/>
        </w:rPr>
        <w:t>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default" w:ascii="仿宋" w:hAnsi="仿宋" w:eastAsia="仿宋" w:cs="仿宋"/>
          <w:sz w:val="32"/>
          <w:szCs w:val="32"/>
          <w:lang w:val="en"/>
        </w:rPr>
        <w:t>0.00</w:t>
      </w:r>
      <w:r>
        <w:rPr>
          <w:rFonts w:hint="eastAsia" w:ascii="仿宋" w:hAnsi="仿宋" w:eastAsia="仿宋" w:cs="仿宋"/>
          <w:sz w:val="32"/>
          <w:szCs w:val="32"/>
        </w:rPr>
        <w:t>万元，</w:t>
      </w:r>
      <w:r>
        <w:rPr>
          <w:rFonts w:ascii="仿宋" w:hAnsi="仿宋" w:eastAsia="仿宋" w:cs="仿宋"/>
          <w:sz w:val="32"/>
          <w:szCs w:val="32"/>
        </w:rPr>
        <w:t>下降</w:t>
      </w:r>
      <w:r>
        <w:rPr>
          <w:rFonts w:hint="default" w:ascii="仿宋" w:hAnsi="仿宋" w:eastAsia="仿宋" w:cs="仿宋"/>
          <w:sz w:val="32"/>
          <w:szCs w:val="32"/>
          <w:lang w:val="en"/>
        </w:rPr>
        <w:t>0.00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w:t>
      </w:r>
      <w:r>
        <w:rPr>
          <w:rFonts w:ascii="仿宋" w:hAnsi="仿宋" w:eastAsia="仿宋" w:cs="仿宋"/>
          <w:sz w:val="32"/>
          <w:szCs w:val="32"/>
        </w:rPr>
        <w:t>022</w:t>
      </w:r>
      <w:r>
        <w:rPr>
          <w:rFonts w:hint="eastAsia" w:ascii="仿宋" w:hAnsi="仿宋" w:eastAsia="仿宋" w:cs="仿宋"/>
          <w:sz w:val="32"/>
          <w:szCs w:val="32"/>
        </w:rPr>
        <w:t>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本部门2022年度政府采购支出总额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台（套）；单位价值100万元以上专用设备0（套）。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根据财政预算管理要求，本部门组织对2022年度一般公共预算项目支出全面开展绩效自评。其中，一等项目</w:t>
      </w:r>
      <w:r>
        <w:rPr>
          <w:rFonts w:ascii="仿宋" w:hAnsi="仿宋" w:eastAsia="仿宋" w:cs="仿宋"/>
          <w:sz w:val="32"/>
          <w:szCs w:val="32"/>
        </w:rPr>
        <w:t>13</w:t>
      </w:r>
      <w:r>
        <w:rPr>
          <w:rFonts w:hint="eastAsia" w:ascii="仿宋" w:hAnsi="仿宋" w:eastAsia="仿宋" w:cs="仿宋"/>
          <w:sz w:val="32"/>
          <w:szCs w:val="32"/>
        </w:rPr>
        <w:t>个，二等项目</w:t>
      </w:r>
      <w:r>
        <w:rPr>
          <w:rFonts w:ascii="仿宋" w:hAnsi="仿宋" w:eastAsia="仿宋" w:cs="仿宋"/>
          <w:sz w:val="32"/>
          <w:szCs w:val="32"/>
        </w:rPr>
        <w:t>1</w:t>
      </w:r>
      <w:r>
        <w:rPr>
          <w:rFonts w:hint="eastAsia" w:ascii="仿宋" w:hAnsi="仿宋" w:eastAsia="仿宋" w:cs="仿宋"/>
          <w:sz w:val="32"/>
          <w:szCs w:val="32"/>
        </w:rPr>
        <w:t>个，共涉及资金</w:t>
      </w:r>
      <w:r>
        <w:rPr>
          <w:rFonts w:ascii="仿宋" w:hAnsi="仿宋" w:eastAsia="仿宋" w:cs="仿宋"/>
          <w:sz w:val="32"/>
          <w:szCs w:val="32"/>
        </w:rPr>
        <w:t>180.09</w:t>
      </w:r>
      <w:r>
        <w:rPr>
          <w:rFonts w:hint="eastAsia" w:ascii="仿宋" w:hAnsi="仿宋" w:eastAsia="仿宋" w:cs="仿宋"/>
          <w:sz w:val="32"/>
          <w:szCs w:val="32"/>
        </w:rPr>
        <w:t>万元，占一般公共预算项目支出总额的</w:t>
      </w:r>
      <w:r>
        <w:rPr>
          <w:rFonts w:ascii="仿宋" w:hAnsi="仿宋" w:eastAsia="仿宋" w:cs="仿宋"/>
          <w:sz w:val="32"/>
          <w:szCs w:val="32"/>
        </w:rPr>
        <w:t>99.34</w:t>
      </w:r>
      <w:r>
        <w:rPr>
          <w:rFonts w:hint="eastAsia" w:ascii="仿宋" w:hAnsi="仿宋" w:eastAsia="仿宋" w:cs="仿宋"/>
          <w:sz w:val="32"/>
          <w:szCs w:val="32"/>
        </w:rPr>
        <w:t>%。组织对2022年度</w:t>
      </w:r>
      <w:r>
        <w:rPr>
          <w:rFonts w:ascii="仿宋" w:hAnsi="仿宋" w:eastAsia="仿宋" w:cs="仿宋"/>
          <w:sz w:val="32"/>
          <w:szCs w:val="32"/>
        </w:rPr>
        <w:t>0</w:t>
      </w:r>
      <w:r>
        <w:rPr>
          <w:rFonts w:hint="eastAsia" w:ascii="仿宋" w:hAnsi="仿宋" w:eastAsia="仿宋" w:cs="仿宋"/>
          <w:sz w:val="32"/>
          <w:szCs w:val="32"/>
        </w:rPr>
        <w:t>等个政府性基金预算项目支出开展绩效自评，共涉及资金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万元，占政府性基金预算项目支出总额的</w:t>
      </w:r>
      <w:r>
        <w:rPr>
          <w:rFonts w:ascii="仿宋" w:hAnsi="仿宋" w:eastAsia="仿宋" w:cs="仿宋"/>
          <w:sz w:val="32"/>
          <w:szCs w:val="32"/>
        </w:rPr>
        <w:t>0</w:t>
      </w:r>
      <w:r>
        <w:rPr>
          <w:rFonts w:hint="eastAsia" w:ascii="仿宋" w:hAnsi="仿宋" w:eastAsia="仿宋" w:cs="仿宋"/>
          <w:sz w:val="32"/>
          <w:szCs w:val="32"/>
        </w:rPr>
        <w:t>%。组织对2022年度</w:t>
      </w:r>
      <w:r>
        <w:rPr>
          <w:rFonts w:ascii="仿宋" w:hAnsi="仿宋" w:eastAsia="仿宋" w:cs="仿宋"/>
          <w:sz w:val="32"/>
          <w:szCs w:val="32"/>
        </w:rPr>
        <w:t>0</w:t>
      </w:r>
      <w:r>
        <w:rPr>
          <w:rFonts w:hint="eastAsia" w:ascii="仿宋" w:hAnsi="仿宋" w:eastAsia="仿宋" w:cs="仿宋"/>
          <w:sz w:val="32"/>
          <w:szCs w:val="32"/>
        </w:rPr>
        <w:t>等</w:t>
      </w:r>
      <w:r>
        <w:rPr>
          <w:rFonts w:ascii="仿宋" w:hAnsi="仿宋" w:eastAsia="仿宋" w:cs="仿宋"/>
          <w:sz w:val="32"/>
          <w:szCs w:val="32"/>
        </w:rPr>
        <w:t>0</w:t>
      </w:r>
      <w:r>
        <w:rPr>
          <w:rFonts w:hint="eastAsia" w:ascii="仿宋" w:hAnsi="仿宋" w:eastAsia="仿宋" w:cs="仿宋"/>
          <w:sz w:val="32"/>
          <w:szCs w:val="32"/>
        </w:rPr>
        <w:t>个国有资本经营预算项目支出开展绩效自评，共涉及资金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万元，占国有资本经营预算项目支出总额的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组织对“班主任津贴”等</w:t>
      </w:r>
      <w:r>
        <w:rPr>
          <w:rFonts w:ascii="仿宋" w:hAnsi="仿宋" w:eastAsia="仿宋" w:cs="仿宋"/>
          <w:sz w:val="32"/>
          <w:szCs w:val="32"/>
        </w:rPr>
        <w:t>14</w:t>
      </w:r>
      <w:r>
        <w:rPr>
          <w:rFonts w:hint="eastAsia" w:ascii="仿宋" w:hAnsi="仿宋" w:eastAsia="仿宋" w:cs="仿宋"/>
          <w:sz w:val="32"/>
          <w:szCs w:val="32"/>
        </w:rPr>
        <w:t>个项目进行了部门评价，涉及一般公共预算支出</w:t>
      </w:r>
      <w:r>
        <w:rPr>
          <w:rFonts w:ascii="仿宋" w:hAnsi="仿宋" w:eastAsia="仿宋" w:cs="仿宋"/>
          <w:sz w:val="32"/>
          <w:szCs w:val="32"/>
        </w:rPr>
        <w:t>180.09</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w:t>
      </w:r>
      <w:r>
        <w:rPr>
          <w:rFonts w:ascii="仿宋" w:hAnsi="仿宋" w:eastAsia="仿宋" w:cs="仿宋"/>
          <w:sz w:val="32"/>
          <w:szCs w:val="32"/>
        </w:rPr>
        <w:t>14</w:t>
      </w:r>
      <w:r>
        <w:rPr>
          <w:rFonts w:hint="eastAsia" w:ascii="仿宋" w:hAnsi="仿宋" w:eastAsia="仿宋" w:cs="仿宋"/>
          <w:sz w:val="32"/>
          <w:szCs w:val="32"/>
        </w:rPr>
        <w:t>个部门（单位）开展整体支出绩效评价试点，涉及一般公共预算支出</w:t>
      </w:r>
      <w:r>
        <w:rPr>
          <w:rFonts w:ascii="仿宋" w:hAnsi="仿宋" w:eastAsia="仿宋" w:cs="仿宋"/>
          <w:sz w:val="32"/>
          <w:szCs w:val="32"/>
        </w:rPr>
        <w:t>180.09</w:t>
      </w:r>
      <w:r>
        <w:rPr>
          <w:rFonts w:hint="eastAsia" w:ascii="仿宋" w:hAnsi="仿宋" w:eastAsia="仿宋" w:cs="仿宋"/>
          <w:sz w:val="32"/>
          <w:szCs w:val="32"/>
        </w:rPr>
        <w:t>万元，政府性基金预算支出</w:t>
      </w:r>
      <w:r>
        <w:rPr>
          <w:rFonts w:ascii="仿宋" w:hAnsi="仿宋" w:eastAsia="仿宋" w:cs="仿宋"/>
          <w:sz w:val="32"/>
          <w:szCs w:val="32"/>
        </w:rPr>
        <w:t>0</w:t>
      </w:r>
      <w:r>
        <w:rPr>
          <w:rFonts w:hint="eastAsia" w:ascii="仿宋" w:hAnsi="仿宋" w:eastAsia="仿宋" w:cs="仿宋"/>
          <w:sz w:val="32"/>
          <w:szCs w:val="32"/>
        </w:rPr>
        <w:t>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我部门根据年初设定的绩效目标，</w:t>
      </w:r>
      <w:bookmarkStart w:id="11" w:name="_Hlk151217930"/>
      <w:r>
        <w:rPr>
          <w:rFonts w:hint="eastAsia" w:ascii="仿宋" w:hAnsi="仿宋" w:eastAsia="仿宋" w:cs="仿宋"/>
          <w:sz w:val="32"/>
          <w:szCs w:val="32"/>
        </w:rPr>
        <w:t>班主任津贴项目自评得分为</w:t>
      </w:r>
      <w:r>
        <w:rPr>
          <w:rFonts w:ascii="仿宋" w:hAnsi="仿宋" w:eastAsia="仿宋" w:cs="仿宋"/>
          <w:sz w:val="32"/>
          <w:szCs w:val="32"/>
        </w:rPr>
        <w:t>95</w:t>
      </w:r>
      <w:r>
        <w:rPr>
          <w:rFonts w:hint="eastAsia" w:ascii="仿宋" w:hAnsi="仿宋" w:eastAsia="仿宋" w:cs="仿宋"/>
          <w:sz w:val="32"/>
          <w:szCs w:val="32"/>
        </w:rPr>
        <w:t>分。发现的主要问题及原因：下半年的班主任津贴未能及时支付。下一步改进措施：及时整理材料，按时完成全年进度。奖励性补贴项目自评得分为</w:t>
      </w:r>
      <w:r>
        <w:rPr>
          <w:rFonts w:ascii="仿宋" w:hAnsi="仿宋" w:eastAsia="仿宋" w:cs="仿宋"/>
          <w:sz w:val="32"/>
          <w:szCs w:val="32"/>
        </w:rPr>
        <w:t>99.7</w:t>
      </w:r>
      <w:r>
        <w:rPr>
          <w:rFonts w:hint="eastAsia" w:ascii="仿宋" w:hAnsi="仿宋" w:eastAsia="仿宋" w:cs="仿宋"/>
          <w:sz w:val="32"/>
          <w:szCs w:val="32"/>
        </w:rPr>
        <w:t>分。发现的主要问题及原因：2022年9月新进6名公招人员，不得满额发放。下一步改进措施：合理编制预算并认真执行;科学安排资金，加快预算执行进度,严格预算约束。</w:t>
      </w:r>
      <w:bookmarkEnd w:id="11"/>
      <w:r>
        <w:rPr>
          <w:rFonts w:hint="eastAsia" w:ascii="仿宋" w:hAnsi="仿宋" w:eastAsia="仿宋" w:cs="仿宋"/>
          <w:sz w:val="32"/>
          <w:szCs w:val="32"/>
        </w:rPr>
        <w:t>普惠性民办幼儿园奖补中央补助资金项目自评得分为</w:t>
      </w:r>
      <w:r>
        <w:rPr>
          <w:rFonts w:ascii="仿宋" w:hAnsi="仿宋" w:eastAsia="仿宋" w:cs="仿宋"/>
          <w:sz w:val="32"/>
          <w:szCs w:val="32"/>
        </w:rPr>
        <w:t>97.64</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分。发现的主要问题及原因：辖区内普惠性民办幼儿园未能及时整理报账材料。下一步改进措施：一是做好民办幼儿园整理报账材料的培训；二是加快资金进度安排。教师节经费项目自评得分为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分。发现的主要问题及原因：无。下一步改进措施：无。伙食补助项目自评得分为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分。发现的主要问题及原因：无。下一步改进措施：无。学前教育保育费项目自评得分为</w:t>
      </w:r>
      <w:r>
        <w:rPr>
          <w:rFonts w:ascii="仿宋" w:hAnsi="仿宋" w:eastAsia="仿宋" w:cs="仿宋"/>
          <w:sz w:val="32"/>
          <w:szCs w:val="32"/>
        </w:rPr>
        <w:t>99.58</w:t>
      </w:r>
      <w:r>
        <w:rPr>
          <w:rFonts w:hint="eastAsia" w:ascii="仿宋" w:hAnsi="仿宋" w:eastAsia="仿宋" w:cs="仿宋"/>
          <w:sz w:val="32"/>
          <w:szCs w:val="32"/>
        </w:rPr>
        <w:t>分。发现的主要问题及原因：部分报账材料未能及时整理。下一步改进措施：及时整理报账材料，完成年度资金进度安排。学前教育免除保教费中央补助资金项目自评得分为</w:t>
      </w:r>
      <w:r>
        <w:rPr>
          <w:rFonts w:ascii="仿宋" w:hAnsi="仿宋" w:eastAsia="仿宋" w:cs="仿宋"/>
          <w:sz w:val="32"/>
          <w:szCs w:val="32"/>
        </w:rPr>
        <w:t>99.86</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教育免除保教育费自治区补助资金项目自评得分为</w:t>
      </w:r>
      <w:r>
        <w:rPr>
          <w:rFonts w:ascii="仿宋" w:hAnsi="仿宋" w:eastAsia="仿宋" w:cs="仿宋"/>
          <w:sz w:val="32"/>
          <w:szCs w:val="32"/>
        </w:rPr>
        <w:t>97.78</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教育免保教费县本级补助资金项目自评得分为</w:t>
      </w:r>
      <w:r>
        <w:rPr>
          <w:rFonts w:ascii="仿宋" w:hAnsi="仿宋" w:eastAsia="仿宋" w:cs="仿宋"/>
          <w:sz w:val="32"/>
          <w:szCs w:val="32"/>
        </w:rPr>
        <w:t>98.87</w:t>
      </w:r>
      <w:r>
        <w:rPr>
          <w:rFonts w:hint="eastAsia" w:ascii="仿宋" w:hAnsi="仿宋" w:eastAsia="仿宋" w:cs="仿宋"/>
          <w:sz w:val="32"/>
          <w:szCs w:val="32"/>
        </w:rPr>
        <w:t>分。发现的主要问题及原因：辖区内普惠性民办幼儿园未能及时整理报账材料。下一步改进措施：一是做好民办幼儿园整理报账材料的培训；二是加快资金进度安排。学前生均公用经费项目自评得分为</w:t>
      </w:r>
      <w:r>
        <w:rPr>
          <w:rFonts w:ascii="仿宋" w:hAnsi="仿宋" w:eastAsia="仿宋" w:cs="仿宋"/>
          <w:sz w:val="32"/>
          <w:szCs w:val="32"/>
        </w:rPr>
        <w:t>99.54</w:t>
      </w:r>
      <w:r>
        <w:rPr>
          <w:rFonts w:hint="eastAsia" w:ascii="仿宋" w:hAnsi="仿宋" w:eastAsia="仿宋" w:cs="仿宋"/>
          <w:sz w:val="32"/>
          <w:szCs w:val="32"/>
        </w:rPr>
        <w:t>分。发现的主要问题及原因：部分报账材料未能及时整理。下一步改进措施：及时整理报账材料，完成年度资金进度安排。环江县第三幼儿园2022年年初预算经费(保育教育费)项目自评得分为</w:t>
      </w:r>
      <w:r>
        <w:rPr>
          <w:rFonts w:ascii="仿宋" w:hAnsi="仿宋" w:eastAsia="仿宋" w:cs="仿宋"/>
          <w:sz w:val="32"/>
          <w:szCs w:val="32"/>
        </w:rPr>
        <w:t>95.66</w:t>
      </w:r>
      <w:r>
        <w:rPr>
          <w:rFonts w:hint="eastAsia" w:ascii="仿宋" w:hAnsi="仿宋" w:eastAsia="仿宋" w:cs="仿宋"/>
          <w:sz w:val="32"/>
          <w:szCs w:val="32"/>
        </w:rPr>
        <w:t>分。发现的主要问题及原因：部分报账材料未能及时整理。下一步改进措施：及时整理报账材料，完成年度资金进度安排。学前教育质量提升资金项目自评得分为</w:t>
      </w:r>
      <w:r>
        <w:rPr>
          <w:rFonts w:ascii="仿宋" w:hAnsi="仿宋" w:eastAsia="仿宋" w:cs="仿宋"/>
          <w:sz w:val="32"/>
          <w:szCs w:val="32"/>
        </w:rPr>
        <w:t>84.14</w:t>
      </w:r>
      <w:r>
        <w:rPr>
          <w:rFonts w:hint="eastAsia" w:ascii="仿宋" w:hAnsi="仿宋" w:eastAsia="仿宋" w:cs="仿宋"/>
          <w:sz w:val="32"/>
          <w:szCs w:val="32"/>
        </w:rPr>
        <w:t>分。发现的主要问题及原因：部分报账材料未能及时整理。下一步改进措施：及时整理报账材料，完成年度资金进度安排。全县校长绩效工资项目自评得分为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分。发现的主要问题及原因：无。下一步改进措施：无。普惠幼儿园奖补县本级奖补资金项目自评得分为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w:t>
      </w: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10C9"/>
    <w:rsid w:val="000E3737"/>
    <w:rsid w:val="000E5855"/>
    <w:rsid w:val="001418A5"/>
    <w:rsid w:val="00147D40"/>
    <w:rsid w:val="00156EF2"/>
    <w:rsid w:val="001B04D9"/>
    <w:rsid w:val="001B318A"/>
    <w:rsid w:val="001D7B97"/>
    <w:rsid w:val="00210E20"/>
    <w:rsid w:val="00223F38"/>
    <w:rsid w:val="00226BB1"/>
    <w:rsid w:val="00227935"/>
    <w:rsid w:val="00233613"/>
    <w:rsid w:val="002371CC"/>
    <w:rsid w:val="00254DBE"/>
    <w:rsid w:val="00275CAB"/>
    <w:rsid w:val="0027657A"/>
    <w:rsid w:val="0028709C"/>
    <w:rsid w:val="0029328F"/>
    <w:rsid w:val="002B2731"/>
    <w:rsid w:val="002E5E53"/>
    <w:rsid w:val="00382867"/>
    <w:rsid w:val="003A4973"/>
    <w:rsid w:val="003C1C96"/>
    <w:rsid w:val="003C69F8"/>
    <w:rsid w:val="003E40BA"/>
    <w:rsid w:val="003E7165"/>
    <w:rsid w:val="004034CB"/>
    <w:rsid w:val="0041579D"/>
    <w:rsid w:val="00427074"/>
    <w:rsid w:val="00434D04"/>
    <w:rsid w:val="00445B79"/>
    <w:rsid w:val="0045240F"/>
    <w:rsid w:val="004658F5"/>
    <w:rsid w:val="004B658D"/>
    <w:rsid w:val="004C4D73"/>
    <w:rsid w:val="004D72FF"/>
    <w:rsid w:val="004D7D0E"/>
    <w:rsid w:val="005234F5"/>
    <w:rsid w:val="005263D8"/>
    <w:rsid w:val="00531745"/>
    <w:rsid w:val="00546C04"/>
    <w:rsid w:val="005536F7"/>
    <w:rsid w:val="0055485E"/>
    <w:rsid w:val="00574196"/>
    <w:rsid w:val="00577668"/>
    <w:rsid w:val="005B454B"/>
    <w:rsid w:val="00606193"/>
    <w:rsid w:val="006123AD"/>
    <w:rsid w:val="00620422"/>
    <w:rsid w:val="00645B83"/>
    <w:rsid w:val="00646978"/>
    <w:rsid w:val="0066173C"/>
    <w:rsid w:val="0067720A"/>
    <w:rsid w:val="006916EC"/>
    <w:rsid w:val="006B1CF3"/>
    <w:rsid w:val="006B3A03"/>
    <w:rsid w:val="006D0396"/>
    <w:rsid w:val="006D677A"/>
    <w:rsid w:val="006F185D"/>
    <w:rsid w:val="006F5799"/>
    <w:rsid w:val="007640BB"/>
    <w:rsid w:val="00771953"/>
    <w:rsid w:val="00776E0B"/>
    <w:rsid w:val="007A0641"/>
    <w:rsid w:val="007A2166"/>
    <w:rsid w:val="007C52E7"/>
    <w:rsid w:val="007C54EA"/>
    <w:rsid w:val="007C776D"/>
    <w:rsid w:val="007D7CE3"/>
    <w:rsid w:val="007E2F6C"/>
    <w:rsid w:val="00817C69"/>
    <w:rsid w:val="00823A94"/>
    <w:rsid w:val="00824151"/>
    <w:rsid w:val="008315A9"/>
    <w:rsid w:val="00834354"/>
    <w:rsid w:val="008811A5"/>
    <w:rsid w:val="00895B73"/>
    <w:rsid w:val="008E3C04"/>
    <w:rsid w:val="008F1B95"/>
    <w:rsid w:val="008F4AE2"/>
    <w:rsid w:val="008F6882"/>
    <w:rsid w:val="009142F1"/>
    <w:rsid w:val="00934C72"/>
    <w:rsid w:val="00946CCF"/>
    <w:rsid w:val="009518BB"/>
    <w:rsid w:val="009665E2"/>
    <w:rsid w:val="0097368A"/>
    <w:rsid w:val="0097721B"/>
    <w:rsid w:val="009814E9"/>
    <w:rsid w:val="009831F8"/>
    <w:rsid w:val="009B3E00"/>
    <w:rsid w:val="009D1667"/>
    <w:rsid w:val="009F1138"/>
    <w:rsid w:val="00A036DA"/>
    <w:rsid w:val="00A07CCE"/>
    <w:rsid w:val="00A1532B"/>
    <w:rsid w:val="00A15D2A"/>
    <w:rsid w:val="00A27624"/>
    <w:rsid w:val="00A358E6"/>
    <w:rsid w:val="00A575AA"/>
    <w:rsid w:val="00AA59F5"/>
    <w:rsid w:val="00AA5A1B"/>
    <w:rsid w:val="00AA78EE"/>
    <w:rsid w:val="00AB53E1"/>
    <w:rsid w:val="00AC47DC"/>
    <w:rsid w:val="00AE5F66"/>
    <w:rsid w:val="00B07A0B"/>
    <w:rsid w:val="00B07B3F"/>
    <w:rsid w:val="00B13A25"/>
    <w:rsid w:val="00B22F28"/>
    <w:rsid w:val="00B37453"/>
    <w:rsid w:val="00B45479"/>
    <w:rsid w:val="00B60171"/>
    <w:rsid w:val="00B837AC"/>
    <w:rsid w:val="00BB4FB8"/>
    <w:rsid w:val="00BB6D86"/>
    <w:rsid w:val="00BD315D"/>
    <w:rsid w:val="00C02BB7"/>
    <w:rsid w:val="00C3279E"/>
    <w:rsid w:val="00C34857"/>
    <w:rsid w:val="00C74217"/>
    <w:rsid w:val="00C905EE"/>
    <w:rsid w:val="00C90E9E"/>
    <w:rsid w:val="00C94E2B"/>
    <w:rsid w:val="00CA2E26"/>
    <w:rsid w:val="00CE6609"/>
    <w:rsid w:val="00D00918"/>
    <w:rsid w:val="00D14326"/>
    <w:rsid w:val="00D772CC"/>
    <w:rsid w:val="00D84F30"/>
    <w:rsid w:val="00D878A6"/>
    <w:rsid w:val="00DB73F4"/>
    <w:rsid w:val="00DC76C1"/>
    <w:rsid w:val="00DE74BD"/>
    <w:rsid w:val="00DE7D07"/>
    <w:rsid w:val="00E31F7B"/>
    <w:rsid w:val="00E837F6"/>
    <w:rsid w:val="00EB7822"/>
    <w:rsid w:val="00EC50A9"/>
    <w:rsid w:val="00ED04DB"/>
    <w:rsid w:val="00EE0C96"/>
    <w:rsid w:val="00F21455"/>
    <w:rsid w:val="00F5354B"/>
    <w:rsid w:val="00F552CC"/>
    <w:rsid w:val="00F90667"/>
    <w:rsid w:val="00F95135"/>
    <w:rsid w:val="00F9658C"/>
    <w:rsid w:val="00F978FD"/>
    <w:rsid w:val="00FA738E"/>
    <w:rsid w:val="00FC16A5"/>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62902AF"/>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4F35A3E7"/>
    <w:rsid w:val="508F4E24"/>
    <w:rsid w:val="51461E90"/>
    <w:rsid w:val="51463753"/>
    <w:rsid w:val="52553A93"/>
    <w:rsid w:val="53521F8B"/>
    <w:rsid w:val="53E22F47"/>
    <w:rsid w:val="54522FF8"/>
    <w:rsid w:val="55450629"/>
    <w:rsid w:val="56692963"/>
    <w:rsid w:val="568B0F48"/>
    <w:rsid w:val="5710107B"/>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57F7E9D"/>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290.83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90</c:v>
                </c:pt>
                <c:pt idx="5">
                  <c:v>0</c:v>
                </c:pt>
                <c:pt idx="6">
                  <c:v>0</c:v>
                </c:pt>
                <c:pt idx="7">
                  <c:v>0</c:v>
                </c:pt>
                <c:pt idx="8">
                  <c:v>0.02</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177.68</c:v>
                </c:pt>
                <c:pt idx="2">
                  <c:v>7.17</c:v>
                </c:pt>
                <c:pt idx="3">
                  <c:v>3.13</c:v>
                </c:pt>
                <c:pt idx="4">
                  <c:v>7.84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1.44</c:v>
                </c:pt>
                <c:pt idx="1">
                  <c:v>264.14</c:v>
                </c:pt>
                <c:pt idx="2">
                  <c:v>11.3</c:v>
                </c:pt>
                <c:pt idx="3">
                  <c:v>7.34</c:v>
                </c:pt>
                <c:pt idx="4">
                  <c:v>6.62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1.44</c:v>
                </c:pt>
                <c:pt idx="1">
                  <c:v>1.44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2050201</c:v>
                </c:pt>
                <c:pt idx="1">
                  <c:v>2050299</c:v>
                </c:pt>
                <c:pt idx="2">
                  <c:v>205x</c:v>
                </c:pt>
              </c:strCache>
            </c:strRef>
          </c:cat>
          <c:val>
            <c:numRef>
              <c:f>Sheet1!$B$2:$B$4</c:f>
              <c:numCache>
                <c:formatCode>General</c:formatCode>
                <c:ptCount val="3"/>
                <c:pt idx="0">
                  <c:v>243.03</c:v>
                </c:pt>
                <c:pt idx="1">
                  <c:v>21.12</c:v>
                </c:pt>
                <c:pt idx="2">
                  <c:v>264.14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11.3</c:v>
                </c:pt>
                <c:pt idx="1">
                  <c:v>11.3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7.34</c:v>
                </c:pt>
                <c:pt idx="1">
                  <c:v>7.34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6.62</c:v>
                </c:pt>
                <c:pt idx="1">
                  <c:v>6.62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63.02</c:v>
                </c:pt>
                <c:pt idx="1">
                  <c:v>3.15</c:v>
                </c:pt>
                <c:pt idx="2">
                  <c:v>12.05</c:v>
                </c:pt>
                <c:pt idx="3">
                  <c:v>0</c:v>
                </c:pt>
                <c:pt idx="4">
                  <c:v>18.46</c:v>
                </c:pt>
                <c:pt idx="5">
                  <c:v>11.3</c:v>
                </c:pt>
                <c:pt idx="6">
                  <c:v>0</c:v>
                </c:pt>
                <c:pt idx="7">
                  <c:v>5.64</c:v>
                </c:pt>
                <c:pt idx="8">
                  <c:v>0</c:v>
                </c:pt>
                <c:pt idx="9">
                  <c:v>0.58</c:v>
                </c:pt>
                <c:pt idx="10">
                  <c:v>7.34</c:v>
                </c:pt>
                <c:pt idx="11">
                  <c:v>0</c:v>
                </c:pt>
                <c:pt idx="12">
                  <c:v>0.3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4.45</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17.13</c:v>
                </c:pt>
                <c:pt idx="20">
                  <c:v>0</c:v>
                </c:pt>
                <c:pt idx="21">
                  <c:v>1.44</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2655</Words>
  <Characters>15139</Characters>
  <Lines>126</Lines>
  <Paragraphs>35</Paragraphs>
  <TotalTime>1</TotalTime>
  <ScaleCrop>false</ScaleCrop>
  <LinksUpToDate>false</LinksUpToDate>
  <CharactersWithSpaces>17759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2023-11-20T08:32:00Z</cp:lastPrinted>
  <dcterms:modified xsi:type="dcterms:W3CDTF">2023-11-28T08:08:41Z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AB39B93F7D76405DB80362C81FFF8051_13</vt:lpwstr>
  </property>
</Properties>
</file>