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环江毛南族自治县第四初级中学2022年度部门决算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环江毛南族自治县第四初级中学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环江毛南族自治县第四初级中学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环江毛南族自治县第四初级中学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环江毛南族自治县第四初级中学</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6"/>
        <w:rPr>
          <w:rFonts w:hint="eastAsia" w:ascii="仿宋_GB2312" w:eastAsia="仿宋_GB2312"/>
          <w:b/>
          <w:bCs/>
          <w:sz w:val="32"/>
          <w:szCs w:val="32"/>
        </w:rPr>
      </w:pPr>
      <w:r>
        <w:rPr>
          <w:rFonts w:hint="eastAsia" w:ascii="仿宋_GB2312" w:eastAsia="仿宋_GB2312"/>
          <w:b/>
          <w:bCs/>
          <w:sz w:val="32"/>
          <w:szCs w:val="32"/>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w:t>
      </w:r>
      <w:r>
        <w:rPr>
          <w:rFonts w:hint="eastAsia" w:ascii="仿宋_GB2312" w:eastAsia="仿宋_GB2312" w:cs="仿宋_GB2312"/>
          <w:kern w:val="0"/>
          <w:sz w:val="32"/>
          <w:szCs w:val="32"/>
          <w:lang w:val="en-US" w:eastAsia="zh-CN"/>
        </w:rPr>
        <w:t>推进</w:t>
      </w:r>
      <w:r>
        <w:rPr>
          <w:rFonts w:hint="eastAsia" w:ascii="仿宋_GB2312" w:eastAsia="仿宋_GB2312" w:cs="仿宋_GB2312"/>
          <w:kern w:val="0"/>
          <w:sz w:val="32"/>
          <w:szCs w:val="32"/>
        </w:rPr>
        <w:t>教育</w:t>
      </w:r>
      <w:r>
        <w:rPr>
          <w:rFonts w:hint="eastAsia" w:ascii="仿宋_GB2312" w:eastAsia="仿宋_GB2312" w:cs="仿宋_GB2312"/>
          <w:kern w:val="0"/>
          <w:sz w:val="32"/>
          <w:szCs w:val="32"/>
          <w:lang w:val="en-US" w:eastAsia="zh-CN"/>
        </w:rPr>
        <w:t>教学</w:t>
      </w:r>
      <w:r>
        <w:rPr>
          <w:rFonts w:hint="eastAsia" w:ascii="仿宋_GB2312" w:eastAsia="仿宋_GB2312" w:cs="仿宋_GB2312"/>
          <w:kern w:val="0"/>
          <w:sz w:val="32"/>
          <w:szCs w:val="32"/>
        </w:rPr>
        <w:t>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教育事业发展规划并检查实施情况，向上级教育部门作出报告。</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（三）贯彻执行教育方针、政策、法令、法规和上级的各项规定；评估指导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（四）负责推进义务教育均衡发展和促进教育公平，负责</w:t>
      </w:r>
      <w:r>
        <w:rPr>
          <w:rFonts w:hint="eastAsia" w:ascii="仿宋_GB2312" w:eastAsia="仿宋_GB2312" w:cs="仿宋_GB2312"/>
          <w:kern w:val="0"/>
          <w:sz w:val="32"/>
          <w:szCs w:val="32"/>
          <w:lang w:val="en-US" w:eastAsia="zh-CN"/>
        </w:rPr>
        <w:t>学校执行义务</w:t>
      </w:r>
      <w:r>
        <w:rPr>
          <w:rFonts w:hint="eastAsia" w:ascii="仿宋_GB2312" w:eastAsia="仿宋_GB2312" w:cs="仿宋_GB2312"/>
          <w:kern w:val="0"/>
          <w:sz w:val="32"/>
          <w:szCs w:val="32"/>
        </w:rPr>
        <w:t>教育的宏观指导与协调</w:t>
      </w:r>
      <w:r>
        <w:rPr>
          <w:rFonts w:hint="eastAsia" w:ascii="仿宋_GB2312" w:eastAsia="仿宋_GB2312" w:cs="仿宋_GB2312"/>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（五）负责全</w:t>
      </w:r>
      <w:r>
        <w:rPr>
          <w:rFonts w:hint="eastAsia" w:ascii="仿宋_GB2312" w:eastAsia="仿宋_GB2312" w:cs="仿宋_GB2312"/>
          <w:kern w:val="0"/>
          <w:sz w:val="32"/>
          <w:szCs w:val="32"/>
          <w:lang w:val="en-US" w:eastAsia="zh-CN"/>
        </w:rPr>
        <w:t>校</w:t>
      </w:r>
      <w:r>
        <w:rPr>
          <w:rFonts w:hint="eastAsia" w:ascii="仿宋_GB2312" w:eastAsia="仿宋_GB2312" w:cs="仿宋_GB2312"/>
          <w:kern w:val="0"/>
          <w:sz w:val="32"/>
          <w:szCs w:val="32"/>
        </w:rPr>
        <w:t>教师队伍建设，包括</w:t>
      </w:r>
      <w:r>
        <w:rPr>
          <w:rFonts w:hint="eastAsia" w:ascii="仿宋_GB2312" w:eastAsia="仿宋_GB2312" w:cs="仿宋_GB2312"/>
          <w:kern w:val="0"/>
          <w:sz w:val="32"/>
          <w:szCs w:val="32"/>
          <w:lang w:val="en-US" w:eastAsia="zh-CN"/>
        </w:rPr>
        <w:t>教师业务</w:t>
      </w:r>
      <w:r>
        <w:rPr>
          <w:rFonts w:hint="eastAsia" w:ascii="仿宋_GB2312" w:eastAsia="仿宋_GB2312" w:cs="仿宋_GB2312"/>
          <w:kern w:val="0"/>
          <w:sz w:val="32"/>
          <w:szCs w:val="32"/>
        </w:rPr>
        <w:t>培训、</w:t>
      </w:r>
      <w:r>
        <w:rPr>
          <w:rFonts w:hint="eastAsia" w:ascii="仿宋_GB2312" w:eastAsia="仿宋_GB2312" w:cs="仿宋_GB2312"/>
          <w:kern w:val="0"/>
          <w:sz w:val="32"/>
          <w:szCs w:val="32"/>
          <w:lang w:val="en-US" w:eastAsia="zh-CN"/>
        </w:rPr>
        <w:t>队</w:t>
      </w:r>
      <w:r>
        <w:rPr>
          <w:rFonts w:hint="eastAsia" w:ascii="仿宋_GB2312" w:eastAsia="仿宋_GB2312" w:cs="仿宋_GB2312"/>
          <w:kern w:val="0"/>
          <w:sz w:val="32"/>
          <w:szCs w:val="32"/>
        </w:rPr>
        <w:t>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（六）负责组织</w:t>
      </w:r>
      <w:r>
        <w:rPr>
          <w:rFonts w:hint="eastAsia" w:ascii="仿宋_GB2312" w:eastAsia="仿宋_GB2312" w:cs="仿宋_GB2312"/>
          <w:kern w:val="0"/>
          <w:sz w:val="32"/>
          <w:szCs w:val="32"/>
          <w:lang w:val="en-US" w:eastAsia="zh-CN"/>
        </w:rPr>
        <w:t>做好学生各期考试、</w:t>
      </w:r>
      <w:r>
        <w:rPr>
          <w:rFonts w:hint="eastAsia" w:ascii="仿宋_GB2312" w:eastAsia="仿宋_GB2312" w:cs="仿宋_GB2312"/>
          <w:kern w:val="0"/>
          <w:sz w:val="32"/>
          <w:szCs w:val="32"/>
        </w:rPr>
        <w:t>招生录取工作和学</w:t>
      </w:r>
      <w:r>
        <w:rPr>
          <w:rFonts w:hint="eastAsia" w:ascii="仿宋_GB2312" w:eastAsia="仿宋_GB2312" w:cs="仿宋_GB2312"/>
          <w:kern w:val="0"/>
          <w:sz w:val="32"/>
          <w:szCs w:val="32"/>
          <w:lang w:val="en-US" w:eastAsia="zh-CN"/>
        </w:rPr>
        <w:t>生</w:t>
      </w:r>
      <w:r>
        <w:rPr>
          <w:rFonts w:hint="eastAsia" w:ascii="仿宋_GB2312" w:eastAsia="仿宋_GB2312" w:cs="仿宋_GB2312"/>
          <w:kern w:val="0"/>
          <w:sz w:val="32"/>
          <w:szCs w:val="32"/>
        </w:rPr>
        <w:t>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（七）按照中央关于全面推进素质教育要求，负责</w:t>
      </w:r>
      <w:r>
        <w:rPr>
          <w:rFonts w:hint="eastAsia" w:ascii="仿宋_GB2312" w:eastAsia="仿宋_GB2312" w:cs="仿宋_GB2312"/>
          <w:kern w:val="0"/>
          <w:sz w:val="32"/>
          <w:szCs w:val="32"/>
          <w:lang w:val="en-US" w:eastAsia="zh-CN"/>
        </w:rPr>
        <w:t>全校</w:t>
      </w:r>
      <w:r>
        <w:rPr>
          <w:rFonts w:hint="eastAsia" w:ascii="仿宋_GB2312" w:eastAsia="仿宋_GB2312" w:cs="仿宋_GB2312"/>
          <w:kern w:val="0"/>
          <w:sz w:val="32"/>
          <w:szCs w:val="32"/>
        </w:rPr>
        <w:t>教育教学管理、教育教学改革及教育教学工作，检查指导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（八）检查指导学校教育教学设备的装备、管理和使用工作。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（九）检查指导全县开展电化教育和信息化教学工作。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（十）负责</w:t>
      </w:r>
      <w:r>
        <w:rPr>
          <w:rFonts w:hint="eastAsia" w:ascii="仿宋_GB2312" w:eastAsia="仿宋_GB2312" w:cs="仿宋_GB2312"/>
          <w:kern w:val="0"/>
          <w:sz w:val="32"/>
          <w:szCs w:val="32"/>
          <w:lang w:val="en-US" w:eastAsia="zh-CN"/>
        </w:rPr>
        <w:t>组织学校</w:t>
      </w:r>
      <w:r>
        <w:rPr>
          <w:rFonts w:hint="eastAsia" w:ascii="仿宋_GB2312" w:eastAsia="仿宋_GB2312" w:cs="仿宋_GB2312"/>
          <w:kern w:val="0"/>
          <w:sz w:val="32"/>
          <w:szCs w:val="32"/>
        </w:rPr>
        <w:t>教师初级专业技术职务资格的评审，中、高级专业技术职务资格的申报工作。按照管理权限对教师进行考核、聘任、奖惩、晋升等工作。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一</w:t>
      </w:r>
      <w:r>
        <w:rPr>
          <w:rFonts w:hint="eastAsia" w:ascii="仿宋_GB2312" w:eastAsia="仿宋_GB2312" w:cs="仿宋_GB2312"/>
          <w:kern w:val="0"/>
          <w:sz w:val="32"/>
          <w:szCs w:val="32"/>
        </w:rPr>
        <w:t>）负责指导</w:t>
      </w:r>
      <w:r>
        <w:rPr>
          <w:rFonts w:hint="eastAsia" w:ascii="仿宋_GB2312" w:eastAsia="仿宋_GB2312" w:cs="仿宋_GB2312"/>
          <w:kern w:val="0"/>
          <w:sz w:val="32"/>
          <w:szCs w:val="32"/>
          <w:lang w:val="en-US" w:eastAsia="zh-CN"/>
        </w:rPr>
        <w:t>学校</w:t>
      </w:r>
      <w:r>
        <w:rPr>
          <w:rFonts w:hint="eastAsia" w:ascii="仿宋_GB2312" w:eastAsia="仿宋_GB2312" w:cs="仿宋_GB2312"/>
          <w:kern w:val="0"/>
          <w:sz w:val="32"/>
          <w:szCs w:val="32"/>
        </w:rPr>
        <w:t>德育、体育、卫生、艺术、安全工作以及团组织</w:t>
      </w:r>
      <w:r>
        <w:rPr>
          <w:rFonts w:hint="eastAsia" w:ascii="仿宋_GB2312" w:eastAsia="仿宋_GB2312" w:cs="仿宋_GB2312"/>
          <w:kern w:val="0"/>
          <w:sz w:val="32"/>
          <w:szCs w:val="32"/>
          <w:lang w:val="en-US" w:eastAsia="zh-CN"/>
        </w:rPr>
        <w:t>共青团工作。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二</w:t>
      </w:r>
      <w:r>
        <w:rPr>
          <w:rFonts w:hint="eastAsia" w:ascii="仿宋_GB2312" w:eastAsia="仿宋_GB2312" w:cs="仿宋_GB2312"/>
          <w:kern w:val="0"/>
          <w:sz w:val="32"/>
          <w:szCs w:val="32"/>
        </w:rPr>
        <w:t>）负责指导学生资助管理工作。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三</w:t>
      </w:r>
      <w:r>
        <w:rPr>
          <w:rFonts w:hint="eastAsia" w:ascii="仿宋_GB2312" w:eastAsia="仿宋_GB2312" w:cs="仿宋_GB2312"/>
          <w:kern w:val="0"/>
          <w:sz w:val="32"/>
          <w:szCs w:val="32"/>
        </w:rPr>
        <w:t>）负责语言文字和指导推广普通话工作。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 w:hAnsi="仿宋" w:eastAsia="仿宋" w:cs="仿宋"/>
          <w:color w:val="FF0000"/>
          <w:sz w:val="32"/>
          <w:szCs w:val="32"/>
          <w:lang w:val="en-US" w:eastAsia="zh-CN"/>
        </w:rPr>
      </w:pPr>
      <w:r>
        <w:rPr>
          <w:rFonts w:hint="eastAsia" w:ascii="仿宋_GB2312" w:eastAsia="仿宋_GB2312" w:cs="仿宋_GB2312"/>
          <w:kern w:val="0"/>
          <w:sz w:val="32"/>
          <w:szCs w:val="32"/>
        </w:rPr>
        <w:t>    </w:t>
      </w:r>
      <w:r>
        <w:rPr>
          <w:rFonts w:hint="eastAsia" w:ascii="仿宋_GB2312" w:eastAsia="仿宋_GB2312" w:cs="仿宋_GB2312"/>
          <w:kern w:val="0"/>
          <w:sz w:val="32"/>
          <w:szCs w:val="32"/>
          <w:lang w:val="en-US" w:eastAsia="zh-CN"/>
        </w:rPr>
        <w:t xml:space="preserve">  </w:t>
      </w: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）完成自治县</w:t>
      </w:r>
      <w:r>
        <w:rPr>
          <w:rFonts w:hint="eastAsia" w:ascii="仿宋_GB2312" w:eastAsia="仿宋_GB2312" w:cs="仿宋_GB2312"/>
          <w:kern w:val="0"/>
          <w:sz w:val="32"/>
          <w:szCs w:val="32"/>
          <w:lang w:val="en-US" w:eastAsia="zh-CN"/>
        </w:rPr>
        <w:t>教育局和各级</w:t>
      </w:r>
      <w:r>
        <w:rPr>
          <w:rFonts w:hint="eastAsia" w:ascii="仿宋_GB2312" w:eastAsia="仿宋_GB2312" w:cs="仿宋_GB2312"/>
          <w:kern w:val="0"/>
          <w:sz w:val="32"/>
          <w:szCs w:val="32"/>
        </w:rPr>
        <w:t>政府</w:t>
      </w:r>
      <w:r>
        <w:rPr>
          <w:rFonts w:hint="eastAsia" w:ascii="仿宋_GB2312" w:eastAsia="仿宋_GB2312" w:cs="仿宋_GB2312"/>
          <w:kern w:val="0"/>
          <w:sz w:val="32"/>
          <w:szCs w:val="32"/>
          <w:lang w:val="en-US" w:eastAsia="zh-CN"/>
        </w:rPr>
        <w:t>部门</w:t>
      </w:r>
      <w:r>
        <w:rPr>
          <w:rFonts w:hint="eastAsia" w:ascii="仿宋_GB2312" w:eastAsia="仿宋_GB2312" w:cs="仿宋_GB2312"/>
          <w:kern w:val="0"/>
          <w:sz w:val="32"/>
          <w:szCs w:val="32"/>
        </w:rPr>
        <w:t>交办的其他工作。</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_GB2312" w:eastAsia="仿宋_GB2312" w:cs="仿宋_GB2312"/>
          <w:color w:val="auto"/>
          <w:kern w:val="0"/>
          <w:sz w:val="32"/>
          <w:szCs w:val="32"/>
          <w:lang w:val="en-US" w:eastAsia="zh-CN"/>
        </w:rPr>
        <w:t>环江四中内设政教处、教务处、总务处。</w:t>
      </w:r>
      <w:r>
        <w:rPr>
          <w:rFonts w:hint="eastAsia" w:ascii="仿宋" w:hAnsi="仿宋" w:eastAsia="仿宋" w:cs="仿宋"/>
          <w:color w:val="auto"/>
          <w:sz w:val="32"/>
          <w:szCs w:val="32"/>
        </w:rPr>
        <w:t>我部门没有下属单位，按照部门决算编报要求，单独编制本部门决算。</w:t>
      </w:r>
    </w:p>
    <w:p>
      <w:pPr>
        <w:jc w:val="both"/>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1920" w:firstLineChars="6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环江毛南族自治县第四初级中学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1522.35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1522.35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1130.98</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1130.98</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1522.35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1321.01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201.34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135.73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2050203</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初中教育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1130.98</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1073.71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57.27</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78.46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93.62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74.96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65.61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65.61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66.33</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65.61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12.39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12.39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1209.44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1209.44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93.62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93.62</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74.96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74.96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131.95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131.95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1522.35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1522.35</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1522.35</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1522.35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1321.01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201.34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1073.71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1209.44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1073.71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135.73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2050203</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初中教育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1130.98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1073.71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57.27</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78.46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78.46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131.95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65.61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131.95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65.61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131.95</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66.33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65.61</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864.63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139.58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357.31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27.22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112.53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147.35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93.62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26.80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8.13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45.90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0.45</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0.58</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11.57</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316.81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311.94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12.39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4.74</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1181.44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139.58</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eastAsia="宋体"/>
                <w:lang w:val="en-US" w:eastAsia="zh-CN"/>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r>
              <w:rPr>
                <w:rFonts w:hint="eastAsia" w:ascii="宋体" w:hAnsi="宋体" w:eastAsia="宋体" w:cs="宋体"/>
                <w:color w:val="000000"/>
                <w:kern w:val="0"/>
                <w:sz w:val="22"/>
                <w:szCs w:val="22"/>
                <w:highlight w:val="none"/>
                <w:lang w:val="en-US" w:eastAsia="zh-CN" w:bidi="ar"/>
              </w:rPr>
              <w:t>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r>
        <w:rPr>
          <w:rFonts w:hint="eastAsia" w:ascii="宋体" w:hAnsi="宋体" w:eastAsia="宋体" w:cs="宋体"/>
          <w:color w:val="auto"/>
          <w:kern w:val="2"/>
          <w:sz w:val="21"/>
          <w:szCs w:val="21"/>
          <w:highlight w:val="none"/>
          <w:lang w:val="en-US" w:eastAsia="zh-CN" w:bidi="ar"/>
        </w:rPr>
        <w:t>本部门</w:t>
      </w:r>
      <w:r>
        <w:rPr>
          <w:rFonts w:hint="default" w:ascii="Times New Roman" w:hAnsi="Times New Roman" w:eastAsia="宋体" w:cs="Times New Roman"/>
          <w:color w:val="auto"/>
          <w:kern w:val="2"/>
          <w:sz w:val="21"/>
          <w:szCs w:val="21"/>
          <w:highlight w:val="none"/>
          <w:lang w:val="en-US" w:eastAsia="zh-CN" w:bidi="ar"/>
        </w:rPr>
        <w:t>2022</w:t>
      </w:r>
      <w:r>
        <w:rPr>
          <w:rFonts w:hint="eastAsia" w:ascii="宋体" w:hAnsi="宋体" w:eastAsia="宋体" w:cs="宋体"/>
          <w:color w:val="auto"/>
          <w:kern w:val="2"/>
          <w:sz w:val="21"/>
          <w:szCs w:val="21"/>
          <w:highlight w:val="none"/>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br w:type="page"/>
      </w:r>
    </w:p>
    <w:p>
      <w:pPr>
        <w:bidi w:val="0"/>
        <w:jc w:val="left"/>
        <w:rPr>
          <w:rFonts w:hint="eastAsia" w:asciiTheme="minorHAnsi" w:hAnsiTheme="minorHAnsi" w:eastAsiaTheme="minorEastAsia" w:cstheme="minorBidi"/>
          <w:kern w:val="2"/>
          <w:sz w:val="21"/>
          <w:szCs w:val="24"/>
          <w:lang w:val="en-US" w:eastAsia="zh-CN" w:bidi="ar-SA"/>
        </w:rPr>
      </w:pP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环江毛南族自治县第四初级中学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环江毛南族自治县第四初级中学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1522.35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增加658.13</w:t>
      </w:r>
      <w:r>
        <w:rPr>
          <w:rFonts w:hint="eastAsia" w:ascii="仿宋" w:hAnsi="仿宋" w:eastAsia="仿宋" w:cs="仿宋"/>
          <w:sz w:val="32"/>
          <w:szCs w:val="32"/>
          <w:highlight w:val="none"/>
        </w:rPr>
        <w:t>万元，</w:t>
      </w:r>
      <w:r>
        <w:rPr>
          <w:rFonts w:ascii="仿宋" w:hAnsi="仿宋" w:eastAsia="仿宋" w:cs="仿宋"/>
          <w:sz w:val="32"/>
          <w:u w:color="auto"/>
        </w:rPr>
        <w:t>增长76.15%</w:t>
      </w:r>
      <w:r>
        <w:rPr>
          <w:rFonts w:hint="eastAsia" w:ascii="仿宋" w:hAnsi="仿宋" w:eastAsia="仿宋" w:cs="仿宋"/>
          <w:sz w:val="32"/>
          <w:szCs w:val="32"/>
          <w:highlight w:val="none"/>
        </w:rPr>
        <w:t>，其中本年收入</w:t>
      </w:r>
      <w:r>
        <w:rPr>
          <w:rFonts w:ascii="仿宋" w:hAnsi="仿宋" w:eastAsia="仿宋" w:cs="仿宋"/>
          <w:sz w:val="32"/>
          <w:u w:color="auto"/>
        </w:rPr>
        <w:t>1522.35</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1522.35</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增加802.01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增长111.34%</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学生人数增加，拨款资金相对增加。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主要原因：本单位无此项收入。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主要原因是：本单位无此项收入。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本单位无经营性收入。</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rPr>
      </w:pPr>
      <w:r>
        <w:rPr>
          <w:rFonts w:hint="eastAsia" w:ascii="仿宋" w:hAnsi="仿宋" w:eastAsia="仿宋" w:cs="仿宋"/>
          <w:color w:val="auto"/>
          <w:kern w:val="2"/>
          <w:sz w:val="32"/>
          <w:szCs w:val="32"/>
          <w:highlight w:val="none"/>
          <w:lang w:val="en-US" w:eastAsia="zh-CN" w:bidi="ar"/>
        </w:rPr>
        <w:t>7.附属单位上缴收入</w:t>
      </w:r>
      <w:r>
        <w:rPr>
          <w:rFonts w:ascii="仿宋" w:hAnsi="仿宋" w:eastAsia="仿宋" w:cs="仿宋"/>
          <w:color w:val="auto"/>
          <w:sz w:val="32"/>
          <w:u w:color="auto"/>
        </w:rPr>
        <w:t>0.00</w:t>
      </w:r>
      <w:r>
        <w:rPr>
          <w:rFonts w:hint="eastAsia" w:ascii="仿宋" w:hAnsi="仿宋" w:eastAsia="仿宋" w:cs="仿宋"/>
          <w:color w:val="auto"/>
          <w:kern w:val="2"/>
          <w:sz w:val="32"/>
          <w:szCs w:val="32"/>
          <w:highlight w:val="none"/>
          <w:lang w:val="en-US" w:eastAsia="zh-CN" w:bidi="ar"/>
        </w:rPr>
        <w:t>万元。较2021年度决算数</w:t>
      </w:r>
      <w:r>
        <w:rPr>
          <w:rFonts w:ascii="仿宋" w:hAnsi="仿宋" w:eastAsia="仿宋" w:cs="仿宋"/>
          <w:color w:val="auto"/>
          <w:sz w:val="32"/>
          <w:u w:color="auto"/>
        </w:rPr>
        <w:t>增加0.00</w:t>
      </w:r>
      <w:r>
        <w:rPr>
          <w:rFonts w:hint="eastAsia" w:ascii="仿宋" w:hAnsi="仿宋" w:eastAsia="仿宋" w:cs="仿宋"/>
          <w:color w:val="auto"/>
          <w:kern w:val="2"/>
          <w:sz w:val="32"/>
          <w:szCs w:val="32"/>
          <w:highlight w:val="none"/>
          <w:lang w:val="en-US" w:eastAsia="zh-CN" w:bidi="ar"/>
        </w:rPr>
        <w:t>万元，</w:t>
      </w:r>
      <w:r>
        <w:rPr>
          <w:rFonts w:ascii="仿宋" w:hAnsi="仿宋" w:eastAsia="仿宋" w:cs="仿宋"/>
          <w:color w:val="auto"/>
          <w:sz w:val="32"/>
          <w:u w:color="auto"/>
        </w:rPr>
        <w:t>增长0%</w:t>
      </w:r>
      <w:r>
        <w:rPr>
          <w:rFonts w:hint="eastAsia" w:ascii="仿宋" w:hAnsi="仿宋" w:eastAsia="仿宋" w:cs="仿宋"/>
          <w:color w:val="auto"/>
          <w:kern w:val="2"/>
          <w:sz w:val="32"/>
          <w:szCs w:val="32"/>
          <w:highlight w:val="none"/>
          <w:lang w:val="en-US" w:eastAsia="zh-CN" w:bidi="ar"/>
        </w:rPr>
        <w:t>，主要原因是：本单位无附属单位上缴收入。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减少143.88</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1242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1522.35</w:t>
      </w:r>
      <w:r>
        <w:rPr>
          <w:rFonts w:hint="eastAsia" w:ascii="仿宋" w:hAnsi="仿宋" w:eastAsia="仿宋" w:cs="仿宋"/>
          <w:sz w:val="32"/>
          <w:szCs w:val="32"/>
          <w:highlight w:val="none"/>
        </w:rPr>
        <w:t>万元，其中本年支出</w:t>
      </w:r>
      <w:r>
        <w:rPr>
          <w:rFonts w:ascii="仿宋" w:hAnsi="仿宋" w:eastAsia="仿宋" w:cs="仿宋"/>
          <w:sz w:val="32"/>
          <w:u w:color="auto"/>
        </w:rPr>
        <w:t>1522.35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增加658.13</w:t>
      </w:r>
      <w:r>
        <w:rPr>
          <w:rFonts w:hint="eastAsia" w:ascii="仿宋" w:hAnsi="仿宋" w:eastAsia="仿宋" w:cs="仿宋"/>
          <w:sz w:val="32"/>
          <w:szCs w:val="32"/>
          <w:highlight w:val="none"/>
        </w:rPr>
        <w:t>万元，</w:t>
      </w:r>
      <w:r>
        <w:rPr>
          <w:rFonts w:ascii="仿宋" w:hAnsi="仿宋" w:eastAsia="仿宋" w:cs="仿宋"/>
          <w:sz w:val="32"/>
          <w:u w:color="auto"/>
        </w:rPr>
        <w:t>增长76.15%</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12.39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i w:val="0"/>
          <w:iCs w:val="0"/>
          <w:color w:val="auto"/>
          <w:sz w:val="32"/>
          <w:szCs w:val="32"/>
          <w:highlight w:val="none"/>
          <w:u w:val="none"/>
          <w:lang w:val="en-US" w:eastAsia="zh-CN"/>
        </w:rPr>
        <w:t>工会组织活动开支</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增加12.39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主要原因是：政府重视教育，加大投资教育力度。</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1209.44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auto"/>
          <w:kern w:val="0"/>
          <w:sz w:val="32"/>
          <w:szCs w:val="32"/>
        </w:rPr>
        <w:t>主要用于全</w:t>
      </w:r>
      <w:r>
        <w:rPr>
          <w:rFonts w:hint="eastAsia" w:ascii="华文仿宋" w:hAnsi="华文仿宋" w:eastAsia="华文仿宋" w:cs="华文仿宋"/>
          <w:color w:val="auto"/>
          <w:kern w:val="0"/>
          <w:sz w:val="32"/>
          <w:szCs w:val="32"/>
          <w:lang w:val="en-US" w:eastAsia="zh-CN"/>
        </w:rPr>
        <w:t>校</w:t>
      </w:r>
      <w:r>
        <w:rPr>
          <w:rFonts w:hint="eastAsia" w:ascii="华文仿宋" w:hAnsi="华文仿宋" w:eastAsia="华文仿宋" w:cs="华文仿宋"/>
          <w:color w:val="auto"/>
          <w:kern w:val="0"/>
          <w:sz w:val="32"/>
          <w:szCs w:val="32"/>
        </w:rPr>
        <w:t>教</w:t>
      </w:r>
      <w:r>
        <w:rPr>
          <w:rFonts w:hint="eastAsia" w:ascii="华文仿宋" w:hAnsi="华文仿宋" w:eastAsia="华文仿宋" w:cs="华文仿宋"/>
          <w:color w:val="auto"/>
          <w:kern w:val="0"/>
          <w:sz w:val="32"/>
          <w:szCs w:val="32"/>
          <w:lang w:val="en-US" w:eastAsia="zh-CN"/>
        </w:rPr>
        <w:t>职工</w:t>
      </w:r>
      <w:r>
        <w:rPr>
          <w:rFonts w:hint="eastAsia" w:ascii="华文仿宋" w:hAnsi="华文仿宋" w:eastAsia="华文仿宋" w:cs="华文仿宋"/>
          <w:color w:val="auto"/>
          <w:kern w:val="0"/>
          <w:sz w:val="32"/>
          <w:szCs w:val="32"/>
        </w:rPr>
        <w:t>工资及为开展教育教学活动的支出。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增加454.32</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增长60.17%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华文仿宋" w:hAnsi="华文仿宋" w:eastAsia="华文仿宋" w:cs="华文仿宋"/>
          <w:color w:val="auto"/>
          <w:kern w:val="0"/>
          <w:sz w:val="32"/>
          <w:szCs w:val="32"/>
          <w:lang w:eastAsia="zh-CN"/>
        </w:rPr>
        <w:t>学生数</w:t>
      </w:r>
      <w:r>
        <w:rPr>
          <w:rFonts w:hint="eastAsia" w:ascii="华文仿宋" w:hAnsi="华文仿宋" w:eastAsia="华文仿宋" w:cs="华文仿宋"/>
          <w:color w:val="auto"/>
          <w:kern w:val="0"/>
          <w:sz w:val="32"/>
          <w:szCs w:val="32"/>
          <w:lang w:val="en-US" w:eastAsia="zh-CN"/>
        </w:rPr>
        <w:t>增加</w:t>
      </w:r>
      <w:r>
        <w:rPr>
          <w:rFonts w:hint="eastAsia" w:ascii="华文仿宋" w:hAnsi="华文仿宋" w:eastAsia="华文仿宋" w:cs="华文仿宋"/>
          <w:color w:val="auto"/>
          <w:kern w:val="0"/>
          <w:sz w:val="32"/>
          <w:szCs w:val="32"/>
          <w:lang w:eastAsia="zh-CN"/>
        </w:rPr>
        <w:t>，拨款经费</w:t>
      </w:r>
      <w:r>
        <w:rPr>
          <w:rFonts w:hint="eastAsia" w:ascii="华文仿宋" w:hAnsi="华文仿宋" w:eastAsia="华文仿宋" w:cs="华文仿宋"/>
          <w:color w:val="auto"/>
          <w:kern w:val="0"/>
          <w:sz w:val="32"/>
          <w:szCs w:val="32"/>
          <w:lang w:val="en-US" w:eastAsia="zh-CN"/>
        </w:rPr>
        <w:t>增加</w:t>
      </w:r>
      <w:r>
        <w:rPr>
          <w:rFonts w:hint="eastAsia" w:ascii="华文仿宋" w:hAnsi="华文仿宋" w:eastAsia="华文仿宋" w:cs="华文仿宋"/>
          <w:color w:val="auto"/>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93.62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kern w:val="0"/>
          <w:sz w:val="32"/>
          <w:szCs w:val="32"/>
        </w:rPr>
        <w:t>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增加58.84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增长169.18%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主要原因是：公招</w:t>
      </w:r>
      <w:r>
        <w:rPr>
          <w:rFonts w:hint="eastAsia" w:ascii="仿宋" w:hAnsi="仿宋" w:eastAsia="仿宋" w:cs="仿宋"/>
          <w:color w:val="auto"/>
          <w:kern w:val="2"/>
          <w:sz w:val="32"/>
          <w:szCs w:val="32"/>
          <w:highlight w:val="none"/>
          <w:lang w:val="en-US" w:eastAsia="zh-CN" w:bidi="ar"/>
        </w:rPr>
        <w:t>教师调进，人员增加</w:t>
      </w:r>
      <w:r>
        <w:rPr>
          <w:rFonts w:hint="eastAsia" w:ascii="仿宋" w:hAnsi="仿宋" w:eastAsia="仿宋" w:cs="仿宋"/>
          <w:color w:val="0000FF"/>
          <w:kern w:val="2"/>
          <w:sz w:val="32"/>
          <w:szCs w:val="32"/>
          <w:highlight w:val="none"/>
          <w:lang w:val="en-US" w:eastAsia="zh-CN" w:bidi="ar"/>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lang w:eastAsia="zh-CN" w:bidi="ar"/>
        </w:rPr>
        <w:t>就</w:t>
      </w:r>
      <w:r>
        <w:rPr>
          <w:rFonts w:hint="eastAsia" w:ascii="仿宋" w:hAnsi="仿宋" w:eastAsia="仿宋" w:cs="仿宋"/>
          <w:sz w:val="32"/>
          <w:szCs w:val="32"/>
          <w:highlight w:val="none"/>
          <w:lang w:val="en-US" w:eastAsia="zh-CN" w:bidi="ar"/>
        </w:rPr>
        <w:t>增加</w:t>
      </w:r>
      <w:r>
        <w:rPr>
          <w:rFonts w:hint="eastAsia" w:ascii="仿宋" w:hAnsi="仿宋" w:eastAsia="仿宋" w:cs="仿宋"/>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74.96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缴纳教职工</w:t>
      </w:r>
      <w:r>
        <w:rPr>
          <w:rFonts w:hint="eastAsia" w:ascii="Times New Roman" w:hAnsi="Times New Roman" w:eastAsia="仿宋_GB2312" w:cs="Times New Roman"/>
          <w:kern w:val="0"/>
          <w:sz w:val="32"/>
          <w:szCs w:val="32"/>
        </w:rPr>
        <w:t>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增加48.93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增长187.98%</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主要原因是：公招</w:t>
      </w:r>
      <w:r>
        <w:rPr>
          <w:rFonts w:hint="eastAsia" w:ascii="仿宋" w:hAnsi="仿宋" w:eastAsia="仿宋" w:cs="仿宋"/>
          <w:color w:val="auto"/>
          <w:kern w:val="2"/>
          <w:sz w:val="32"/>
          <w:szCs w:val="32"/>
          <w:highlight w:val="none"/>
          <w:lang w:val="en-US" w:eastAsia="zh-CN" w:bidi="ar"/>
        </w:rPr>
        <w:t>教师调进，人员增加，公积金缴纳增长</w:t>
      </w:r>
      <w:r>
        <w:rPr>
          <w:rFonts w:hint="eastAsia" w:ascii="仿宋" w:hAnsi="仿宋" w:eastAsia="仿宋" w:cs="仿宋"/>
          <w:color w:val="auto"/>
          <w:sz w:val="32"/>
          <w:szCs w:val="32"/>
          <w:highlight w:val="none"/>
          <w:lang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131.95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Times New Roman" w:hAnsi="Times New Roman" w:eastAsia="仿宋_GB2312" w:cs="Times New Roman"/>
          <w:kern w:val="0"/>
          <w:sz w:val="32"/>
          <w:szCs w:val="32"/>
        </w:rPr>
        <w:t>主要用于人员工资福利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增加83.65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增长173.19%</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主要原因是：公招</w:t>
      </w:r>
      <w:r>
        <w:rPr>
          <w:rFonts w:hint="eastAsia" w:ascii="仿宋" w:hAnsi="仿宋" w:eastAsia="仿宋" w:cs="仿宋"/>
          <w:color w:val="auto"/>
          <w:kern w:val="2"/>
          <w:sz w:val="32"/>
          <w:szCs w:val="32"/>
          <w:highlight w:val="none"/>
          <w:lang w:val="en-US" w:eastAsia="zh-CN" w:bidi="ar"/>
        </w:rPr>
        <w:t>教师调进，人员增加，支出增长</w:t>
      </w:r>
      <w:r>
        <w:rPr>
          <w:rFonts w:hint="eastAsia" w:ascii="仿宋" w:hAnsi="仿宋" w:eastAsia="仿宋" w:cs="仿宋"/>
          <w:color w:val="auto"/>
          <w:sz w:val="32"/>
          <w:szCs w:val="32"/>
          <w:highlight w:val="none"/>
          <w:lang w:eastAsia="zh-CN" w:bidi="ar"/>
        </w:rPr>
        <w:t>。</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：本单位无结余分配。</w:t>
      </w:r>
    </w:p>
    <w:p>
      <w:pPr>
        <w:keepNext w:val="0"/>
        <w:keepLines w:val="0"/>
        <w:widowControl w:val="0"/>
        <w:suppressLineNumbers w:val="0"/>
        <w:spacing w:before="0" w:beforeAutospacing="0" w:after="0" w:afterAutospacing="0"/>
        <w:ind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主要原因是本单位新建学校，经费开支大，年末无</w:t>
      </w:r>
      <w:r>
        <w:rPr>
          <w:rFonts w:hint="eastAsia" w:ascii="仿宋" w:hAnsi="仿宋" w:eastAsia="仿宋" w:cs="仿宋"/>
          <w:sz w:val="32"/>
          <w:szCs w:val="32"/>
          <w:highlight w:val="none"/>
        </w:rPr>
        <w:t>结转和结余</w:t>
      </w:r>
      <w:r>
        <w:rPr>
          <w:rFonts w:hint="eastAsia" w:ascii="仿宋" w:hAnsi="仿宋" w:eastAsia="仿宋" w:cs="仿宋"/>
          <w:sz w:val="32"/>
          <w:szCs w:val="32"/>
          <w:highlight w:val="none"/>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022600"/>
            <wp:effectExtent l="4445" t="4445" r="5715" b="571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环江毛南族自治县第四初级中学2022年度一般公共预算财政拨款支出</w:t>
      </w:r>
      <w:r>
        <w:rPr>
          <w:rFonts w:ascii="仿宋" w:hAnsi="仿宋" w:eastAsia="仿宋" w:cs="仿宋"/>
          <w:sz w:val="32"/>
          <w:u w:color="auto"/>
        </w:rPr>
        <w:t>1522.35</w:t>
      </w:r>
      <w:r>
        <w:rPr>
          <w:rFonts w:hint="eastAsia" w:ascii="仿宋" w:hAnsi="仿宋" w:eastAsia="仿宋" w:cs="仿宋"/>
          <w:sz w:val="32"/>
          <w:szCs w:val="32"/>
          <w:highlight w:val="none"/>
        </w:rPr>
        <w:t>万元，较2021年度决算数</w:t>
      </w:r>
      <w:r>
        <w:rPr>
          <w:rFonts w:ascii="仿宋" w:hAnsi="仿宋" w:eastAsia="仿宋" w:cs="仿宋"/>
          <w:sz w:val="32"/>
          <w:u w:color="auto"/>
        </w:rPr>
        <w:t>增加658.13</w:t>
      </w:r>
      <w:r>
        <w:rPr>
          <w:rFonts w:hint="eastAsia" w:ascii="仿宋" w:hAnsi="仿宋" w:eastAsia="仿宋" w:cs="仿宋"/>
          <w:sz w:val="32"/>
          <w:szCs w:val="32"/>
          <w:highlight w:val="none"/>
        </w:rPr>
        <w:t>万元，</w:t>
      </w:r>
      <w:r>
        <w:rPr>
          <w:rFonts w:ascii="仿宋" w:hAnsi="仿宋" w:eastAsia="仿宋" w:cs="仿宋"/>
          <w:sz w:val="32"/>
          <w:u w:color="auto"/>
        </w:rPr>
        <w:t>增长76.15%</w:t>
      </w:r>
      <w:r>
        <w:rPr>
          <w:rFonts w:hint="eastAsia" w:ascii="仿宋" w:hAnsi="仿宋" w:eastAsia="仿宋" w:cs="仿宋"/>
          <w:sz w:val="32"/>
          <w:szCs w:val="32"/>
          <w:highlight w:val="none"/>
        </w:rPr>
        <w:t>。其中：基本支出</w:t>
      </w:r>
      <w:r>
        <w:rPr>
          <w:rFonts w:ascii="仿宋" w:hAnsi="仿宋" w:eastAsia="仿宋" w:cs="仿宋"/>
          <w:sz w:val="32"/>
          <w:u w:color="auto"/>
        </w:rPr>
        <w:t>1321.01</w:t>
      </w:r>
      <w:r>
        <w:rPr>
          <w:rFonts w:hint="eastAsia" w:ascii="仿宋" w:hAnsi="仿宋" w:eastAsia="仿宋" w:cs="仿宋"/>
          <w:sz w:val="32"/>
          <w:szCs w:val="32"/>
          <w:highlight w:val="none"/>
        </w:rPr>
        <w:t>万元，项目支出</w:t>
      </w:r>
      <w:r>
        <w:rPr>
          <w:rFonts w:ascii="仿宋" w:hAnsi="仿宋" w:eastAsia="仿宋" w:cs="仿宋"/>
          <w:sz w:val="32"/>
          <w:u w:color="auto"/>
        </w:rPr>
        <w:t>201.34</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环江毛南族自治县第四初级中学2022 年度一般公共预算财政拨款支出年初预算为</w:t>
      </w:r>
      <w:r>
        <w:rPr>
          <w:rFonts w:ascii="仿宋" w:hAnsi="仿宋" w:eastAsia="仿宋" w:cs="仿宋"/>
          <w:sz w:val="32"/>
          <w:u w:color="auto"/>
        </w:rPr>
        <w:t>788.55</w:t>
      </w:r>
      <w:r>
        <w:rPr>
          <w:rFonts w:hint="eastAsia" w:ascii="仿宋" w:hAnsi="仿宋" w:eastAsia="仿宋" w:cs="仿宋"/>
          <w:sz w:val="32"/>
          <w:szCs w:val="32"/>
          <w:highlight w:val="none"/>
        </w:rPr>
        <w:t>万元，支出决算为</w:t>
      </w:r>
      <w:r>
        <w:rPr>
          <w:rFonts w:ascii="仿宋" w:hAnsi="仿宋" w:eastAsia="仿宋" w:cs="仿宋"/>
          <w:sz w:val="32"/>
          <w:u w:color="auto"/>
        </w:rPr>
        <w:t>1522.35</w:t>
      </w:r>
      <w:r>
        <w:rPr>
          <w:rFonts w:hint="eastAsia" w:ascii="仿宋" w:hAnsi="仿宋" w:eastAsia="仿宋" w:cs="仿宋"/>
          <w:sz w:val="32"/>
          <w:szCs w:val="32"/>
          <w:highlight w:val="none"/>
        </w:rPr>
        <w:t>万元，完成年初预算的</w:t>
      </w:r>
      <w:r>
        <w:rPr>
          <w:rFonts w:ascii="仿宋" w:hAnsi="仿宋" w:eastAsia="仿宋" w:cs="仿宋"/>
          <w:sz w:val="32"/>
          <w:u w:color="auto"/>
        </w:rPr>
        <w:t>193.06%</w:t>
      </w:r>
      <w:r>
        <w:rPr>
          <w:rFonts w:hint="eastAsia" w:ascii="仿宋" w:hAnsi="仿宋" w:eastAsia="仿宋" w:cs="仿宋"/>
          <w:sz w:val="32"/>
          <w:szCs w:val="32"/>
          <w:highlight w:val="none"/>
        </w:rPr>
        <w:t>。</w:t>
      </w:r>
      <w:bookmarkStart w:id="3" w:name="OLE_LINK2"/>
      <w:bookmarkEnd w:id="3"/>
    </w:p>
    <w:p>
      <w:pPr>
        <w:ind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一</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12.39</w:t>
      </w:r>
      <w:r>
        <w:rPr>
          <w:rFonts w:hint="eastAsia" w:ascii="仿宋" w:hAnsi="仿宋" w:eastAsia="仿宋"/>
          <w:sz w:val="32"/>
          <w:szCs w:val="32"/>
          <w:highlight w:val="none"/>
        </w:rPr>
        <w:t>万元，支出决算为</w:t>
      </w:r>
      <w:r>
        <w:rPr>
          <w:rFonts w:ascii="仿宋" w:hAnsi="仿宋" w:eastAsia="仿宋"/>
          <w:sz w:val="32"/>
          <w:szCs w:val="32"/>
          <w:highlight w:val="none"/>
        </w:rPr>
        <w:t>12.39</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没有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eastAsia="zh-CN"/>
          <w14:textFill>
            <w14:solidFill>
              <w14:schemeClr w14:val="tx1"/>
            </w14:solidFill>
          </w14:textFill>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严格按照资金管理办法，专款专用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12.39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12.39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主要用于工会组织活动开支。</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严格按照资金管理办法，专款专用。</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二</w:t>
      </w:r>
      <w:r>
        <w:rPr>
          <w:rFonts w:hint="eastAsia" w:ascii="仿宋" w:hAnsi="仿宋" w:eastAsia="仿宋"/>
          <w:sz w:val="32"/>
          <w:szCs w:val="32"/>
          <w:highlight w:val="none"/>
          <w:lang w:eastAsia="zh-CN"/>
        </w:rPr>
        <w:t>）</w:t>
      </w: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602.72</w:t>
      </w:r>
      <w:r>
        <w:rPr>
          <w:rFonts w:hint="eastAsia" w:ascii="仿宋" w:hAnsi="仿宋" w:eastAsia="仿宋"/>
          <w:sz w:val="32"/>
          <w:szCs w:val="32"/>
          <w:highlight w:val="none"/>
        </w:rPr>
        <w:t>万元，支出决算为</w:t>
      </w:r>
      <w:r>
        <w:rPr>
          <w:rFonts w:ascii="仿宋" w:hAnsi="仿宋" w:eastAsia="仿宋"/>
          <w:sz w:val="32"/>
          <w:szCs w:val="32"/>
          <w:highlight w:val="none"/>
        </w:rPr>
        <w:t>1209.44</w:t>
      </w:r>
      <w:r>
        <w:rPr>
          <w:rFonts w:hint="eastAsia" w:ascii="仿宋" w:hAnsi="仿宋" w:eastAsia="仿宋"/>
          <w:sz w:val="32"/>
          <w:szCs w:val="32"/>
          <w:highlight w:val="none"/>
        </w:rPr>
        <w:t>万元，完成年初预算的</w:t>
      </w:r>
      <w:r>
        <w:rPr>
          <w:rFonts w:ascii="仿宋" w:hAnsi="仿宋" w:eastAsia="仿宋"/>
          <w:sz w:val="32"/>
          <w:szCs w:val="32"/>
          <w:highlight w:val="none"/>
        </w:rPr>
        <w:t>200.66%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教师待遇提高，工资有所提高。支出相对增加。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初中教育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602.72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1130.98</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187.65%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年初没预计教师工资提高及各种支出增多。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78.46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要用于人员工资及为开展教育教学活动的支出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各种支出增多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602.72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1209.44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华文仿宋" w:hAnsi="华文仿宋" w:eastAsia="华文仿宋" w:cs="华文仿宋"/>
                <w:kern w:val="0"/>
                <w:sz w:val="21"/>
                <w:szCs w:val="21"/>
              </w:rPr>
              <w:t>要用于人员工资及为开展教育教学活动的支出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各种支出增多</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330450"/>
            <wp:effectExtent l="4445" t="4445" r="16510" b="825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三</w:t>
      </w:r>
      <w:r>
        <w:rPr>
          <w:rFonts w:hint="eastAsia" w:ascii="仿宋" w:hAnsi="仿宋" w:eastAsia="仿宋"/>
          <w:sz w:val="32"/>
          <w:szCs w:val="32"/>
          <w:highlight w:val="none"/>
          <w:lang w:eastAsia="zh-CN"/>
        </w:rPr>
        <w:t>）</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99.11</w:t>
      </w:r>
      <w:r>
        <w:rPr>
          <w:rFonts w:hint="eastAsia" w:ascii="仿宋" w:hAnsi="仿宋" w:eastAsia="仿宋"/>
          <w:sz w:val="32"/>
          <w:szCs w:val="32"/>
          <w:highlight w:val="none"/>
        </w:rPr>
        <w:t>万元，支出决算为</w:t>
      </w:r>
      <w:r>
        <w:rPr>
          <w:rFonts w:ascii="仿宋" w:hAnsi="仿宋" w:eastAsia="仿宋"/>
          <w:sz w:val="32"/>
          <w:szCs w:val="32"/>
          <w:highlight w:val="none"/>
        </w:rPr>
        <w:t>93.62</w:t>
      </w:r>
      <w:r>
        <w:rPr>
          <w:rFonts w:hint="eastAsia" w:ascii="仿宋" w:hAnsi="仿宋" w:eastAsia="仿宋"/>
          <w:sz w:val="32"/>
          <w:szCs w:val="32"/>
          <w:highlight w:val="none"/>
        </w:rPr>
        <w:t>万元，完成年初预算的</w:t>
      </w:r>
      <w:r>
        <w:rPr>
          <w:rFonts w:ascii="仿宋" w:hAnsi="仿宋" w:eastAsia="仿宋"/>
          <w:sz w:val="32"/>
          <w:szCs w:val="32"/>
          <w:highlight w:val="none"/>
        </w:rPr>
        <w:t>94.46%</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原因是：人为增加工资基数，年初预算数据偏大。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94.46%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color w:val="auto"/>
                <w:sz w:val="21"/>
                <w:szCs w:val="21"/>
                <w:highlight w:val="none"/>
                <w:lang w:val="en-US" w:eastAsia="zh-CN"/>
              </w:rPr>
              <w:t>用于教师</w:t>
            </w:r>
            <w:r>
              <w:rPr>
                <w:rFonts w:hint="eastAsia" w:ascii="宋体" w:hAnsi="宋体" w:eastAsia="宋体" w:cs="宋体"/>
                <w:b w:val="0"/>
                <w:bCs w:val="0"/>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99.11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93.62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b w:val="0"/>
                <w:bCs w:val="0"/>
                <w:color w:val="auto"/>
                <w:sz w:val="21"/>
                <w:szCs w:val="21"/>
                <w:highlight w:val="none"/>
                <w:lang w:val="en-US" w:eastAsia="zh-CN"/>
              </w:rPr>
              <w:t>用于教师</w:t>
            </w:r>
            <w:r>
              <w:rPr>
                <w:rFonts w:hint="eastAsia" w:ascii="宋体" w:hAnsi="宋体" w:eastAsia="宋体" w:cs="宋体"/>
                <w:b w:val="0"/>
                <w:bCs w:val="0"/>
                <w:i w:val="0"/>
                <w:iCs w:val="0"/>
                <w:color w:val="auto"/>
                <w:sz w:val="20"/>
                <w:szCs w:val="20"/>
                <w:highlight w:val="none"/>
                <w:u w:val="none"/>
                <w:lang w:val="en-US" w:eastAsia="zh-CN"/>
              </w:rPr>
              <w:t>基本养老保险缴费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人为增加工资基数，年初预算数据偏大</w:t>
            </w: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854325"/>
            <wp:effectExtent l="4445" t="4445" r="16510" b="1778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四</w:t>
      </w:r>
      <w:r>
        <w:rPr>
          <w:rFonts w:hint="eastAsia" w:ascii="仿宋" w:hAnsi="仿宋" w:eastAsia="仿宋"/>
          <w:sz w:val="32"/>
          <w:szCs w:val="32"/>
          <w:highlight w:val="none"/>
          <w:lang w:eastAsia="zh-CN"/>
        </w:rPr>
        <w:t>）</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74.33</w:t>
      </w:r>
      <w:r>
        <w:rPr>
          <w:rFonts w:hint="eastAsia" w:ascii="仿宋" w:hAnsi="仿宋" w:eastAsia="仿宋"/>
          <w:sz w:val="32"/>
          <w:szCs w:val="32"/>
          <w:highlight w:val="none"/>
        </w:rPr>
        <w:t>万元，支出决算为</w:t>
      </w:r>
      <w:r>
        <w:rPr>
          <w:rFonts w:ascii="仿宋" w:hAnsi="仿宋" w:eastAsia="仿宋"/>
          <w:sz w:val="32"/>
          <w:szCs w:val="32"/>
          <w:highlight w:val="none"/>
        </w:rPr>
        <w:t>74.96</w:t>
      </w:r>
      <w:r>
        <w:rPr>
          <w:rFonts w:hint="eastAsia" w:ascii="仿宋" w:hAnsi="仿宋" w:eastAsia="仿宋"/>
          <w:sz w:val="32"/>
          <w:szCs w:val="32"/>
          <w:highlight w:val="none"/>
        </w:rPr>
        <w:t>万元，完成年初预算的</w:t>
      </w:r>
      <w:r>
        <w:rPr>
          <w:rFonts w:ascii="仿宋" w:hAnsi="仿宋" w:eastAsia="仿宋"/>
          <w:sz w:val="32"/>
          <w:szCs w:val="32"/>
          <w:highlight w:val="none"/>
        </w:rPr>
        <w:t>100.85%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原因是：人为增加工资基数，年初预算数据偏大。</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100.85%</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人为增加工资基数，年初预算数据偏大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74.33</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74.96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用于缴纳教师住房公积金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000000" w:themeColor="text1"/>
                <w:sz w:val="18"/>
                <w:szCs w:val="18"/>
                <w:highlight w:val="none"/>
                <w:lang w:val="en-US" w:eastAsia="zh-CN"/>
                <w14:textFill>
                  <w14:solidFill>
                    <w14:schemeClr w14:val="tx1"/>
                  </w14:solidFill>
                </w14:textFill>
              </w:rPr>
              <w:t>人为增加工资基数，年初预算数据偏大</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right="0" w:right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五</w:t>
      </w:r>
      <w:r>
        <w:rPr>
          <w:rFonts w:hint="eastAsia" w:ascii="仿宋" w:hAnsi="仿宋" w:eastAsia="仿宋"/>
          <w:sz w:val="32"/>
          <w:szCs w:val="32"/>
          <w:highlight w:val="none"/>
          <w:lang w:eastAsia="zh-CN"/>
        </w:rPr>
        <w:t>）</w:t>
      </w: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131.95</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原因是：政府加大投资力度，学校严格按照资金管理办法使用。</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用于学校活动正常运转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切实按照资金管理办法执行。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131.95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color w:val="auto"/>
                <w:sz w:val="18"/>
                <w:szCs w:val="18"/>
                <w:highlight w:val="none"/>
                <w:lang w:val="en-US" w:eastAsia="zh-CN"/>
              </w:rPr>
              <w:t>用于学校活动正常运转</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切实按照资金管理办法执行。</w:t>
            </w: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环江毛南族自治县第四初级中学2022年度一般公共预算财政拨款基本支出</w:t>
      </w:r>
      <w:r>
        <w:rPr>
          <w:rFonts w:ascii="仿宋" w:hAnsi="仿宋" w:eastAsia="仿宋" w:cs="仿宋"/>
          <w:sz w:val="32"/>
          <w:u w:color="auto"/>
        </w:rPr>
        <w:t>1321.01</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1181.44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139.58</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864.63万元，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116.5%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主要原因是：教师工资提高及奖励性绩效工资的发放。</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357.31万元，30102津贴补贴27.22万元，30103奖金112.53万元，30107绩效工资147.35万元，30108机关事业单位基本养老保险缴费93.62万元，30110职工基本医疗保险缴费45.90万元，30112其他社会保障缴费5.74万元，30113住房公积金74.96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商品和服务支出</w:t>
      </w:r>
      <w:r>
        <w:rPr>
          <w:rFonts w:ascii="仿宋" w:hAnsi="仿宋" w:eastAsia="仿宋" w:cs="仿宋"/>
          <w:sz w:val="32"/>
          <w:u w:color="auto"/>
        </w:rPr>
        <w:t>139.58万元，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1126.55%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主要原因是：政府加大投资力度，学校费用开支大。</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30.79万元，30205水费14.01万元，30206电费26.80万元，30207邮电费8.13万元，30209物业管理费0.45万元，30211差旅费0.58万元，30213维修（护）费11.57万元，30218专用材料费3.03万元，30226劳务费27.09万元，30228工会经费12.39万元，30299其他商品和服务支出4.74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316.81万元，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1584050%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主要原因是：年初预算经费时无法预测调进人员及新招教师部分经费。</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30305生活补助4.87万元，30308助学金311.94万元。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主要原因是：本单位无债务。</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778125"/>
            <wp:effectExtent l="4445" t="4445" r="16510" b="17780"/>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资本性支出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58465"/>
            <wp:effectExtent l="4445" t="4445" r="16510" b="8890"/>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1"/>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sz w:val="32"/>
          <w:szCs w:val="32"/>
          <w:highlight w:val="none"/>
        </w:rPr>
        <w:t>（简要说明预决算差异）</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主要原因是：本年度本单位无</w:t>
      </w:r>
      <w:r>
        <w:rPr>
          <w:rFonts w:hint="eastAsia" w:ascii="仿宋" w:hAnsi="仿宋" w:eastAsia="仿宋" w:cs="仿宋"/>
          <w:sz w:val="32"/>
          <w:szCs w:val="32"/>
          <w:highlight w:val="none"/>
        </w:rPr>
        <w:t>其他支出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环江毛南族自治县第四初级中学2022年度政府性基金支出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环江毛南族自治县第四初级中学2022年度政府性基金支出年初预算为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环江毛南族自治县第四初级中学</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环江毛南族自治县第四初级中学2022年度国有资本经营预算支出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环江毛南族自治县第四初级中学2022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环江毛南族自治县第四初级中学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numPr>
          <w:ilvl w:val="0"/>
          <w:numId w:val="2"/>
        </w:numPr>
        <w:ind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本单位没有三公经费收入和支出。</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numPr>
          <w:numId w:val="0"/>
        </w:num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一</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本单位没有三公经费收入和支出。</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numPr>
          <w:ilvl w:val="0"/>
          <w:numId w:val="0"/>
        </w:numPr>
        <w:ind w:firstLine="640" w:firstLineChars="200"/>
        <w:jc w:val="left"/>
        <w:rPr>
          <w:rFonts w:hint="eastAsia" w:ascii="仿宋" w:hAnsi="仿宋" w:eastAsia="仿宋" w:cs="仿宋"/>
          <w:color w:val="auto"/>
          <w:sz w:val="32"/>
          <w:szCs w:val="32"/>
        </w:rPr>
      </w:pP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二</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无公务用车购置</w:t>
      </w:r>
      <w:bookmarkEnd w:id="5"/>
      <w:r>
        <w:rPr>
          <w:rFonts w:hint="eastAsia" w:ascii="仿宋" w:hAnsi="仿宋" w:eastAsia="仿宋" w:cs="仿宋"/>
          <w:color w:val="auto"/>
          <w:sz w:val="32"/>
          <w:szCs w:val="32"/>
        </w:rPr>
        <w:t>。</w:t>
      </w:r>
    </w:p>
    <w:p>
      <w:pPr>
        <w:numPr>
          <w:ilvl w:val="0"/>
          <w:numId w:val="0"/>
        </w:num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无公务用车</w:t>
      </w:r>
      <w:r>
        <w:rPr>
          <w:rFonts w:hint="eastAsia" w:ascii="仿宋" w:hAnsi="仿宋" w:eastAsia="仿宋" w:cs="仿宋"/>
          <w:color w:val="auto"/>
          <w:sz w:val="32"/>
          <w:szCs w:val="32"/>
          <w:lang w:eastAsia="zh-CN"/>
        </w:rPr>
        <w:t>。</w:t>
      </w:r>
    </w:p>
    <w:p>
      <w:pPr>
        <w:numPr>
          <w:ilvl w:val="0"/>
          <w:numId w:val="0"/>
        </w:num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sz w:val="32"/>
          <w:szCs w:val="32"/>
        </w:rPr>
        <w:t>本</w:t>
      </w:r>
      <w:r>
        <w:rPr>
          <w:rFonts w:hint="eastAsia" w:ascii="仿宋" w:hAnsi="仿宋" w:eastAsia="仿宋" w:cs="仿宋"/>
          <w:color w:val="auto"/>
          <w:sz w:val="32"/>
          <w:szCs w:val="32"/>
          <w:lang w:val="en-US" w:eastAsia="zh-CN"/>
        </w:rPr>
        <w:t>单位</w:t>
      </w:r>
      <w:r>
        <w:rPr>
          <w:rFonts w:hint="eastAsia" w:ascii="仿宋" w:hAnsi="仿宋" w:eastAsia="仿宋" w:cs="仿宋"/>
          <w:color w:val="auto"/>
          <w:sz w:val="32"/>
          <w:szCs w:val="32"/>
        </w:rPr>
        <w:t>无公务</w:t>
      </w:r>
      <w:r>
        <w:rPr>
          <w:rFonts w:hint="eastAsia" w:ascii="仿宋" w:hAnsi="仿宋" w:eastAsia="仿宋" w:cs="仿宋"/>
          <w:color w:val="auto"/>
          <w:sz w:val="32"/>
          <w:szCs w:val="32"/>
          <w:lang w:val="en-US" w:eastAsia="zh-CN"/>
        </w:rPr>
        <w:t>接待</w:t>
      </w:r>
      <w:r>
        <w:rPr>
          <w:rFonts w:hint="eastAsia" w:ascii="仿宋" w:hAnsi="仿宋" w:eastAsia="仿宋" w:cs="仿宋"/>
          <w:color w:val="auto"/>
          <w:sz w:val="32"/>
          <w:szCs w:val="32"/>
          <w:lang w:eastAsia="zh-CN"/>
        </w:rPr>
        <w:t>。</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本部门无机关运行经费支出。</w:t>
      </w:r>
      <w:bookmarkStart w:id="6" w:name="_GoBack"/>
      <w:bookmarkEnd w:id="6"/>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3</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528.163</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67</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一</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13</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449.582</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万元。从评价情况来看，该项目目标明确，组织管理到位，执行项目有力，资金管理规范，综合评价结果为优</w:t>
      </w:r>
      <w:r>
        <w:rPr>
          <w:rFonts w:hint="eastAsia" w:ascii="仿宋" w:hAnsi="仿宋" w:eastAsia="仿宋" w:cs="仿宋"/>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本</w:t>
      </w:r>
      <w:r>
        <w:rPr>
          <w:rFonts w:hint="eastAsia" w:ascii="仿宋" w:hAnsi="仿宋" w:eastAsia="仿宋" w:cs="仿宋"/>
          <w:color w:val="000000" w:themeColor="text1"/>
          <w:sz w:val="32"/>
          <w:szCs w:val="32"/>
          <w14:textFill>
            <w14:solidFill>
              <w14:schemeClr w14:val="tx1"/>
            </w14:solidFill>
          </w14:textFill>
        </w:rPr>
        <w:t>单位开展整体支出绩效评价试点，涉及一般公共预算支出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528.163</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本单位</w:t>
      </w:r>
      <w:r>
        <w:rPr>
          <w:rFonts w:hint="eastAsia" w:ascii="仿宋" w:hAnsi="仿宋" w:eastAsia="仿宋" w:cs="仿宋"/>
          <w:color w:val="000000" w:themeColor="text1"/>
          <w:sz w:val="32"/>
          <w:szCs w:val="32"/>
          <w14:textFill>
            <w14:solidFill>
              <w14:schemeClr w14:val="tx1"/>
            </w14:solidFill>
          </w14:textFill>
        </w:rPr>
        <w:t>项目目标明确，组织管理到位，执行项目有力，资金管理规范，</w:t>
      </w:r>
      <w:r>
        <w:rPr>
          <w:rFonts w:hint="eastAsia" w:ascii="仿宋" w:hAnsi="仿宋" w:eastAsia="仿宋" w:cs="仿宋"/>
          <w:color w:val="000000" w:themeColor="text1"/>
          <w:sz w:val="32"/>
          <w:szCs w:val="32"/>
          <w:lang w:eastAsia="zh-CN"/>
          <w14:textFill>
            <w14:solidFill>
              <w14:schemeClr w14:val="tx1"/>
            </w14:solidFill>
          </w14:textFill>
        </w:rPr>
        <w:t>进一步提高了我单位的绩效管理水平，更加认识到了绩效管理对部门综合管理提升的重要性，自评结果将用于2022年及以后年度编制部门预算的重要参考和日常管理的标靶，吸取经验，改进工作，让工作与绩效目标匹配，让成果与工作推进互动，以经得起上级、服务对象及社会大众的肯定和满意为准绳，继续开展财政部门预算的绩效评价工作。</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2.部门决算中项目绩效自评结果</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分。发现的主要问题及原因：一是学校报账材料整理比</w:t>
      </w:r>
      <w:r>
        <w:rPr>
          <w:rFonts w:hint="eastAsia" w:ascii="仿宋" w:hAnsi="仿宋" w:eastAsia="仿宋" w:cs="仿宋"/>
          <w:color w:val="000000" w:themeColor="text1"/>
          <w:sz w:val="32"/>
          <w:szCs w:val="32"/>
          <w:lang w:val="en-US" w:eastAsia="zh-CN"/>
          <w14:textFill>
            <w14:solidFill>
              <w14:schemeClr w14:val="tx1"/>
            </w14:solidFill>
          </w14:textFill>
        </w:rPr>
        <w:t>较</w:t>
      </w:r>
      <w:r>
        <w:rPr>
          <w:rFonts w:hint="eastAsia" w:ascii="仿宋" w:hAnsi="仿宋" w:eastAsia="仿宋" w:cs="仿宋"/>
          <w:color w:val="000000" w:themeColor="text1"/>
          <w:sz w:val="32"/>
          <w:szCs w:val="32"/>
          <w14:textFill>
            <w14:solidFill>
              <w14:schemeClr w14:val="tx1"/>
            </w14:solidFill>
          </w14:textFill>
        </w:rPr>
        <w:t>慢。下一步改进措施：一是</w:t>
      </w:r>
      <w:r>
        <w:rPr>
          <w:rFonts w:hint="eastAsia" w:ascii="仿宋" w:hAnsi="仿宋" w:eastAsia="仿宋" w:cs="仿宋"/>
          <w:color w:val="000000" w:themeColor="text1"/>
          <w:sz w:val="32"/>
          <w:szCs w:val="32"/>
          <w:lang w:eastAsia="zh-CN"/>
          <w14:textFill>
            <w14:solidFill>
              <w14:schemeClr w14:val="tx1"/>
            </w14:solidFill>
          </w14:textFill>
        </w:rPr>
        <w:t>及时整理报账材料</w:t>
      </w:r>
      <w:r>
        <w:rPr>
          <w:rFonts w:hint="eastAsia" w:ascii="仿宋" w:hAnsi="仿宋" w:eastAsia="仿宋" w:cs="仿宋"/>
          <w:color w:val="000000" w:themeColor="text1"/>
          <w:sz w:val="32"/>
          <w:szCs w:val="32"/>
          <w14:textFill>
            <w14:solidFill>
              <w14:schemeClr w14:val="tx1"/>
            </w14:solidFill>
          </w14:textFill>
        </w:rPr>
        <w:t>；二是与财政沟通第二年</w:t>
      </w:r>
      <w:r>
        <w:rPr>
          <w:rFonts w:hint="eastAsia" w:ascii="仿宋" w:hAnsi="仿宋" w:eastAsia="仿宋" w:cs="仿宋"/>
          <w:color w:val="000000" w:themeColor="text1"/>
          <w:sz w:val="32"/>
          <w:szCs w:val="32"/>
          <w:lang w:eastAsia="zh-CN"/>
          <w14:textFill>
            <w14:solidFill>
              <w14:schemeClr w14:val="tx1"/>
            </w14:solidFill>
          </w14:textFill>
        </w:rPr>
        <w:t>继续</w:t>
      </w:r>
      <w:r>
        <w:rPr>
          <w:rFonts w:hint="eastAsia" w:ascii="仿宋" w:hAnsi="仿宋" w:eastAsia="仿宋" w:cs="仿宋"/>
          <w:color w:val="000000" w:themeColor="text1"/>
          <w:sz w:val="32"/>
          <w:szCs w:val="32"/>
          <w14:textFill>
            <w14:solidFill>
              <w14:schemeClr w14:val="tx1"/>
            </w14:solidFill>
          </w14:textFill>
        </w:rPr>
        <w:t>支付</w:t>
      </w:r>
      <w:r>
        <w:rPr>
          <w:rFonts w:hint="eastAsia" w:ascii="仿宋" w:hAnsi="仿宋" w:eastAsia="仿宋" w:cs="仿宋"/>
          <w:color w:val="000000" w:themeColor="text1"/>
          <w:sz w:val="32"/>
          <w:szCs w:val="32"/>
          <w:lang w:val="en-US" w:eastAsia="zh-CN"/>
          <w14:textFill>
            <w14:solidFill>
              <w14:schemeClr w14:val="tx1"/>
            </w14:solidFill>
          </w14:textFill>
        </w:rPr>
        <w:t>该项金额；三是完善项目相关管理制度，并依照制度办事，为项目的实施提供有效的保障。</w:t>
      </w:r>
    </w:p>
    <w:p>
      <w:pPr>
        <w:jc w:val="left"/>
        <w:rPr>
          <w:rFonts w:hint="eastAsia" w:ascii="仿宋" w:hAnsi="仿宋" w:eastAsia="仿宋" w:cs="仿宋"/>
          <w:sz w:val="32"/>
          <w:szCs w:val="32"/>
          <w:highlight w:val="none"/>
        </w:rPr>
      </w:pPr>
    </w:p>
    <w:p>
      <w:pPr>
        <w:jc w:val="left"/>
        <w:rPr>
          <w:rFonts w:hint="eastAsia" w:ascii="仿宋" w:hAnsi="仿宋" w:eastAsia="仿宋" w:cs="仿宋"/>
          <w:sz w:val="32"/>
          <w:szCs w:val="32"/>
          <w:highlight w:val="none"/>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1">
    <w:nsid w:val="3E0B2D27"/>
    <w:multiLevelType w:val="singleLevel"/>
    <w:tmpl w:val="3E0B2D2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Y5YTA0ZWQ1N2YwNDE3NzVkYWRkZjQyNWE1NjliOTU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22E90"/>
    <w:rsid w:val="01234E98"/>
    <w:rsid w:val="015E0632"/>
    <w:rsid w:val="015F1951"/>
    <w:rsid w:val="020C171D"/>
    <w:rsid w:val="0216715F"/>
    <w:rsid w:val="02E0291A"/>
    <w:rsid w:val="04806B11"/>
    <w:rsid w:val="04E54546"/>
    <w:rsid w:val="05856AD5"/>
    <w:rsid w:val="05992762"/>
    <w:rsid w:val="0700284C"/>
    <w:rsid w:val="079A524B"/>
    <w:rsid w:val="07B0770E"/>
    <w:rsid w:val="0840235A"/>
    <w:rsid w:val="0942143F"/>
    <w:rsid w:val="09B96D4E"/>
    <w:rsid w:val="0B9D61FB"/>
    <w:rsid w:val="0D100297"/>
    <w:rsid w:val="0D202B45"/>
    <w:rsid w:val="0EB34DF7"/>
    <w:rsid w:val="0F8D4C87"/>
    <w:rsid w:val="10505FAA"/>
    <w:rsid w:val="105F7E7E"/>
    <w:rsid w:val="11E56B5B"/>
    <w:rsid w:val="125C77AB"/>
    <w:rsid w:val="13A256FD"/>
    <w:rsid w:val="14C96EB3"/>
    <w:rsid w:val="14CB726E"/>
    <w:rsid w:val="15767E12"/>
    <w:rsid w:val="17E92249"/>
    <w:rsid w:val="189C1D14"/>
    <w:rsid w:val="18D304F1"/>
    <w:rsid w:val="198D7564"/>
    <w:rsid w:val="19F32577"/>
    <w:rsid w:val="19F45B80"/>
    <w:rsid w:val="1AE43D03"/>
    <w:rsid w:val="1B0C078D"/>
    <w:rsid w:val="1B2B31E2"/>
    <w:rsid w:val="1B4C295A"/>
    <w:rsid w:val="1B636B19"/>
    <w:rsid w:val="1B973C63"/>
    <w:rsid w:val="1BA1001E"/>
    <w:rsid w:val="1BBE6445"/>
    <w:rsid w:val="1C7865F4"/>
    <w:rsid w:val="1CC01D49"/>
    <w:rsid w:val="1D317259"/>
    <w:rsid w:val="1E030F35"/>
    <w:rsid w:val="1E032872"/>
    <w:rsid w:val="1E664F5B"/>
    <w:rsid w:val="1EB34BE1"/>
    <w:rsid w:val="21020B82"/>
    <w:rsid w:val="215E639F"/>
    <w:rsid w:val="21D00F87"/>
    <w:rsid w:val="21EC3183"/>
    <w:rsid w:val="225E72CD"/>
    <w:rsid w:val="246E2F77"/>
    <w:rsid w:val="248A3FFE"/>
    <w:rsid w:val="24DF4095"/>
    <w:rsid w:val="254B4E2B"/>
    <w:rsid w:val="26876A4C"/>
    <w:rsid w:val="283D7C94"/>
    <w:rsid w:val="29480E03"/>
    <w:rsid w:val="2983634D"/>
    <w:rsid w:val="2BB02055"/>
    <w:rsid w:val="2C575A56"/>
    <w:rsid w:val="2D636E4D"/>
    <w:rsid w:val="2E8E1CA7"/>
    <w:rsid w:val="2F257714"/>
    <w:rsid w:val="2F3275E5"/>
    <w:rsid w:val="30894E1C"/>
    <w:rsid w:val="30AA08EF"/>
    <w:rsid w:val="30D23D1C"/>
    <w:rsid w:val="31221CF5"/>
    <w:rsid w:val="31400178"/>
    <w:rsid w:val="317F3B29"/>
    <w:rsid w:val="321E3342"/>
    <w:rsid w:val="327759C8"/>
    <w:rsid w:val="32AC4DF2"/>
    <w:rsid w:val="33185FE3"/>
    <w:rsid w:val="344572AC"/>
    <w:rsid w:val="34EE2E36"/>
    <w:rsid w:val="3675520D"/>
    <w:rsid w:val="36777241"/>
    <w:rsid w:val="371E78D5"/>
    <w:rsid w:val="37F232A7"/>
    <w:rsid w:val="38A951DB"/>
    <w:rsid w:val="38B31605"/>
    <w:rsid w:val="39003F4F"/>
    <w:rsid w:val="390A2872"/>
    <w:rsid w:val="395104A1"/>
    <w:rsid w:val="3A173A5B"/>
    <w:rsid w:val="3A9E3272"/>
    <w:rsid w:val="3C07002B"/>
    <w:rsid w:val="3D0D152A"/>
    <w:rsid w:val="3DF62756"/>
    <w:rsid w:val="3F1B7587"/>
    <w:rsid w:val="40AE7F87"/>
    <w:rsid w:val="41E57B4F"/>
    <w:rsid w:val="432F26F6"/>
    <w:rsid w:val="43880F63"/>
    <w:rsid w:val="43E314B5"/>
    <w:rsid w:val="441C5A6F"/>
    <w:rsid w:val="44C44FCC"/>
    <w:rsid w:val="44CC7369"/>
    <w:rsid w:val="457F5108"/>
    <w:rsid w:val="46116FEE"/>
    <w:rsid w:val="4670640B"/>
    <w:rsid w:val="46951B6B"/>
    <w:rsid w:val="49A34401"/>
    <w:rsid w:val="4A3E30AB"/>
    <w:rsid w:val="4AC14DAC"/>
    <w:rsid w:val="4D154C85"/>
    <w:rsid w:val="4EB35ECE"/>
    <w:rsid w:val="4F1B22DD"/>
    <w:rsid w:val="508F4E24"/>
    <w:rsid w:val="51461E90"/>
    <w:rsid w:val="51463753"/>
    <w:rsid w:val="52553A93"/>
    <w:rsid w:val="52BC29D7"/>
    <w:rsid w:val="53521F8B"/>
    <w:rsid w:val="53E22F47"/>
    <w:rsid w:val="54324CFF"/>
    <w:rsid w:val="54522FF8"/>
    <w:rsid w:val="54717C8F"/>
    <w:rsid w:val="54A650FD"/>
    <w:rsid w:val="55450629"/>
    <w:rsid w:val="55EB785C"/>
    <w:rsid w:val="56692963"/>
    <w:rsid w:val="568B0F48"/>
    <w:rsid w:val="5786217B"/>
    <w:rsid w:val="591F781C"/>
    <w:rsid w:val="59337A15"/>
    <w:rsid w:val="59810274"/>
    <w:rsid w:val="5CA96A00"/>
    <w:rsid w:val="5CF52D6E"/>
    <w:rsid w:val="5CF730BC"/>
    <w:rsid w:val="5E5F0DCE"/>
    <w:rsid w:val="5FA40A7B"/>
    <w:rsid w:val="5FD56D29"/>
    <w:rsid w:val="5FEC7F3F"/>
    <w:rsid w:val="60F74BC3"/>
    <w:rsid w:val="617D3BF8"/>
    <w:rsid w:val="61841F6A"/>
    <w:rsid w:val="621872A1"/>
    <w:rsid w:val="623007A9"/>
    <w:rsid w:val="63796F15"/>
    <w:rsid w:val="637D7558"/>
    <w:rsid w:val="644F19AC"/>
    <w:rsid w:val="65AA4920"/>
    <w:rsid w:val="65E31D0B"/>
    <w:rsid w:val="67694F1E"/>
    <w:rsid w:val="69577368"/>
    <w:rsid w:val="69597934"/>
    <w:rsid w:val="6B964DDC"/>
    <w:rsid w:val="6C783074"/>
    <w:rsid w:val="6D5A646E"/>
    <w:rsid w:val="6D9E65C6"/>
    <w:rsid w:val="6DA81947"/>
    <w:rsid w:val="6EB66DE2"/>
    <w:rsid w:val="6ED3075F"/>
    <w:rsid w:val="6EF647E8"/>
    <w:rsid w:val="6F2A2D4B"/>
    <w:rsid w:val="6F8A0C1E"/>
    <w:rsid w:val="703F45D4"/>
    <w:rsid w:val="70C551BD"/>
    <w:rsid w:val="711E17C8"/>
    <w:rsid w:val="715D6546"/>
    <w:rsid w:val="71BE069E"/>
    <w:rsid w:val="73953409"/>
    <w:rsid w:val="73E069A3"/>
    <w:rsid w:val="749E7847"/>
    <w:rsid w:val="773A78A3"/>
    <w:rsid w:val="78104AA8"/>
    <w:rsid w:val="78E257C5"/>
    <w:rsid w:val="794B35BE"/>
    <w:rsid w:val="7B0A3A31"/>
    <w:rsid w:val="7B3360ED"/>
    <w:rsid w:val="7BDF037E"/>
    <w:rsid w:val="7BF50948"/>
    <w:rsid w:val="7BFFE6C1"/>
    <w:rsid w:val="7CE66A78"/>
    <w:rsid w:val="7CF8312F"/>
    <w:rsid w:val="7D23564C"/>
    <w:rsid w:val="7D5E062D"/>
    <w:rsid w:val="7DD55A70"/>
    <w:rsid w:val="7DF76CD8"/>
    <w:rsid w:val="7EB268B9"/>
    <w:rsid w:val="7F695C26"/>
    <w:rsid w:val="7FCF62D3"/>
    <w:rsid w:val="E8FE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0.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1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1522.35</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0</c:v>
                </c:pt>
                <c:pt idx="4">
                  <c:v>4.87</c:v>
                </c:pt>
                <c:pt idx="5">
                  <c:v>0</c:v>
                </c:pt>
                <c:pt idx="6">
                  <c:v>0</c:v>
                </c:pt>
                <c:pt idx="7">
                  <c:v>311.94</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755.12</c:v>
                </c:pt>
                <c:pt idx="2">
                  <c:v>34.78</c:v>
                </c:pt>
                <c:pt idx="3">
                  <c:v>26.03</c:v>
                </c:pt>
                <c:pt idx="4">
                  <c:v>48.3</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12.39</c:v>
                </c:pt>
                <c:pt idx="1">
                  <c:v>1209.44</c:v>
                </c:pt>
                <c:pt idx="2">
                  <c:v>93.62</c:v>
                </c:pt>
                <c:pt idx="3">
                  <c:v>74.96</c:v>
                </c:pt>
                <c:pt idx="4">
                  <c:v>131.95</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12.39</c:v>
                </c:pt>
                <c:pt idx="1">
                  <c:v>12.39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2050203</c:v>
                </c:pt>
                <c:pt idx="1">
                  <c:v>2050299</c:v>
                </c:pt>
                <c:pt idx="2">
                  <c:v>205x</c:v>
                </c:pt>
              </c:strCache>
            </c:strRef>
          </c:cat>
          <c:val>
            <c:numRef>
              <c:f>Sheet1!$B$2:$B$4</c:f>
              <c:numCache>
                <c:formatCode>General</c:formatCode>
                <c:ptCount val="3"/>
                <c:pt idx="0">
                  <c:v>1130.98</c:v>
                </c:pt>
                <c:pt idx="1">
                  <c:v>78.46</c:v>
                </c:pt>
                <c:pt idx="2">
                  <c:v>1209.44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93.62</c:v>
                </c:pt>
                <c:pt idx="1">
                  <c:v>93.62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74.96</c:v>
                </c:pt>
                <c:pt idx="1">
                  <c:v>74.96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131.95</c:v>
                </c:pt>
                <c:pt idx="1">
                  <c:v>131.95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357.31</c:v>
                </c:pt>
                <c:pt idx="1">
                  <c:v>27.22</c:v>
                </c:pt>
                <c:pt idx="2">
                  <c:v>112.53</c:v>
                </c:pt>
                <c:pt idx="3">
                  <c:v>0</c:v>
                </c:pt>
                <c:pt idx="4">
                  <c:v>147.35</c:v>
                </c:pt>
                <c:pt idx="5">
                  <c:v>93.62</c:v>
                </c:pt>
                <c:pt idx="6">
                  <c:v>0</c:v>
                </c:pt>
                <c:pt idx="7">
                  <c:v>45.9</c:v>
                </c:pt>
                <c:pt idx="8">
                  <c:v>0</c:v>
                </c:pt>
                <c:pt idx="9">
                  <c:v>5.74</c:v>
                </c:pt>
                <c:pt idx="10">
                  <c:v>74.96</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30.79</c:v>
                </c:pt>
                <c:pt idx="1">
                  <c:v>0</c:v>
                </c:pt>
                <c:pt idx="2">
                  <c:v>0</c:v>
                </c:pt>
                <c:pt idx="3">
                  <c:v>0</c:v>
                </c:pt>
                <c:pt idx="4">
                  <c:v>14.01</c:v>
                </c:pt>
                <c:pt idx="5">
                  <c:v>26.8</c:v>
                </c:pt>
                <c:pt idx="6">
                  <c:v>8.13</c:v>
                </c:pt>
                <c:pt idx="7">
                  <c:v>0</c:v>
                </c:pt>
                <c:pt idx="8">
                  <c:v>0.45</c:v>
                </c:pt>
                <c:pt idx="9">
                  <c:v>0.58</c:v>
                </c:pt>
                <c:pt idx="10">
                  <c:v>0</c:v>
                </c:pt>
                <c:pt idx="11">
                  <c:v>11.57</c:v>
                </c:pt>
                <c:pt idx="12">
                  <c:v>0</c:v>
                </c:pt>
                <c:pt idx="13">
                  <c:v>0</c:v>
                </c:pt>
                <c:pt idx="14">
                  <c:v>0</c:v>
                </c:pt>
                <c:pt idx="15">
                  <c:v>0</c:v>
                </c:pt>
                <c:pt idx="16">
                  <c:v>3.03</c:v>
                </c:pt>
                <c:pt idx="17">
                  <c:v>0</c:v>
                </c:pt>
                <c:pt idx="18">
                  <c:v>0</c:v>
                </c:pt>
                <c:pt idx="19">
                  <c:v>27.09</c:v>
                </c:pt>
                <c:pt idx="20">
                  <c:v>0</c:v>
                </c:pt>
                <c:pt idx="21">
                  <c:v>12.39</c:v>
                </c:pt>
                <c:pt idx="22">
                  <c:v>0</c:v>
                </c:pt>
                <c:pt idx="23">
                  <c:v>0</c:v>
                </c:pt>
                <c:pt idx="24">
                  <c:v>0</c:v>
                </c:pt>
                <c:pt idx="25">
                  <c:v>0</c:v>
                </c:pt>
                <c:pt idx="26">
                  <c:v>4.74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16</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2023-08-17T10:06:00Z</dcterms:created>
  <dc:creator>C D D</dc:creator>
  <cp:lastModifiedBy>Administrator</cp:lastModifiedBy>
  <dcterms:modified xsi:type="dcterms:W3CDTF">2023-11-28T08:19:59Z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B1133A0541504F4F842116789B38CA7C_13</vt:lpwstr>
  </property>
</Properties>
</file>