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环江毛南族自治县思源实验学校(</w:t>
      </w:r>
      <w:r>
        <w:rPr>
          <w:rFonts w:hint="eastAsia" w:ascii="黑体" w:hAnsi="黑体" w:eastAsia="黑体" w:cs="黑体"/>
          <w:b/>
          <w:bCs/>
          <w:sz w:val="52"/>
          <w:szCs w:val="52"/>
          <w:highlight w:val="none"/>
          <w:lang w:val="en-US" w:eastAsia="zh-CN"/>
        </w:rPr>
        <w:t>第四</w:t>
      </w:r>
      <w:r>
        <w:rPr>
          <w:rFonts w:hint="eastAsia" w:ascii="黑体" w:hAnsi="黑体" w:eastAsia="黑体" w:cs="黑体"/>
          <w:b/>
          <w:bCs/>
          <w:sz w:val="52"/>
          <w:szCs w:val="52"/>
          <w:highlight w:val="none"/>
        </w:rPr>
        <w:t>小学）2022年度部门决算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2880" w:firstLineChars="800"/>
        <w:jc w:val="left"/>
        <w:rPr>
          <w:rFonts w:hint="eastAsia" w:ascii="仿宋" w:hAnsi="仿宋" w:eastAsia="仿宋" w:cs="仿宋"/>
          <w:sz w:val="32"/>
          <w:szCs w:val="32"/>
          <w:highlight w:val="none"/>
          <w:lang w:eastAsia="zh-CN"/>
        </w:rPr>
      </w:pPr>
      <w:r>
        <w:rPr>
          <w:rFonts w:hint="eastAsia" w:ascii="黑体" w:hAnsi="黑体" w:eastAsia="黑体" w:cs="黑体"/>
          <w:sz w:val="36"/>
          <w:szCs w:val="36"/>
          <w:highlight w:val="none"/>
          <w:lang w:eastAsia="zh-CN"/>
        </w:rPr>
        <w:t>单位负责人：蒙继烟</w:t>
      </w:r>
    </w:p>
    <w:p>
      <w:pPr>
        <w:jc w:val="left"/>
        <w:rPr>
          <w:rFonts w:ascii="仿宋" w:hAnsi="仿宋" w:eastAsia="仿宋" w:cs="仿宋"/>
          <w:sz w:val="32"/>
          <w:szCs w:val="32"/>
          <w:highlight w:val="none"/>
        </w:rPr>
      </w:pPr>
    </w:p>
    <w:p>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环江毛南族自治县思源实验学校(小学）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环江毛南族自治县思源实验学校(小学）</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环江毛南族自治县思源实验学校(小学）</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环江毛南族自治县思源实验学校(小学）</w:t>
      </w:r>
      <w:r>
        <w:rPr>
          <w:rFonts w:hint="eastAsia" w:ascii="黑体" w:hAnsi="黑体" w:eastAsia="黑体" w:cs="黑体"/>
          <w:b/>
          <w:bCs/>
          <w:sz w:val="32"/>
          <w:szCs w:val="32"/>
          <w:highlight w:val="none"/>
        </w:rPr>
        <w:t>概况</w:t>
      </w:r>
    </w:p>
    <w:p>
      <w:pPr>
        <w:numPr>
          <w:ilvl w:val="0"/>
          <w:numId w:val="1"/>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主要职能</w:t>
      </w:r>
    </w:p>
    <w:p>
      <w:pPr>
        <w:numPr>
          <w:ilvl w:val="0"/>
          <w:numId w:val="0"/>
        </w:numPr>
        <w:jc w:val="lef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环江毛南族自治县思源实验学校（小学部）的主要职能是：</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（一）学校贯彻执行党和国家的教育方针、政策和法律法规；拟订学校教育改革与发展规划并组织实施。</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（二）编制学校教育事业发展规划并检查实施情况，向自治县人民政府和上级教育部门作出报告。</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（三）督促检查学校贯彻执行教育方针、政策、法令、法规和上级的各项规定；评估学校教育教学工作。</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（四）执行义务教育均衡发展和促进教育公平。</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（五）负责学校教师队伍建设，包括教师岗位培训、后备干部队伍建设、教师学历教育、继续教育等。</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（六）学校做好中考和学生学籍管理工作。</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（七）按照中央关于全面推进素质教育要求，负责学校教育教学管理、教育教学改革及教育教学科学研究工作，检查指导教师实施素质教育工作，并组织推广先进的教育教学经验。</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（八）检查教师的教育教学设备装备、管理和使用工作。</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（九）检查学校教师开展电化教育和信息化教学工作。</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（十）组织学校教师参加初级专业技术职务资格和中、高级专业技术职务资格的申报工作。按照管理权限对教师进行考核、聘任、奖惩、晋升等工作。</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（十一）规范学校经费管理与使用工作。</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（十二）负责组织学校教学教育常规管理工作，包括德育、体育、卫生、艺术、安全等。</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（十三）组织学生进行其中和期末教学质量检测工作。</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（十四）负责指导学校学生资助管理工作。</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（十五）负责语言文字和指导推广普通话工作。</w:t>
      </w:r>
    </w:p>
    <w:p>
      <w:pPr>
        <w:autoSpaceDE w:val="0"/>
        <w:autoSpaceDN w:val="0"/>
        <w:adjustRightInd w:val="0"/>
        <w:spacing w:line="520" w:lineRule="exact"/>
        <w:jc w:val="left"/>
        <w:rPr>
          <w:rFonts w:hint="eastAsia" w:ascii="仿宋" w:hAnsi="仿宋" w:eastAsia="仿宋" w:cs="仿宋"/>
          <w:color w:val="FF0000"/>
          <w:sz w:val="32"/>
          <w:szCs w:val="32"/>
          <w:lang w:val="en-US" w:eastAsia="zh-CN"/>
        </w:rPr>
      </w:pPr>
      <w:r>
        <w:rPr>
          <w:rFonts w:hint="eastAsia" w:ascii="仿宋_GB2312" w:eastAsia="仿宋_GB2312" w:cs="仿宋_GB2312"/>
          <w:kern w:val="0"/>
          <w:sz w:val="32"/>
          <w:szCs w:val="32"/>
        </w:rPr>
        <w:t>（十六）完成上级部门交办的其他工作。</w:t>
      </w:r>
    </w:p>
    <w:p>
      <w:pPr>
        <w:jc w:val="left"/>
        <w:rPr>
          <w:rFonts w:hint="eastAsia" w:ascii="仿宋" w:hAnsi="仿宋" w:eastAsia="仿宋" w:cs="仿宋"/>
          <w:sz w:val="32"/>
          <w:szCs w:val="32"/>
        </w:rPr>
      </w:pPr>
      <w:r>
        <w:rPr>
          <w:rFonts w:hint="eastAsia" w:ascii="黑体" w:hAnsi="黑体" w:eastAsia="黑体" w:cs="黑体"/>
          <w:sz w:val="32"/>
          <w:szCs w:val="32"/>
          <w:highlight w:val="none"/>
        </w:rPr>
        <w:t>二、部门决算单位构成</w:t>
      </w:r>
    </w:p>
    <w:p>
      <w:pPr>
        <w:spacing w:line="460" w:lineRule="exact"/>
        <w:ind w:firstLine="617" w:firstLineChars="193"/>
        <w:rPr>
          <w:rFonts w:hint="eastAsia" w:ascii="仿宋_GB2312" w:eastAsia="仿宋_GB2312" w:cs="仿宋_GB2312"/>
          <w:kern w:val="0"/>
          <w:sz w:val="32"/>
          <w:szCs w:val="32"/>
        </w:rPr>
      </w:pPr>
      <w:r>
        <w:rPr>
          <w:rFonts w:hint="eastAsia" w:ascii="仿宋_GB2312" w:hAnsi="仿宋_GB2312" w:eastAsia="仿宋_GB2312" w:cs="仿宋_GB2312"/>
          <w:color w:val="auto"/>
          <w:sz w:val="32"/>
          <w:szCs w:val="32"/>
        </w:rPr>
        <w:t>我部门没有下属单位，按照部门决算编报要求，单独编制本部门决算。</w:t>
      </w:r>
      <w:r>
        <w:rPr>
          <w:rFonts w:hint="eastAsia" w:ascii="仿宋_GB2312" w:eastAsia="仿宋_GB2312" w:cs="仿宋_GB2312"/>
          <w:kern w:val="0"/>
          <w:sz w:val="32"/>
          <w:szCs w:val="32"/>
        </w:rPr>
        <w:t>学校设有1</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个处室，分别为：行政办公室、总务处、教务处、政教处、</w:t>
      </w:r>
      <w:r>
        <w:rPr>
          <w:rFonts w:hint="eastAsia" w:ascii="仿宋_GB2312" w:eastAsia="仿宋_GB2312" w:cs="仿宋_GB2312"/>
          <w:kern w:val="0"/>
          <w:sz w:val="32"/>
          <w:szCs w:val="32"/>
          <w:lang w:eastAsia="zh-CN"/>
        </w:rPr>
        <w:t>安全办、</w:t>
      </w:r>
      <w:r>
        <w:rPr>
          <w:rFonts w:hint="eastAsia" w:ascii="仿宋_GB2312" w:eastAsia="仿宋_GB2312" w:cs="仿宋_GB2312"/>
          <w:kern w:val="0"/>
          <w:sz w:val="32"/>
          <w:szCs w:val="32"/>
        </w:rPr>
        <w:t>资助办、财务室、工会室、</w:t>
      </w:r>
      <w:r>
        <w:rPr>
          <w:rFonts w:hint="eastAsia" w:ascii="仿宋_GB2312" w:eastAsia="仿宋_GB2312" w:cs="仿宋_GB2312"/>
          <w:kern w:val="0"/>
          <w:sz w:val="32"/>
          <w:szCs w:val="32"/>
          <w:lang w:eastAsia="zh-CN"/>
        </w:rPr>
        <w:t>少先队员辅导室</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体育室、</w:t>
      </w:r>
      <w:r>
        <w:rPr>
          <w:rFonts w:hint="eastAsia" w:ascii="仿宋_GB2312" w:eastAsia="仿宋_GB2312" w:cs="仿宋_GB2312"/>
          <w:kern w:val="0"/>
          <w:sz w:val="32"/>
          <w:szCs w:val="32"/>
        </w:rPr>
        <w:t>心理辅导室。</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280" w:firstLineChars="4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环江毛南族自治县思源实验学校(小学）</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环江毛南族自治县思源实验学校(小学）</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1096.38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10.87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813.48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82.50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62.83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126.70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1096.38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1096.38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1096.38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1096.38</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环江毛南族自治县思源实验学校(小学）</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1096.38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1096.38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10.87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10.87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10.87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10.87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10.87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10.87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813.48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813.48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813.48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813.48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769.37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769.37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44.10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44.10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62.83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62.83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62.83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62.83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62.83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62.83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126.70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126.70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126.70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126.70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126.70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126.70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环江毛南族自治县思源实验学校(小学）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1096.38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910.68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185.70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10.87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10.87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10.87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10.87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10.87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10.87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813.48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754.48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813.48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754.48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769.37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749.98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19.40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44.10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39.60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82.50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82.50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82.50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62.83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62.83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62.83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62.83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62.83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62.83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126.70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126.70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126.70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126.70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126.70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126.70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环江毛南族自治县思源实验学校(小学）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1096.38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10.87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10.87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813.48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813.48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82.50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82.50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62.83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62.83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126.70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126.70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1096.38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1096.38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1096.38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1096.38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1096.38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1096.38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环江毛南族自治县思源实验学校(小学）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1096.38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910.68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185.70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10.87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10.87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10.87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10.87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10.87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10.87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813.48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754.48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813.48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754.48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小学教育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769.37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749.98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19.40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44.10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39.60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82.50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82.50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82.50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82.50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82.50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82.50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62.83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62.83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62.83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62.83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62.83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62.83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126.70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126.70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126.70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126.70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126.70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126.70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环江毛南族自治县思源实验学校(小学）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711.01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77.73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324.63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29.45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26.90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37.03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5.08</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129.52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3.98</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82.50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36.21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4.64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0.78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62.83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19.03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6.74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116.86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6.67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116.83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10.87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827.87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82.81</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环江毛南族自治县思源实验学校(小学）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本单位</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环江毛南族自治县思源实验学校(小学）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环江毛南族自治县思源实验学校(小学）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 xml:space="preserve">年度没有财政拨款“三公”经费收入，也没有财政拨款“三公”经费安排的支出，故本表无数据。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环江毛南族自治县思源实验学校(小学）</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1096.38</w:t>
      </w:r>
      <w:r>
        <w:rPr>
          <w:rFonts w:hint="eastAsia" w:ascii="仿宋" w:hAnsi="仿宋" w:eastAsia="仿宋" w:cs="仿宋"/>
          <w:sz w:val="32"/>
          <w:szCs w:val="32"/>
          <w:highlight w:val="none"/>
        </w:rPr>
        <w:t>万元，较2021年度决算数</w:t>
      </w:r>
      <w:r>
        <w:rPr>
          <w:rFonts w:ascii="仿宋" w:hAnsi="仿宋" w:eastAsia="仿宋" w:cs="仿宋"/>
          <w:sz w:val="32"/>
          <w:u w:color="auto"/>
        </w:rPr>
        <w:t>增加39.58</w:t>
      </w:r>
      <w:r>
        <w:rPr>
          <w:rFonts w:hint="eastAsia" w:ascii="仿宋" w:hAnsi="仿宋" w:eastAsia="仿宋" w:cs="仿宋"/>
          <w:sz w:val="32"/>
          <w:szCs w:val="32"/>
          <w:highlight w:val="none"/>
        </w:rPr>
        <w:t>万元，</w:t>
      </w:r>
      <w:r>
        <w:rPr>
          <w:rFonts w:ascii="仿宋" w:hAnsi="仿宋" w:eastAsia="仿宋" w:cs="仿宋"/>
          <w:sz w:val="32"/>
          <w:u w:color="auto"/>
        </w:rPr>
        <w:t>增长3.75%</w:t>
      </w:r>
      <w:r>
        <w:rPr>
          <w:rFonts w:hint="eastAsia" w:ascii="仿宋" w:hAnsi="仿宋" w:eastAsia="仿宋" w:cs="仿宋"/>
          <w:sz w:val="32"/>
          <w:szCs w:val="32"/>
          <w:highlight w:val="none"/>
        </w:rPr>
        <w:t>，其中本年收入</w:t>
      </w:r>
      <w:r>
        <w:rPr>
          <w:rFonts w:ascii="仿宋" w:hAnsi="仿宋" w:eastAsia="仿宋" w:cs="仿宋"/>
          <w:sz w:val="32"/>
          <w:u w:color="auto"/>
        </w:rPr>
        <w:t>1096.38</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1096.38</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增加107.45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增长10.87%</w:t>
      </w:r>
      <w:r>
        <w:rPr>
          <w:rFonts w:hint="eastAsia" w:ascii="仿宋" w:hAnsi="仿宋" w:eastAsia="仿宋" w:cs="仿宋"/>
          <w:sz w:val="32"/>
          <w:u w:color="auto"/>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学校规模扩大，教师人数调入增加，学生数增加。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lang w:val="en-US" w:eastAsia="zh-CN" w:bidi="ar"/>
        </w:rPr>
        <w:t>本单位2022年度没有政府性基金预算财政拨款收入，也没有政府性基金预算财政拨款安排的支出，故此项无数据。</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lang w:val="en-US" w:eastAsia="zh-CN" w:bidi="ar"/>
        </w:rPr>
        <w:t>本单位2022年度没有国有资本经营预算财政拨款收入，也没有国有资本经营预算财政拨款安排的支出，故此项无数据。</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减少67.86</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299085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1096.38</w:t>
      </w:r>
      <w:r>
        <w:rPr>
          <w:rFonts w:hint="eastAsia" w:ascii="仿宋" w:hAnsi="仿宋" w:eastAsia="仿宋" w:cs="仿宋"/>
          <w:sz w:val="32"/>
          <w:szCs w:val="32"/>
          <w:highlight w:val="none"/>
        </w:rPr>
        <w:t>万元，其中本年支出</w:t>
      </w:r>
      <w:r>
        <w:rPr>
          <w:rFonts w:ascii="仿宋" w:hAnsi="仿宋" w:eastAsia="仿宋" w:cs="仿宋"/>
          <w:sz w:val="32"/>
          <w:u w:color="auto"/>
        </w:rPr>
        <w:t>1096.38</w:t>
      </w:r>
      <w:r>
        <w:rPr>
          <w:rFonts w:hint="eastAsia" w:ascii="仿宋" w:hAnsi="仿宋" w:eastAsia="仿宋" w:cs="仿宋"/>
          <w:sz w:val="32"/>
          <w:szCs w:val="32"/>
          <w:highlight w:val="none"/>
        </w:rPr>
        <w:t>万元，较2021年度决算数</w:t>
      </w:r>
      <w:r>
        <w:rPr>
          <w:rFonts w:ascii="仿宋" w:hAnsi="仿宋" w:eastAsia="仿宋" w:cs="仿宋"/>
          <w:sz w:val="32"/>
          <w:u w:color="auto"/>
        </w:rPr>
        <w:t>增加39.58</w:t>
      </w:r>
      <w:r>
        <w:rPr>
          <w:rFonts w:hint="eastAsia" w:ascii="仿宋" w:hAnsi="仿宋" w:eastAsia="仿宋" w:cs="仿宋"/>
          <w:sz w:val="32"/>
          <w:szCs w:val="32"/>
          <w:highlight w:val="none"/>
        </w:rPr>
        <w:t>万元，</w:t>
      </w:r>
      <w:r>
        <w:rPr>
          <w:rFonts w:ascii="仿宋" w:hAnsi="仿宋" w:eastAsia="仿宋" w:cs="仿宋"/>
          <w:sz w:val="32"/>
          <w:u w:color="auto"/>
        </w:rPr>
        <w:t>增长3.75%</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10.87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：学校教职工工会活动经费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增加10.87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主要原因是：2021年度的工会活动经费预算不在一体化中体现数据。</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813.48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lang w:eastAsia="zh-CN"/>
          <w14:textFill>
            <w14:solidFill>
              <w14:schemeClr w14:val="tx1"/>
            </w14:solidFill>
          </w14:textFill>
        </w:rPr>
        <w:t>）小学教育</w:t>
      </w:r>
      <w:r>
        <w:rPr>
          <w:rFonts w:hint="eastAsia" w:ascii="仿宋" w:hAnsi="仿宋" w:eastAsia="仿宋" w:cs="仿宋"/>
          <w:color w:val="000000" w:themeColor="text1"/>
          <w:sz w:val="32"/>
          <w:szCs w:val="32"/>
          <w:highlight w:val="none"/>
          <w:lang w:val="en-US" w:eastAsia="zh-CN"/>
          <w14:textFill>
            <w14:solidFill>
              <w14:schemeClr w14:val="tx1"/>
            </w14:solidFill>
          </w14:textFill>
        </w:rPr>
        <w:t>769.38万元；（2）其他普通教育支出44.1万元。</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增加44.86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增长5.84%</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学校规模扩大，教师人数调入增加，学生数增加。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82.50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：本单位教职工基本养老保险缴费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增加12.99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增长18.69%</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学校增加班级，扩招学生人数，教师调入人员增加，所以基本养老保险缴费也相应增加。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62.83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：为学校教职工缴纳住房公积金单位部分经费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增加25.54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增长68.49%</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学校增加班级，扩招学生人数，教师调入人员增加，所以住房保障支出也相应增加。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126.70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：支付</w:t>
      </w:r>
      <w:r>
        <w:rPr>
          <w:rFonts w:hint="eastAsia" w:ascii="仿宋" w:hAnsi="仿宋" w:eastAsia="仿宋" w:cs="仿宋"/>
          <w:color w:val="000000" w:themeColor="text1"/>
          <w:sz w:val="32"/>
          <w:szCs w:val="32"/>
          <w:highlight w:val="none"/>
          <w:lang w:val="en-US" w:eastAsia="zh-CN"/>
          <w14:textFill>
            <w14:solidFill>
              <w14:schemeClr w14:val="tx1"/>
            </w14:solidFill>
          </w14:textFill>
        </w:rPr>
        <w:t>2022年度绩效考评奖励金。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减少54.67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下降30.14%</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主要原因是：部分2022年度的绩效考评奖励金在2021年度预发，还有一部分又到2023年才清算发放。</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本单位没有结余分配资金。</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本单位没有年末结转结余资金。</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环江毛南族自治县思源实验学校(小学）2022年度一般公共预算财政拨款支出</w:t>
      </w:r>
      <w:r>
        <w:rPr>
          <w:rFonts w:ascii="仿宋" w:hAnsi="仿宋" w:eastAsia="仿宋" w:cs="仿宋"/>
          <w:sz w:val="32"/>
          <w:u w:color="auto"/>
        </w:rPr>
        <w:t>1096.38</w:t>
      </w:r>
      <w:r>
        <w:rPr>
          <w:rFonts w:hint="eastAsia" w:ascii="仿宋" w:hAnsi="仿宋" w:eastAsia="仿宋" w:cs="仿宋"/>
          <w:sz w:val="32"/>
          <w:szCs w:val="32"/>
          <w:highlight w:val="none"/>
        </w:rPr>
        <w:t>万元，较2021年度决算数</w:t>
      </w:r>
      <w:r>
        <w:rPr>
          <w:rFonts w:ascii="仿宋" w:hAnsi="仿宋" w:eastAsia="仿宋" w:cs="仿宋"/>
          <w:sz w:val="32"/>
          <w:u w:color="auto"/>
        </w:rPr>
        <w:t>增加39.58</w:t>
      </w:r>
      <w:r>
        <w:rPr>
          <w:rFonts w:hint="eastAsia" w:ascii="仿宋" w:hAnsi="仿宋" w:eastAsia="仿宋" w:cs="仿宋"/>
          <w:sz w:val="32"/>
          <w:szCs w:val="32"/>
          <w:highlight w:val="none"/>
        </w:rPr>
        <w:t>万元，</w:t>
      </w:r>
      <w:r>
        <w:rPr>
          <w:rFonts w:ascii="仿宋" w:hAnsi="仿宋" w:eastAsia="仿宋" w:cs="仿宋"/>
          <w:sz w:val="32"/>
          <w:u w:color="auto"/>
        </w:rPr>
        <w:t>增长3.75%</w:t>
      </w:r>
      <w:r>
        <w:rPr>
          <w:rFonts w:hint="eastAsia" w:ascii="仿宋" w:hAnsi="仿宋" w:eastAsia="仿宋" w:cs="仿宋"/>
          <w:sz w:val="32"/>
          <w:szCs w:val="32"/>
          <w:highlight w:val="none"/>
        </w:rPr>
        <w:t>。其中：基本支出</w:t>
      </w:r>
      <w:r>
        <w:rPr>
          <w:rFonts w:ascii="仿宋" w:hAnsi="仿宋" w:eastAsia="仿宋" w:cs="仿宋"/>
          <w:sz w:val="32"/>
          <w:u w:color="auto"/>
        </w:rPr>
        <w:t>910.68</w:t>
      </w:r>
      <w:r>
        <w:rPr>
          <w:rFonts w:hint="eastAsia" w:ascii="仿宋" w:hAnsi="仿宋" w:eastAsia="仿宋" w:cs="仿宋"/>
          <w:sz w:val="32"/>
          <w:szCs w:val="32"/>
          <w:highlight w:val="none"/>
        </w:rPr>
        <w:t>万元，项目支出</w:t>
      </w:r>
      <w:r>
        <w:rPr>
          <w:rFonts w:ascii="仿宋" w:hAnsi="仿宋" w:eastAsia="仿宋" w:cs="仿宋"/>
          <w:sz w:val="32"/>
          <w:u w:color="auto"/>
        </w:rPr>
        <w:t>185.70</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环江毛南族自治县思源实验学校(小学）2022 年度一般公共预算财政拨款支出年初预算为</w:t>
      </w:r>
      <w:r>
        <w:rPr>
          <w:rFonts w:ascii="仿宋" w:hAnsi="仿宋" w:eastAsia="仿宋" w:cs="仿宋"/>
          <w:sz w:val="32"/>
          <w:u w:color="auto"/>
        </w:rPr>
        <w:t>683.32</w:t>
      </w:r>
      <w:r>
        <w:rPr>
          <w:rFonts w:hint="eastAsia" w:ascii="仿宋" w:hAnsi="仿宋" w:eastAsia="仿宋" w:cs="仿宋"/>
          <w:sz w:val="32"/>
          <w:szCs w:val="32"/>
          <w:highlight w:val="none"/>
        </w:rPr>
        <w:t>万元，支出决算为</w:t>
      </w:r>
      <w:r>
        <w:rPr>
          <w:rFonts w:ascii="仿宋" w:hAnsi="仿宋" w:eastAsia="仿宋" w:cs="仿宋"/>
          <w:sz w:val="32"/>
          <w:u w:color="auto"/>
        </w:rPr>
        <w:t>1096.38</w:t>
      </w:r>
      <w:r>
        <w:rPr>
          <w:rFonts w:hint="eastAsia" w:ascii="仿宋" w:hAnsi="仿宋" w:eastAsia="仿宋" w:cs="仿宋"/>
          <w:sz w:val="32"/>
          <w:szCs w:val="32"/>
          <w:highlight w:val="none"/>
        </w:rPr>
        <w:t>万元，完成年初预算的</w:t>
      </w:r>
      <w:r>
        <w:rPr>
          <w:rFonts w:ascii="仿宋" w:hAnsi="仿宋" w:eastAsia="仿宋" w:cs="仿宋"/>
          <w:sz w:val="32"/>
          <w:u w:color="auto"/>
        </w:rPr>
        <w:t>160.45%</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10.87</w:t>
      </w:r>
      <w:r>
        <w:rPr>
          <w:rFonts w:hint="eastAsia" w:ascii="仿宋" w:hAnsi="仿宋" w:eastAsia="仿宋"/>
          <w:sz w:val="32"/>
          <w:szCs w:val="32"/>
          <w:highlight w:val="none"/>
        </w:rPr>
        <w:t>万元，支出决算为</w:t>
      </w:r>
      <w:r>
        <w:rPr>
          <w:rFonts w:ascii="仿宋" w:hAnsi="仿宋" w:eastAsia="仿宋"/>
          <w:sz w:val="32"/>
          <w:szCs w:val="32"/>
          <w:highlight w:val="none"/>
        </w:rPr>
        <w:t>10.87</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原因是：该项经费的年初预算数和决算数无差异。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10.87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10.87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学校教职工工会活动经费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10.87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10.87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学校教职工工会活动经费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无差异</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520.29</w:t>
      </w:r>
      <w:r>
        <w:rPr>
          <w:rFonts w:hint="eastAsia" w:ascii="仿宋" w:hAnsi="仿宋" w:eastAsia="仿宋"/>
          <w:sz w:val="32"/>
          <w:szCs w:val="32"/>
          <w:highlight w:val="none"/>
        </w:rPr>
        <w:t>万元，支出决算为</w:t>
      </w:r>
      <w:r>
        <w:rPr>
          <w:rFonts w:ascii="仿宋" w:hAnsi="仿宋" w:eastAsia="仿宋"/>
          <w:sz w:val="32"/>
          <w:szCs w:val="32"/>
          <w:highlight w:val="none"/>
        </w:rPr>
        <w:t>813.48</w:t>
      </w:r>
      <w:r>
        <w:rPr>
          <w:rFonts w:hint="eastAsia" w:ascii="仿宋" w:hAnsi="仿宋" w:eastAsia="仿宋"/>
          <w:sz w:val="32"/>
          <w:szCs w:val="32"/>
          <w:highlight w:val="none"/>
        </w:rPr>
        <w:t>万元，完成年初预算的</w:t>
      </w:r>
      <w:r>
        <w:rPr>
          <w:rFonts w:ascii="仿宋" w:hAnsi="仿宋" w:eastAsia="仿宋"/>
          <w:sz w:val="32"/>
          <w:szCs w:val="32"/>
          <w:highlight w:val="none"/>
        </w:rPr>
        <w:t>156.35%</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原因是：增加班级，扩招学生，老师调入增加，支出数增加。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小学教育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520.29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769.37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147.87%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教职工的工资福利支出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教师调入，人员增加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44.10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教职工的工资福利支出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教师调入，人员增加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520.29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813.48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教职工的工资福利支出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教师调入，人员增加</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86.95</w:t>
      </w:r>
      <w:r>
        <w:rPr>
          <w:rFonts w:hint="eastAsia" w:ascii="仿宋" w:hAnsi="仿宋" w:eastAsia="仿宋"/>
          <w:sz w:val="32"/>
          <w:szCs w:val="32"/>
          <w:highlight w:val="none"/>
        </w:rPr>
        <w:t>万元，支出决算为</w:t>
      </w:r>
      <w:r>
        <w:rPr>
          <w:rFonts w:ascii="仿宋" w:hAnsi="仿宋" w:eastAsia="仿宋"/>
          <w:sz w:val="32"/>
          <w:szCs w:val="32"/>
          <w:highlight w:val="none"/>
        </w:rPr>
        <w:t>82.50</w:t>
      </w:r>
      <w:r>
        <w:rPr>
          <w:rFonts w:hint="eastAsia" w:ascii="仿宋" w:hAnsi="仿宋" w:eastAsia="仿宋"/>
          <w:sz w:val="32"/>
          <w:szCs w:val="32"/>
          <w:highlight w:val="none"/>
        </w:rPr>
        <w:t>万元，完成年初预算的</w:t>
      </w:r>
      <w:r>
        <w:rPr>
          <w:rFonts w:ascii="仿宋" w:hAnsi="仿宋" w:eastAsia="仿宋"/>
          <w:sz w:val="32"/>
          <w:szCs w:val="32"/>
          <w:highlight w:val="none"/>
        </w:rPr>
        <w:t>94.88%</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原因是：由于年度中有人退休、调出等人员变动和部分资金未能按时支付。</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86.95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82.50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94.88%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支付学校教职工的基本养老保险金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年度中有人员退休和调出变动和部分资金未能按时支付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86.95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82.50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支付学校教职工的基本养老保险金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年度中有人员退休和调出变动和部分资金未能按时支付</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65.21</w:t>
      </w:r>
      <w:r>
        <w:rPr>
          <w:rFonts w:hint="eastAsia" w:ascii="仿宋" w:hAnsi="仿宋" w:eastAsia="仿宋"/>
          <w:sz w:val="32"/>
          <w:szCs w:val="32"/>
          <w:highlight w:val="none"/>
        </w:rPr>
        <w:t>万元，支出决算为</w:t>
      </w:r>
      <w:r>
        <w:rPr>
          <w:rFonts w:ascii="仿宋" w:hAnsi="仿宋" w:eastAsia="仿宋"/>
          <w:sz w:val="32"/>
          <w:szCs w:val="32"/>
          <w:highlight w:val="none"/>
        </w:rPr>
        <w:t>62.83</w:t>
      </w:r>
      <w:r>
        <w:rPr>
          <w:rFonts w:hint="eastAsia" w:ascii="仿宋" w:hAnsi="仿宋" w:eastAsia="仿宋"/>
          <w:sz w:val="32"/>
          <w:szCs w:val="32"/>
          <w:highlight w:val="none"/>
        </w:rPr>
        <w:t>万元，完成年初预算的</w:t>
      </w:r>
      <w:r>
        <w:rPr>
          <w:rFonts w:ascii="仿宋" w:hAnsi="仿宋" w:eastAsia="仿宋"/>
          <w:sz w:val="32"/>
          <w:szCs w:val="32"/>
          <w:highlight w:val="none"/>
        </w:rPr>
        <w:t>96.35%</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原因是：由于年度中有人退休、调出等人员变动和部分资金未能按时支付。</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65.21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62.83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96.35%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支付学校教职工住房公积金单位部分</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由于年度中有人退休、、调出等人员变动和部分资金未能按时支付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65.21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62.83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支付学校教职工住房公积金单位部分</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由于年度中有人退休、、调出等人员变动和部分资金未能按时支付</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663825"/>
            <wp:effectExtent l="4445" t="4445" r="16510" b="17780"/>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126.70</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原因是：2022年度的其他支出不在预算一体化中体现。</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126.70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用于支付2022年度绩效考评奖励金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2022年度的其他支出不在预算一体化中体现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126.70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用于支付2022年度绩效考评奖励金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2022年度的其他支出不在预算一体化中体现</w:t>
            </w: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701925"/>
            <wp:effectExtent l="4445" t="4445" r="16510" b="17780"/>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环江毛南族自治县思源实验学校(小学）2022年度一般公共预算财政拨款基本支出</w:t>
      </w:r>
      <w:r>
        <w:rPr>
          <w:rFonts w:ascii="仿宋" w:hAnsi="仿宋" w:eastAsia="仿宋" w:cs="仿宋"/>
          <w:sz w:val="32"/>
          <w:u w:color="auto"/>
        </w:rPr>
        <w:t>910.68</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827.87</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82.81</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711.01万元，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105.75%</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在2022年度中有老师调入，人员增加，支出数增加。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324.63万元，30102津贴补贴26.90万元，30103奖金37.03万元，30107绩效工资129.52万元，30108机关事业单位基本养老保险缴费82.50万元，30110职工基本医疗保险缴费36.21万元，30112其他社会保障缴费4.64万元，30113住房公积金62.83万元，30199其他工资福利支出6.74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商品和服务支出</w:t>
      </w:r>
      <w:r>
        <w:rPr>
          <w:rFonts w:ascii="仿宋" w:hAnsi="仿宋" w:eastAsia="仿宋" w:cs="仿宋"/>
          <w:sz w:val="32"/>
          <w:u w:color="auto"/>
        </w:rPr>
        <w:t>77.73万元，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715.09%</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主要原因是：2022年度商品和服务支出此项资金不在预算一体化中体现，但实际有支出安排。</w:t>
      </w:r>
    </w:p>
    <w:p>
      <w:pPr>
        <w:keepNext w:val="0"/>
        <w:keepLines w:val="0"/>
        <w:widowControl w:val="0"/>
        <w:numPr>
          <w:ilvl w:val="0"/>
          <w:numId w:val="0"/>
        </w:numPr>
        <w:suppressLineNumbers w:val="0"/>
        <w:spacing w:before="0" w:beforeAutospacing="0" w:after="0" w:afterAutospacing="0"/>
        <w:ind w:right="0" w:rightChars="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30201办公费29.45万元，30205水费2.41万元，30206电费3.46万元，30207邮电费0.56万元，30211差旅费0.78万元，30213维修（护）费19.03万元，30226劳务费6.67万元，30228工会经费10.87万元，30299其他商品和服务支出4.50万元。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116.86万元，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146075%</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主要原因是：2022年度对个人和家庭的补助此项资金不在预算一体化中体现，但实际有支出安排。</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30308助学金116.83万元，30309奖励金0.03万元。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2022年度学校没有债务利息及费用资金。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5.08万元，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主要原因是：严格</w:t>
      </w:r>
      <w:r>
        <w:rPr>
          <w:rFonts w:hint="eastAsia" w:ascii="仿宋" w:hAnsi="仿宋" w:eastAsia="仿宋" w:cs="仿宋"/>
          <w:color w:val="auto"/>
          <w:kern w:val="2"/>
          <w:sz w:val="32"/>
          <w:szCs w:val="32"/>
          <w:highlight w:val="none"/>
          <w:lang w:val="en-US" w:eastAsia="zh-CN" w:bidi="ar"/>
        </w:rPr>
        <w:t>按年初预算安排支出该项资金。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31002办公设备购置3.98万元，31003专用设备购置1.10万元。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48915"/>
            <wp:effectExtent l="4445" t="4445" r="16510" b="8890"/>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学校没有其他支出资金。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环江毛南族自治县思源实验学校(小学）2022年度政府性基金支出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环江毛南族自治县思源实验学校(小学）2022年度政府性基金支出年初预算为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_GB2312" w:cs="仿宋"/>
          <w:color w:val="auto"/>
          <w:sz w:val="32"/>
          <w:szCs w:val="32"/>
          <w:highlight w:val="none"/>
          <w:lang w:eastAsia="zh-CN"/>
        </w:rPr>
      </w:pPr>
      <w:r>
        <w:rPr>
          <w:rFonts w:hint="eastAsia" w:ascii="仿宋_GB2312" w:hAnsi="Times New Roman" w:eastAsia="仿宋_GB2312" w:cs="Times New Roman"/>
          <w:color w:val="auto"/>
          <w:sz w:val="32"/>
          <w:szCs w:val="32"/>
        </w:rPr>
        <w:t>环江毛南族自治县思源实验学校(小学）</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仿宋_GB2312" w:eastAsia="仿宋_GB2312" w:cs="仿宋_GB2312"/>
          <w:color w:val="auto"/>
          <w:sz w:val="32"/>
          <w:u w:color="auto"/>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环江毛南族自治县思源实验学校(小学）2022年度国有资本经营预算支出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环江毛南族自治县思源实验学校(小学）2022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环江毛南族自治县思源实验学校(小学）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学校严格执行环江毛南族自治县“三公”经费的管理规定，严格控制“三公”经费支出。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学校严格执行环江毛南族自治县“因公出国（境）”的管理规定，严格控制“因公出国（境）”经费支出。</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kern w:val="2"/>
          <w:sz w:val="32"/>
          <w:szCs w:val="32"/>
          <w:highlight w:val="none"/>
          <w:lang w:val="en-US" w:eastAsia="zh-CN" w:bidi="ar"/>
        </w:rPr>
        <w:t>学校严格执行环江毛南族自治县“公务车购置及运行”的管理规定，严格控制“公务车购置及运行”经费支出。</w:t>
      </w: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2022年，</w:t>
      </w:r>
      <w:r>
        <w:rPr>
          <w:rFonts w:ascii="仿宋" w:hAnsi="仿宋" w:eastAsia="仿宋" w:cs="仿宋"/>
          <w:sz w:val="32"/>
          <w:u w:color="auto"/>
        </w:rPr>
        <w:t>环江毛南族自治县思源实验学校(小学）</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主要原因是：学校严格执行环江毛南族自治县“公务接待”的管理规定，严格控制“公务接待”经费支出。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比</w:t>
      </w:r>
      <w:r>
        <w:rPr>
          <w:rFonts w:hint="eastAsia" w:ascii="仿宋" w:hAnsi="仿宋" w:eastAsia="仿宋" w:cs="仿宋"/>
          <w:sz w:val="32"/>
          <w:szCs w:val="32"/>
          <w:highlight w:val="none"/>
          <w:lang w:val="en-US" w:eastAsia="zh-CN"/>
        </w:rPr>
        <w:t>2021年度减少了0万元，降低0%。减少的主要原因是：学校严格执行贯彻中央八项规定精神，减少行政运行成本。</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本部门无机关运行经费支出。</w:t>
      </w:r>
      <w:bookmarkStart w:id="5" w:name="_GoBack"/>
      <w:bookmarkEnd w:id="5"/>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1096.38</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一般公共服务支出</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1096.38</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）根据财政预算管理要求，</w:t>
      </w:r>
      <w:r>
        <w:rPr>
          <w:rFonts w:hint="eastAsia" w:ascii="仿宋" w:hAnsi="仿宋" w:eastAsia="仿宋" w:cs="仿宋"/>
          <w:color w:val="auto"/>
          <w:sz w:val="32"/>
          <w:szCs w:val="32"/>
          <w:lang w:val="en-US" w:eastAsia="zh-CN"/>
        </w:rPr>
        <w:t>2022年我校预算绩效评价达到了项目申请时的各项绩效目标。</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）本部门尚未开展部门整体支出绩效评价试点工作。</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eastAsia="zh-CN"/>
          <w14:textFill>
            <w14:solidFill>
              <w14:schemeClr w14:val="tx1"/>
            </w14:solidFill>
          </w14:textFill>
        </w:rPr>
        <w:t>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）班主任津贴；（</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）学校生活老师补助经费；（</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）年初预算经费；（</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）全县校长绩效工资；（</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）伙食补助；（</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lang w:eastAsia="zh-CN"/>
          <w14:textFill>
            <w14:solidFill>
              <w14:schemeClr w14:val="tx1"/>
            </w14:solidFill>
          </w14:textFill>
        </w:rPr>
        <w:t>）食堂钟点工补贴资金；（</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lang w:eastAsia="zh-CN"/>
          <w14:textFill>
            <w14:solidFill>
              <w14:schemeClr w14:val="tx1"/>
            </w14:solidFill>
          </w14:textFill>
        </w:rPr>
        <w:t>）奖励性补贴；（</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lang w:eastAsia="zh-CN"/>
          <w14:textFill>
            <w14:solidFill>
              <w14:schemeClr w14:val="tx1"/>
            </w14:solidFill>
          </w14:textFill>
        </w:rPr>
        <w:t>）教师节经费；（</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lang w:eastAsia="zh-CN"/>
          <w14:textFill>
            <w14:solidFill>
              <w14:schemeClr w14:val="tx1"/>
            </w14:solidFill>
          </w14:textFill>
        </w:rPr>
        <w:t>）义务教育中央级公用经费；（</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lang w:eastAsia="zh-CN"/>
          <w14:textFill>
            <w14:solidFill>
              <w14:schemeClr w14:val="tx1"/>
            </w14:solidFill>
          </w14:textFill>
        </w:rPr>
        <w:t>）营养改善计划膳食补助资金；（</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lang w:eastAsia="zh-CN"/>
          <w14:textFill>
            <w14:solidFill>
              <w14:schemeClr w14:val="tx1"/>
            </w14:solidFill>
          </w14:textFill>
        </w:rPr>
        <w:t>）义务教育阶段家庭经济困难学生生活中央补助资金；（</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lang w:eastAsia="zh-CN"/>
          <w14:textFill>
            <w14:solidFill>
              <w14:schemeClr w14:val="tx1"/>
            </w14:solidFill>
          </w14:textFill>
        </w:rPr>
        <w:t>）自治区公用经费等十二个</w:t>
      </w:r>
      <w:r>
        <w:rPr>
          <w:rFonts w:hint="eastAsia" w:ascii="仿宋" w:hAnsi="仿宋" w:eastAsia="仿宋" w:cs="仿宋"/>
          <w:color w:val="000000" w:themeColor="text1"/>
          <w:sz w:val="32"/>
          <w:szCs w:val="32"/>
          <w14:textFill>
            <w14:solidFill>
              <w14:schemeClr w14:val="tx1"/>
            </w14:solidFill>
          </w14:textFill>
        </w:rPr>
        <w:t>项</w:t>
      </w:r>
      <w:r>
        <w:rPr>
          <w:rFonts w:hint="eastAsia" w:ascii="仿宋" w:hAnsi="仿宋" w:eastAsia="仿宋" w:cs="仿宋"/>
          <w:color w:val="000000" w:themeColor="text1"/>
          <w:sz w:val="32"/>
          <w:szCs w:val="32"/>
          <w:lang w:eastAsia="zh-CN"/>
          <w14:textFill>
            <w14:solidFill>
              <w14:schemeClr w14:val="tx1"/>
            </w14:solidFill>
          </w14:textFill>
        </w:rPr>
        <w:t>目的</w:t>
      </w:r>
      <w:r>
        <w:rPr>
          <w:rFonts w:hint="eastAsia" w:ascii="仿宋" w:hAnsi="仿宋" w:eastAsia="仿宋" w:cs="仿宋"/>
          <w:color w:val="000000" w:themeColor="text1"/>
          <w:sz w:val="32"/>
          <w:szCs w:val="32"/>
          <w14:textFill>
            <w14:solidFill>
              <w14:schemeClr w14:val="tx1"/>
            </w14:solidFill>
          </w14:textFill>
        </w:rPr>
        <w:t>自评得分</w:t>
      </w:r>
      <w:r>
        <w:rPr>
          <w:rFonts w:hint="eastAsia" w:ascii="仿宋" w:hAnsi="仿宋" w:eastAsia="仿宋" w:cs="仿宋"/>
          <w:color w:val="000000" w:themeColor="text1"/>
          <w:sz w:val="32"/>
          <w:szCs w:val="32"/>
          <w:lang w:eastAsia="zh-CN"/>
          <w14:textFill>
            <w14:solidFill>
              <w14:schemeClr w14:val="tx1"/>
            </w14:solidFill>
          </w14:textFill>
        </w:rPr>
        <w:t>均</w:t>
      </w:r>
      <w:r>
        <w:rPr>
          <w:rFonts w:hint="eastAsia" w:ascii="仿宋" w:hAnsi="仿宋" w:eastAsia="仿宋" w:cs="仿宋"/>
          <w:color w:val="000000" w:themeColor="text1"/>
          <w:sz w:val="32"/>
          <w:szCs w:val="32"/>
          <w14:textFill>
            <w14:solidFill>
              <w14:schemeClr w14:val="tx1"/>
            </w14:solidFill>
          </w14:textFill>
        </w:rPr>
        <w:t>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没有</w:t>
      </w:r>
      <w:r>
        <w:rPr>
          <w:rFonts w:hint="eastAsia" w:ascii="仿宋" w:hAnsi="仿宋" w:eastAsia="仿宋" w:cs="仿宋"/>
          <w:color w:val="000000" w:themeColor="text1"/>
          <w:sz w:val="32"/>
          <w:szCs w:val="32"/>
          <w14:textFill>
            <w14:solidFill>
              <w14:schemeClr w14:val="tx1"/>
            </w14:solidFill>
          </w14:textFill>
        </w:rPr>
        <w:t>发现的主要问题</w:t>
      </w:r>
      <w:r>
        <w:rPr>
          <w:rFonts w:hint="eastAsia" w:ascii="仿宋" w:hAnsi="仿宋" w:eastAsia="仿宋" w:cs="仿宋"/>
          <w:color w:val="000000" w:themeColor="text1"/>
          <w:sz w:val="32"/>
          <w:szCs w:val="32"/>
          <w:lang w:eastAsia="zh-CN"/>
          <w14:textFill>
            <w14:solidFill>
              <w14:schemeClr w14:val="tx1"/>
            </w14:solidFill>
          </w14:textFill>
        </w:rPr>
        <w:t>。</w:t>
      </w:r>
    </w:p>
    <w:p>
      <w:pPr>
        <w:ind w:firstLine="2560" w:firstLineChars="800"/>
        <w:jc w:val="both"/>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rPr>
      </w:pPr>
    </w:p>
    <w:p>
      <w:pPr>
        <w:jc w:val="left"/>
        <w:rPr>
          <w:rFonts w:hint="default" w:ascii="仿宋" w:hAnsi="仿宋" w:eastAsia="仿宋" w:cs="仿宋"/>
          <w:b/>
          <w:bCs/>
          <w:sz w:val="32"/>
          <w:szCs w:val="32"/>
          <w:highlight w:val="none"/>
          <w:lang w:val="en-US" w:eastAsia="zh-CN"/>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209A8AEA"/>
    <w:multiLevelType w:val="singleLevel"/>
    <w:tmpl w:val="209A8AEA"/>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lOWE3ZjE1NzMyZjljZDYzN2ZlOGZiOTY2YjBmMDg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14FFC"/>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D138C"/>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40880"/>
    <w:rsid w:val="00EB7822"/>
    <w:rsid w:val="00EC50A9"/>
    <w:rsid w:val="00ED04DB"/>
    <w:rsid w:val="00F21455"/>
    <w:rsid w:val="00F5354B"/>
    <w:rsid w:val="00F95135"/>
    <w:rsid w:val="00F9658C"/>
    <w:rsid w:val="00F978FD"/>
    <w:rsid w:val="00FA738E"/>
    <w:rsid w:val="00FC438B"/>
    <w:rsid w:val="01234E98"/>
    <w:rsid w:val="015F1951"/>
    <w:rsid w:val="020C171D"/>
    <w:rsid w:val="0216715F"/>
    <w:rsid w:val="0284386F"/>
    <w:rsid w:val="02E0291A"/>
    <w:rsid w:val="02F60CF0"/>
    <w:rsid w:val="04E54546"/>
    <w:rsid w:val="051A0D14"/>
    <w:rsid w:val="05992762"/>
    <w:rsid w:val="0673692E"/>
    <w:rsid w:val="068A01DD"/>
    <w:rsid w:val="07092259"/>
    <w:rsid w:val="07B0770E"/>
    <w:rsid w:val="07DF3537"/>
    <w:rsid w:val="0942143F"/>
    <w:rsid w:val="09652EA6"/>
    <w:rsid w:val="0995305F"/>
    <w:rsid w:val="0ADD57A7"/>
    <w:rsid w:val="0AE95411"/>
    <w:rsid w:val="0B187AA4"/>
    <w:rsid w:val="0B792C38"/>
    <w:rsid w:val="0BD47E6F"/>
    <w:rsid w:val="0D100297"/>
    <w:rsid w:val="0D202B45"/>
    <w:rsid w:val="0D272220"/>
    <w:rsid w:val="0E3E5A73"/>
    <w:rsid w:val="0EE303C9"/>
    <w:rsid w:val="0F0F4EF8"/>
    <w:rsid w:val="0F8D4C87"/>
    <w:rsid w:val="10505FAA"/>
    <w:rsid w:val="105F7E7E"/>
    <w:rsid w:val="10A122E9"/>
    <w:rsid w:val="10D75D0B"/>
    <w:rsid w:val="110D797F"/>
    <w:rsid w:val="116E6670"/>
    <w:rsid w:val="11D230A2"/>
    <w:rsid w:val="11E56B5B"/>
    <w:rsid w:val="125C77AB"/>
    <w:rsid w:val="131D034D"/>
    <w:rsid w:val="14CB726E"/>
    <w:rsid w:val="153E27FD"/>
    <w:rsid w:val="15634011"/>
    <w:rsid w:val="156672BF"/>
    <w:rsid w:val="16023506"/>
    <w:rsid w:val="165C73DE"/>
    <w:rsid w:val="16F65E0F"/>
    <w:rsid w:val="17A34B99"/>
    <w:rsid w:val="17E92249"/>
    <w:rsid w:val="1879389E"/>
    <w:rsid w:val="18D304F1"/>
    <w:rsid w:val="192A0C7B"/>
    <w:rsid w:val="19F32577"/>
    <w:rsid w:val="19F45B80"/>
    <w:rsid w:val="1A2E2E40"/>
    <w:rsid w:val="1A3441CE"/>
    <w:rsid w:val="1A4E34E2"/>
    <w:rsid w:val="1B0C078D"/>
    <w:rsid w:val="1B1C1096"/>
    <w:rsid w:val="1B2B31E2"/>
    <w:rsid w:val="1B4C295A"/>
    <w:rsid w:val="1B544C14"/>
    <w:rsid w:val="1B973C63"/>
    <w:rsid w:val="1BA1001E"/>
    <w:rsid w:val="1C0252E2"/>
    <w:rsid w:val="1CD81789"/>
    <w:rsid w:val="1CE65C54"/>
    <w:rsid w:val="1D317259"/>
    <w:rsid w:val="1D4B3D09"/>
    <w:rsid w:val="1D691902"/>
    <w:rsid w:val="1D9A7723"/>
    <w:rsid w:val="1E664F5B"/>
    <w:rsid w:val="1EA01E32"/>
    <w:rsid w:val="1EB34BE1"/>
    <w:rsid w:val="1ECF44C6"/>
    <w:rsid w:val="1F0C74C8"/>
    <w:rsid w:val="1F737547"/>
    <w:rsid w:val="1F833CD5"/>
    <w:rsid w:val="207B2B57"/>
    <w:rsid w:val="215E639F"/>
    <w:rsid w:val="21A63C04"/>
    <w:rsid w:val="21CF0C36"/>
    <w:rsid w:val="21D02FA2"/>
    <w:rsid w:val="21D4251F"/>
    <w:rsid w:val="21EC3183"/>
    <w:rsid w:val="225E72CD"/>
    <w:rsid w:val="230C7A96"/>
    <w:rsid w:val="23517B9F"/>
    <w:rsid w:val="246E2F77"/>
    <w:rsid w:val="24E22320"/>
    <w:rsid w:val="24F1163A"/>
    <w:rsid w:val="254B4E2B"/>
    <w:rsid w:val="27131AA3"/>
    <w:rsid w:val="27206206"/>
    <w:rsid w:val="273D3275"/>
    <w:rsid w:val="283D7C94"/>
    <w:rsid w:val="28866DB6"/>
    <w:rsid w:val="28D31949"/>
    <w:rsid w:val="29480E03"/>
    <w:rsid w:val="2983634D"/>
    <w:rsid w:val="29E4351B"/>
    <w:rsid w:val="2A142FF5"/>
    <w:rsid w:val="2A222295"/>
    <w:rsid w:val="2A612DBE"/>
    <w:rsid w:val="2B4465E7"/>
    <w:rsid w:val="2B9351F9"/>
    <w:rsid w:val="2BB02055"/>
    <w:rsid w:val="2C575A56"/>
    <w:rsid w:val="2C7072E8"/>
    <w:rsid w:val="2C792640"/>
    <w:rsid w:val="2F257714"/>
    <w:rsid w:val="2F3275E5"/>
    <w:rsid w:val="2F974B8C"/>
    <w:rsid w:val="30313679"/>
    <w:rsid w:val="305073E9"/>
    <w:rsid w:val="30AA08EF"/>
    <w:rsid w:val="30D23D1C"/>
    <w:rsid w:val="31140B8A"/>
    <w:rsid w:val="31221CF5"/>
    <w:rsid w:val="31400178"/>
    <w:rsid w:val="314026A9"/>
    <w:rsid w:val="31DF4DBE"/>
    <w:rsid w:val="321E3342"/>
    <w:rsid w:val="327759C8"/>
    <w:rsid w:val="33185FE3"/>
    <w:rsid w:val="338D11FD"/>
    <w:rsid w:val="34EE2E36"/>
    <w:rsid w:val="350839D2"/>
    <w:rsid w:val="359327BC"/>
    <w:rsid w:val="36777241"/>
    <w:rsid w:val="371E78D5"/>
    <w:rsid w:val="38513F1C"/>
    <w:rsid w:val="38896D41"/>
    <w:rsid w:val="38A951DB"/>
    <w:rsid w:val="38B31605"/>
    <w:rsid w:val="39003F4F"/>
    <w:rsid w:val="390C0398"/>
    <w:rsid w:val="39627C15"/>
    <w:rsid w:val="39CF0E3F"/>
    <w:rsid w:val="39E42371"/>
    <w:rsid w:val="39F56C2E"/>
    <w:rsid w:val="3B1146B5"/>
    <w:rsid w:val="3C07002B"/>
    <w:rsid w:val="3C090D29"/>
    <w:rsid w:val="3D0D152A"/>
    <w:rsid w:val="3DF62756"/>
    <w:rsid w:val="3EF31F76"/>
    <w:rsid w:val="3F1B7587"/>
    <w:rsid w:val="3FD359FA"/>
    <w:rsid w:val="404B3E9C"/>
    <w:rsid w:val="4081166C"/>
    <w:rsid w:val="40C559FD"/>
    <w:rsid w:val="41976829"/>
    <w:rsid w:val="41E57B4F"/>
    <w:rsid w:val="426C3C56"/>
    <w:rsid w:val="432F26F6"/>
    <w:rsid w:val="436A288B"/>
    <w:rsid w:val="43880F63"/>
    <w:rsid w:val="43B6787E"/>
    <w:rsid w:val="441C5A6F"/>
    <w:rsid w:val="44C44FCC"/>
    <w:rsid w:val="44CC7369"/>
    <w:rsid w:val="4545710C"/>
    <w:rsid w:val="457F5108"/>
    <w:rsid w:val="45BB43F2"/>
    <w:rsid w:val="45F75F2C"/>
    <w:rsid w:val="46951B6B"/>
    <w:rsid w:val="471C5CA5"/>
    <w:rsid w:val="481728B6"/>
    <w:rsid w:val="486C2C02"/>
    <w:rsid w:val="489F4D85"/>
    <w:rsid w:val="48B40105"/>
    <w:rsid w:val="48BA1BBF"/>
    <w:rsid w:val="48CE566A"/>
    <w:rsid w:val="495D7C57"/>
    <w:rsid w:val="497A6422"/>
    <w:rsid w:val="49A34401"/>
    <w:rsid w:val="4A1F12E9"/>
    <w:rsid w:val="4A3E30AB"/>
    <w:rsid w:val="4AC14DAC"/>
    <w:rsid w:val="4AE178D7"/>
    <w:rsid w:val="4B02784D"/>
    <w:rsid w:val="4B306168"/>
    <w:rsid w:val="4B3B2851"/>
    <w:rsid w:val="4B555BCF"/>
    <w:rsid w:val="4BA6642B"/>
    <w:rsid w:val="4C5C2F8D"/>
    <w:rsid w:val="4CDD7C2A"/>
    <w:rsid w:val="4D154C85"/>
    <w:rsid w:val="4E085F61"/>
    <w:rsid w:val="4EB35ECE"/>
    <w:rsid w:val="4ECA6977"/>
    <w:rsid w:val="4EEF00E8"/>
    <w:rsid w:val="4F493C9D"/>
    <w:rsid w:val="4F6A567F"/>
    <w:rsid w:val="508F4E24"/>
    <w:rsid w:val="51461E90"/>
    <w:rsid w:val="51463753"/>
    <w:rsid w:val="5176064D"/>
    <w:rsid w:val="51934A1B"/>
    <w:rsid w:val="522B768A"/>
    <w:rsid w:val="52374280"/>
    <w:rsid w:val="52553A93"/>
    <w:rsid w:val="527C6137"/>
    <w:rsid w:val="53521F8B"/>
    <w:rsid w:val="53E22F47"/>
    <w:rsid w:val="53FE1A68"/>
    <w:rsid w:val="54522FF8"/>
    <w:rsid w:val="54AF6350"/>
    <w:rsid w:val="55450629"/>
    <w:rsid w:val="55B72A90"/>
    <w:rsid w:val="56051FA0"/>
    <w:rsid w:val="56617B1E"/>
    <w:rsid w:val="56692963"/>
    <w:rsid w:val="568B0F48"/>
    <w:rsid w:val="57087F99"/>
    <w:rsid w:val="570D1697"/>
    <w:rsid w:val="5786217B"/>
    <w:rsid w:val="57A06424"/>
    <w:rsid w:val="57C0778B"/>
    <w:rsid w:val="58166503"/>
    <w:rsid w:val="587C29ED"/>
    <w:rsid w:val="588B0E82"/>
    <w:rsid w:val="59337A15"/>
    <w:rsid w:val="5954396A"/>
    <w:rsid w:val="59810274"/>
    <w:rsid w:val="59E545C2"/>
    <w:rsid w:val="5A4528F8"/>
    <w:rsid w:val="5A8E77E6"/>
    <w:rsid w:val="5C1949F7"/>
    <w:rsid w:val="5CA96A00"/>
    <w:rsid w:val="5CF730BC"/>
    <w:rsid w:val="5E5F0DCE"/>
    <w:rsid w:val="5E8545C5"/>
    <w:rsid w:val="5E8D7089"/>
    <w:rsid w:val="5EA07215"/>
    <w:rsid w:val="5EF96E68"/>
    <w:rsid w:val="5FA40A7B"/>
    <w:rsid w:val="5FB52091"/>
    <w:rsid w:val="5FD56D29"/>
    <w:rsid w:val="5FEC7F3F"/>
    <w:rsid w:val="60F74BC3"/>
    <w:rsid w:val="617050B9"/>
    <w:rsid w:val="617D3BF8"/>
    <w:rsid w:val="61841F6A"/>
    <w:rsid w:val="61F07FA8"/>
    <w:rsid w:val="62143C96"/>
    <w:rsid w:val="623007A9"/>
    <w:rsid w:val="62306AAB"/>
    <w:rsid w:val="62365A32"/>
    <w:rsid w:val="632048BD"/>
    <w:rsid w:val="633D546F"/>
    <w:rsid w:val="637D7558"/>
    <w:rsid w:val="63972DD1"/>
    <w:rsid w:val="63EB0A27"/>
    <w:rsid w:val="644F19AC"/>
    <w:rsid w:val="648C220A"/>
    <w:rsid w:val="64AC465A"/>
    <w:rsid w:val="652F1D0E"/>
    <w:rsid w:val="65AA4920"/>
    <w:rsid w:val="65E31D0B"/>
    <w:rsid w:val="666B3C47"/>
    <w:rsid w:val="67694F1E"/>
    <w:rsid w:val="68D221B5"/>
    <w:rsid w:val="68F14D31"/>
    <w:rsid w:val="68F5207B"/>
    <w:rsid w:val="69092AFE"/>
    <w:rsid w:val="691641A7"/>
    <w:rsid w:val="691B0000"/>
    <w:rsid w:val="694F784F"/>
    <w:rsid w:val="69597934"/>
    <w:rsid w:val="696D737B"/>
    <w:rsid w:val="698931BC"/>
    <w:rsid w:val="6B964DDC"/>
    <w:rsid w:val="6BCA186A"/>
    <w:rsid w:val="6BCE3108"/>
    <w:rsid w:val="6BDF70C3"/>
    <w:rsid w:val="6C783074"/>
    <w:rsid w:val="6D203E37"/>
    <w:rsid w:val="6D3671B7"/>
    <w:rsid w:val="6D9E65C6"/>
    <w:rsid w:val="6DA81947"/>
    <w:rsid w:val="6DA953DB"/>
    <w:rsid w:val="6E781A51"/>
    <w:rsid w:val="6EB66DE2"/>
    <w:rsid w:val="6EBC36EB"/>
    <w:rsid w:val="6ED3075F"/>
    <w:rsid w:val="6F2A2D4B"/>
    <w:rsid w:val="6F8A0C1E"/>
    <w:rsid w:val="6FBB1BF5"/>
    <w:rsid w:val="6FBE0D84"/>
    <w:rsid w:val="702C48A1"/>
    <w:rsid w:val="703F45D4"/>
    <w:rsid w:val="705067E1"/>
    <w:rsid w:val="705653EF"/>
    <w:rsid w:val="70AF2142"/>
    <w:rsid w:val="70E66791"/>
    <w:rsid w:val="715D6546"/>
    <w:rsid w:val="71BE069E"/>
    <w:rsid w:val="71C11019"/>
    <w:rsid w:val="73953409"/>
    <w:rsid w:val="73E069A3"/>
    <w:rsid w:val="74CE23CA"/>
    <w:rsid w:val="75770001"/>
    <w:rsid w:val="75BD34D9"/>
    <w:rsid w:val="75E46093"/>
    <w:rsid w:val="7796580E"/>
    <w:rsid w:val="78083E32"/>
    <w:rsid w:val="78104AA8"/>
    <w:rsid w:val="78C91B36"/>
    <w:rsid w:val="78E257C5"/>
    <w:rsid w:val="794B35BE"/>
    <w:rsid w:val="7A140880"/>
    <w:rsid w:val="7A473FDE"/>
    <w:rsid w:val="7B0A3A31"/>
    <w:rsid w:val="7B3360ED"/>
    <w:rsid w:val="7BB06386"/>
    <w:rsid w:val="7BDF037E"/>
    <w:rsid w:val="7BF50948"/>
    <w:rsid w:val="7C492337"/>
    <w:rsid w:val="7CE66A78"/>
    <w:rsid w:val="7D23564C"/>
    <w:rsid w:val="7D2A03BA"/>
    <w:rsid w:val="7D5E062D"/>
    <w:rsid w:val="7D637428"/>
    <w:rsid w:val="7DC75C09"/>
    <w:rsid w:val="7DD32800"/>
    <w:rsid w:val="7DE153DA"/>
    <w:rsid w:val="7DF76CD8"/>
    <w:rsid w:val="7F695C26"/>
    <w:rsid w:val="7F7541E5"/>
    <w:rsid w:val="7FAB67DA"/>
    <w:rsid w:val="7FCF62D3"/>
    <w:rsid w:val="DFFBF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1096.38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116.83</c:v>
                </c:pt>
                <c:pt idx="8">
                  <c:v>0.03</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3.98</c:v>
                </c:pt>
                <c:pt idx="2">
                  <c:v>1.1</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768.62</c:v>
                </c:pt>
                <c:pt idx="2">
                  <c:v>69.51</c:v>
                </c:pt>
                <c:pt idx="3">
                  <c:v>37.29</c:v>
                </c:pt>
                <c:pt idx="4">
                  <c:v>181.37</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10.87</c:v>
                </c:pt>
                <c:pt idx="1">
                  <c:v>813.48</c:v>
                </c:pt>
                <c:pt idx="2">
                  <c:v>82.5</c:v>
                </c:pt>
                <c:pt idx="3">
                  <c:v>62.83</c:v>
                </c:pt>
                <c:pt idx="4">
                  <c:v>126.7</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10.87</c:v>
                </c:pt>
                <c:pt idx="1">
                  <c:v>10.87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2050202</c:v>
                </c:pt>
                <c:pt idx="1">
                  <c:v>2050299</c:v>
                </c:pt>
                <c:pt idx="2">
                  <c:v>205x</c:v>
                </c:pt>
              </c:strCache>
            </c:strRef>
          </c:cat>
          <c:val>
            <c:numRef>
              <c:f>Sheet1!$B$2:$B$4</c:f>
              <c:numCache>
                <c:formatCode>General</c:formatCode>
                <c:ptCount val="3"/>
                <c:pt idx="0">
                  <c:v>769.37</c:v>
                </c:pt>
                <c:pt idx="1">
                  <c:v>44.1</c:v>
                </c:pt>
                <c:pt idx="2">
                  <c:v>813.48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82.5</c:v>
                </c:pt>
                <c:pt idx="1">
                  <c:v>82.5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62.83</c:v>
                </c:pt>
                <c:pt idx="1">
                  <c:v>62.83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126.7</c:v>
                </c:pt>
                <c:pt idx="1">
                  <c:v>126.7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324.63</c:v>
                </c:pt>
                <c:pt idx="1">
                  <c:v>26.9</c:v>
                </c:pt>
                <c:pt idx="2">
                  <c:v>37.03</c:v>
                </c:pt>
                <c:pt idx="3">
                  <c:v>0</c:v>
                </c:pt>
                <c:pt idx="4">
                  <c:v>129.52</c:v>
                </c:pt>
                <c:pt idx="5">
                  <c:v>82.5</c:v>
                </c:pt>
                <c:pt idx="6">
                  <c:v>0</c:v>
                </c:pt>
                <c:pt idx="7">
                  <c:v>36.21</c:v>
                </c:pt>
                <c:pt idx="8">
                  <c:v>0</c:v>
                </c:pt>
                <c:pt idx="9">
                  <c:v>4.64</c:v>
                </c:pt>
                <c:pt idx="10">
                  <c:v>62.83</c:v>
                </c:pt>
                <c:pt idx="11">
                  <c:v>0</c:v>
                </c:pt>
                <c:pt idx="12">
                  <c:v>6.74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29.45</c:v>
                </c:pt>
                <c:pt idx="1">
                  <c:v>0</c:v>
                </c:pt>
                <c:pt idx="2">
                  <c:v>0</c:v>
                </c:pt>
                <c:pt idx="3">
                  <c:v>0</c:v>
                </c:pt>
                <c:pt idx="4">
                  <c:v>2.41</c:v>
                </c:pt>
                <c:pt idx="5">
                  <c:v>3.46</c:v>
                </c:pt>
                <c:pt idx="6">
                  <c:v>0.56</c:v>
                </c:pt>
                <c:pt idx="7">
                  <c:v>0</c:v>
                </c:pt>
                <c:pt idx="8">
                  <c:v>0</c:v>
                </c:pt>
                <c:pt idx="9">
                  <c:v>0.78</c:v>
                </c:pt>
                <c:pt idx="10">
                  <c:v>0</c:v>
                </c:pt>
                <c:pt idx="11">
                  <c:v>19.03</c:v>
                </c:pt>
                <c:pt idx="12">
                  <c:v>0</c:v>
                </c:pt>
                <c:pt idx="13">
                  <c:v>0</c:v>
                </c:pt>
                <c:pt idx="14">
                  <c:v>0</c:v>
                </c:pt>
                <c:pt idx="15">
                  <c:v>0</c:v>
                </c:pt>
                <c:pt idx="16">
                  <c:v>0</c:v>
                </c:pt>
                <c:pt idx="17">
                  <c:v>0</c:v>
                </c:pt>
                <c:pt idx="18">
                  <c:v>0</c:v>
                </c:pt>
                <c:pt idx="19">
                  <c:v>6.67</c:v>
                </c:pt>
                <c:pt idx="20">
                  <c:v>0</c:v>
                </c:pt>
                <c:pt idx="21">
                  <c:v>10.87</c:v>
                </c:pt>
                <c:pt idx="22">
                  <c:v>0</c:v>
                </c:pt>
                <c:pt idx="23">
                  <c:v>0</c:v>
                </c:pt>
                <c:pt idx="24">
                  <c:v>0</c:v>
                </c:pt>
                <c:pt idx="25">
                  <c:v>0</c:v>
                </c:pt>
                <c:pt idx="26">
                  <c:v>4.5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4</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dcterms:modified xsi:type="dcterms:W3CDTF">2023-11-28T08:24:18Z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