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环江毛南族自治县第四幼儿园2022年度部门决算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640" w:firstLineChars="600"/>
        <w:jc w:val="left"/>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单位负责人：郭静</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环江毛南族自治县第四幼儿园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firstLine="4160" w:firstLineChars="130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0"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279.72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279.72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31"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40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42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279.72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105.11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174.62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249.11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9.58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6.65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279.72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279.72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279.72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105.11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174.62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90"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1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1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8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8"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8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30"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4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442" w:right="1440" w:bottom="442" w:left="1440" w:header="851" w:footer="992" w:gutter="0"/>
          <w:cols w:space="0" w:num="1"/>
          <w:rtlGutter w:val="0"/>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279.72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增加62.20</w:t>
      </w:r>
      <w:r>
        <w:rPr>
          <w:rFonts w:hint="eastAsia" w:ascii="仿宋" w:hAnsi="仿宋" w:eastAsia="仿宋" w:cs="仿宋"/>
          <w:sz w:val="32"/>
          <w:szCs w:val="32"/>
          <w:highlight w:val="none"/>
        </w:rPr>
        <w:t>万元，</w:t>
      </w:r>
      <w:r>
        <w:rPr>
          <w:rFonts w:ascii="仿宋" w:hAnsi="仿宋" w:eastAsia="仿宋" w:cs="仿宋"/>
          <w:sz w:val="32"/>
          <w:u w:color="auto"/>
        </w:rPr>
        <w:t>增长28.60%</w:t>
      </w:r>
      <w:r>
        <w:rPr>
          <w:rFonts w:hint="eastAsia" w:ascii="仿宋" w:hAnsi="仿宋" w:eastAsia="仿宋" w:cs="仿宋"/>
          <w:sz w:val="32"/>
          <w:szCs w:val="32"/>
          <w:highlight w:val="none"/>
        </w:rPr>
        <w:t>，其中本年收入</w:t>
      </w:r>
      <w:r>
        <w:rPr>
          <w:rFonts w:ascii="仿宋" w:hAnsi="仿宋" w:eastAsia="仿宋" w:cs="仿宋"/>
          <w:sz w:val="32"/>
          <w:u w:color="auto"/>
        </w:rPr>
        <w:t>279.72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279.72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增加102.77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增长58.08%</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lang w:val="en-US" w:eastAsia="zh-CN"/>
        </w:rPr>
        <w:t>人员变动工资福利增加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减少40.57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39077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279.72</w:t>
      </w:r>
      <w:r>
        <w:rPr>
          <w:rFonts w:hint="eastAsia" w:ascii="仿宋" w:hAnsi="仿宋" w:eastAsia="仿宋" w:cs="仿宋"/>
          <w:sz w:val="32"/>
          <w:szCs w:val="32"/>
          <w:highlight w:val="none"/>
        </w:rPr>
        <w:t>万元，其中本年支出</w:t>
      </w:r>
      <w:r>
        <w:rPr>
          <w:rFonts w:ascii="仿宋" w:hAnsi="仿宋" w:eastAsia="仿宋" w:cs="仿宋"/>
          <w:sz w:val="32"/>
          <w:u w:color="auto"/>
        </w:rPr>
        <w:t>279.72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增加62.20</w:t>
      </w:r>
      <w:r>
        <w:rPr>
          <w:rFonts w:hint="eastAsia" w:ascii="仿宋" w:hAnsi="仿宋" w:eastAsia="仿宋" w:cs="仿宋"/>
          <w:sz w:val="32"/>
          <w:szCs w:val="32"/>
          <w:highlight w:val="none"/>
        </w:rPr>
        <w:t>万元，</w:t>
      </w:r>
      <w:r>
        <w:rPr>
          <w:rFonts w:ascii="仿宋" w:hAnsi="仿宋" w:eastAsia="仿宋" w:cs="仿宋"/>
          <w:sz w:val="32"/>
          <w:u w:color="auto"/>
        </w:rPr>
        <w:t>增长28.60%</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1.40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群众团体事务</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增加1.40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249.11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增加42.79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增长20.74%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人</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9.58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增长61.82%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主要用于单位基本养老缴费</w:t>
      </w: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6.65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增加4.52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增长212.21%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人</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人员工资福利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增加9.83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增长311.08%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环江毛南族自治县第四幼儿园2022年度一般公共预算财政拨款支出</w:t>
      </w:r>
      <w:r>
        <w:rPr>
          <w:rFonts w:ascii="仿宋" w:hAnsi="仿宋" w:eastAsia="仿宋" w:cs="仿宋"/>
          <w:sz w:val="32"/>
          <w:u w:color="auto"/>
        </w:rPr>
        <w:t>279.72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增加62.20</w:t>
      </w:r>
      <w:r>
        <w:rPr>
          <w:rFonts w:hint="eastAsia" w:ascii="仿宋" w:hAnsi="仿宋" w:eastAsia="仿宋" w:cs="仿宋"/>
          <w:sz w:val="32"/>
          <w:szCs w:val="32"/>
          <w:highlight w:val="none"/>
        </w:rPr>
        <w:t>万元，</w:t>
      </w:r>
      <w:r>
        <w:rPr>
          <w:rFonts w:ascii="仿宋" w:hAnsi="仿宋" w:eastAsia="仿宋" w:cs="仿宋"/>
          <w:sz w:val="32"/>
          <w:u w:color="auto"/>
        </w:rPr>
        <w:t>增长28.60%</w:t>
      </w:r>
      <w:r>
        <w:rPr>
          <w:rFonts w:hint="eastAsia" w:ascii="仿宋" w:hAnsi="仿宋" w:eastAsia="仿宋" w:cs="仿宋"/>
          <w:sz w:val="32"/>
          <w:szCs w:val="32"/>
          <w:highlight w:val="none"/>
        </w:rPr>
        <w:t>。其中：基本支出</w:t>
      </w:r>
      <w:r>
        <w:rPr>
          <w:rFonts w:ascii="仿宋" w:hAnsi="仿宋" w:eastAsia="仿宋" w:cs="仿宋"/>
          <w:sz w:val="32"/>
          <w:u w:color="auto"/>
        </w:rPr>
        <w:t>105.11</w:t>
      </w:r>
      <w:r>
        <w:rPr>
          <w:rFonts w:hint="eastAsia" w:ascii="仿宋" w:hAnsi="仿宋" w:eastAsia="仿宋" w:cs="仿宋"/>
          <w:sz w:val="32"/>
          <w:szCs w:val="32"/>
          <w:highlight w:val="none"/>
        </w:rPr>
        <w:t>万元，项目支出</w:t>
      </w:r>
      <w:r>
        <w:rPr>
          <w:rFonts w:ascii="仿宋" w:hAnsi="仿宋" w:eastAsia="仿宋" w:cs="仿宋"/>
          <w:sz w:val="32"/>
          <w:u w:color="auto"/>
        </w:rPr>
        <w:t>174.62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环江毛南族自治县第四幼儿园2022 年度一般公共预算财政拨款支出年初预算为</w:t>
      </w:r>
      <w:r>
        <w:rPr>
          <w:rFonts w:ascii="仿宋" w:hAnsi="仿宋" w:eastAsia="仿宋" w:cs="仿宋"/>
          <w:sz w:val="32"/>
          <w:u w:color="auto"/>
        </w:rPr>
        <w:t>137.39</w:t>
      </w:r>
      <w:r>
        <w:rPr>
          <w:rFonts w:hint="eastAsia" w:ascii="仿宋" w:hAnsi="仿宋" w:eastAsia="仿宋" w:cs="仿宋"/>
          <w:sz w:val="32"/>
          <w:szCs w:val="32"/>
          <w:highlight w:val="none"/>
        </w:rPr>
        <w:t>万元，支出决算为</w:t>
      </w:r>
      <w:r>
        <w:rPr>
          <w:rFonts w:ascii="仿宋" w:hAnsi="仿宋" w:eastAsia="仿宋" w:cs="仿宋"/>
          <w:sz w:val="32"/>
          <w:u w:color="auto"/>
        </w:rPr>
        <w:t>279.72</w:t>
      </w:r>
      <w:r>
        <w:rPr>
          <w:rFonts w:hint="eastAsia" w:ascii="仿宋" w:hAnsi="仿宋" w:eastAsia="仿宋" w:cs="仿宋"/>
          <w:sz w:val="32"/>
          <w:szCs w:val="32"/>
          <w:highlight w:val="none"/>
        </w:rPr>
        <w:t>万元，完成年初预算的</w:t>
      </w:r>
      <w:r>
        <w:rPr>
          <w:rFonts w:ascii="仿宋" w:hAnsi="仿宋" w:eastAsia="仿宋" w:cs="仿宋"/>
          <w:sz w:val="32"/>
          <w:u w:color="auto"/>
        </w:rPr>
        <w:t>203.60%</w:t>
      </w:r>
      <w:r>
        <w:rPr>
          <w:rFonts w:hint="eastAsia" w:ascii="仿宋" w:hAnsi="仿宋" w:eastAsia="仿宋" w:cs="仿宋"/>
          <w:sz w:val="32"/>
          <w:szCs w:val="32"/>
          <w:highlight w:val="none"/>
        </w:rPr>
        <w:t>。</w:t>
      </w:r>
      <w:bookmarkStart w:id="3" w:name="OLE_LINK2"/>
      <w:bookmarkEnd w:id="3"/>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1.40</w:t>
      </w:r>
      <w:r>
        <w:rPr>
          <w:rFonts w:hint="eastAsia" w:ascii="仿宋" w:hAnsi="仿宋" w:eastAsia="仿宋"/>
          <w:sz w:val="32"/>
          <w:szCs w:val="32"/>
          <w:highlight w:val="none"/>
        </w:rPr>
        <w:t>万元，支出决算为</w:t>
      </w:r>
      <w:r>
        <w:rPr>
          <w:rFonts w:ascii="仿宋" w:hAnsi="仿宋" w:eastAsia="仿宋"/>
          <w:sz w:val="32"/>
          <w:szCs w:val="32"/>
          <w:highlight w:val="none"/>
        </w:rPr>
        <w:t>1.40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工会经费。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116.36</w:t>
      </w:r>
      <w:r>
        <w:rPr>
          <w:rFonts w:hint="eastAsia" w:ascii="仿宋" w:hAnsi="仿宋" w:eastAsia="仿宋"/>
          <w:sz w:val="32"/>
          <w:szCs w:val="32"/>
          <w:highlight w:val="none"/>
        </w:rPr>
        <w:t>万元，支出决算为</w:t>
      </w:r>
      <w:r>
        <w:rPr>
          <w:rFonts w:ascii="仿宋" w:hAnsi="仿宋" w:eastAsia="仿宋"/>
          <w:sz w:val="32"/>
          <w:szCs w:val="32"/>
          <w:highlight w:val="none"/>
        </w:rPr>
        <w:t>249.11</w:t>
      </w:r>
      <w:r>
        <w:rPr>
          <w:rFonts w:hint="eastAsia" w:ascii="仿宋" w:hAnsi="仿宋" w:eastAsia="仿宋"/>
          <w:sz w:val="32"/>
          <w:szCs w:val="32"/>
          <w:highlight w:val="none"/>
        </w:rPr>
        <w:t>万元，完成年初预算的</w:t>
      </w:r>
      <w:r>
        <w:rPr>
          <w:rFonts w:ascii="仿宋" w:hAnsi="仿宋" w:eastAsia="仿宋"/>
          <w:sz w:val="32"/>
          <w:szCs w:val="32"/>
          <w:highlight w:val="none"/>
        </w:rPr>
        <w:t>214.09%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ascii="Times New Roman" w:hAnsi="Times New Roman" w:eastAsia="仿宋_GB2312" w:cs="Times New Roman"/>
          <w:bCs/>
          <w:kern w:val="0"/>
          <w:sz w:val="32"/>
          <w:szCs w:val="32"/>
        </w:rPr>
        <w:t>主要用于</w:t>
      </w:r>
      <w:r>
        <w:rPr>
          <w:rFonts w:hint="eastAsia" w:ascii="Times New Roman" w:hAnsi="Times New Roman" w:eastAsia="仿宋_GB2312" w:cs="Times New Roman"/>
          <w:bCs/>
          <w:kern w:val="0"/>
          <w:sz w:val="32"/>
          <w:szCs w:val="32"/>
        </w:rPr>
        <w:t>人员基本工资，商品服务支出</w:t>
      </w:r>
      <w:r>
        <w:rPr>
          <w:rFonts w:hint="eastAsia" w:ascii="Times New Roman" w:hAnsi="Times New Roman" w:eastAsia="仿宋_GB2312" w:cs="Times New Roman"/>
          <w:bCs/>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116.36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241.31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207.38%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116.36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06675"/>
            <wp:effectExtent l="4445" t="4445" r="16510"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line="560" w:lineRule="exact"/>
        <w:ind w:firstLine="640" w:firstLineChars="200"/>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11.22</w:t>
      </w:r>
      <w:r>
        <w:rPr>
          <w:rFonts w:hint="eastAsia" w:ascii="仿宋" w:hAnsi="仿宋" w:eastAsia="仿宋"/>
          <w:sz w:val="32"/>
          <w:szCs w:val="32"/>
          <w:highlight w:val="none"/>
        </w:rPr>
        <w:t>万元，支出决算为</w:t>
      </w:r>
      <w:r>
        <w:rPr>
          <w:rFonts w:ascii="仿宋" w:hAnsi="仿宋" w:eastAsia="仿宋"/>
          <w:sz w:val="32"/>
          <w:szCs w:val="32"/>
          <w:highlight w:val="none"/>
        </w:rPr>
        <w:t>9.58</w:t>
      </w:r>
      <w:r>
        <w:rPr>
          <w:rFonts w:hint="eastAsia" w:ascii="仿宋" w:hAnsi="仿宋" w:eastAsia="仿宋"/>
          <w:sz w:val="32"/>
          <w:szCs w:val="32"/>
          <w:highlight w:val="none"/>
        </w:rPr>
        <w:t>万元，完成年初预算的</w:t>
      </w:r>
      <w:r>
        <w:rPr>
          <w:rFonts w:ascii="仿宋" w:hAnsi="仿宋" w:eastAsia="仿宋"/>
          <w:sz w:val="32"/>
          <w:szCs w:val="32"/>
          <w:highlight w:val="none"/>
        </w:rPr>
        <w:t>85.38%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16835"/>
            <wp:effectExtent l="4445" t="4445" r="16510" b="762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utoSpaceDE w:val="0"/>
        <w:autoSpaceDN w:val="0"/>
        <w:adjustRightInd w:val="0"/>
        <w:spacing w:line="560" w:lineRule="exact"/>
        <w:ind w:firstLine="640" w:firstLineChars="200"/>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8.41</w:t>
      </w:r>
      <w:r>
        <w:rPr>
          <w:rFonts w:hint="eastAsia" w:ascii="仿宋" w:hAnsi="仿宋" w:eastAsia="仿宋"/>
          <w:sz w:val="32"/>
          <w:szCs w:val="32"/>
          <w:highlight w:val="none"/>
        </w:rPr>
        <w:t>万元，支出决算为</w:t>
      </w:r>
      <w:r>
        <w:rPr>
          <w:rFonts w:ascii="仿宋" w:hAnsi="仿宋" w:eastAsia="仿宋"/>
          <w:sz w:val="32"/>
          <w:szCs w:val="32"/>
          <w:highlight w:val="none"/>
        </w:rPr>
        <w:t>6.65</w:t>
      </w:r>
      <w:r>
        <w:rPr>
          <w:rFonts w:hint="eastAsia" w:ascii="仿宋" w:hAnsi="仿宋" w:eastAsia="仿宋"/>
          <w:sz w:val="32"/>
          <w:szCs w:val="32"/>
          <w:highlight w:val="none"/>
        </w:rPr>
        <w:t>万元，完成年初预算的</w:t>
      </w:r>
      <w:r>
        <w:rPr>
          <w:rFonts w:ascii="仿宋" w:hAnsi="仿宋" w:eastAsia="仿宋"/>
          <w:sz w:val="32"/>
          <w:szCs w:val="32"/>
          <w:highlight w:val="none"/>
        </w:rPr>
        <w:t>79.07%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12.99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人，主要用于人员工资福利。</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环江毛南族自治县第四幼儿园2022年度一般公共预算财政拨款基本支出</w:t>
      </w:r>
      <w:r>
        <w:rPr>
          <w:rFonts w:ascii="仿宋" w:hAnsi="仿宋" w:eastAsia="仿宋" w:cs="仿宋"/>
          <w:sz w:val="32"/>
          <w:u w:color="auto"/>
        </w:rPr>
        <w:t>105.11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103.70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1.40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101.90万元，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149.87%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42.40万元，30102津贴补贴2.95万元，30103奖金16.86万元，30107绩效工资17.56万元，30108机关事业单位基本养老保险缴费9.58万元，30110职工基本医疗保险缴费5.33万元，30112其他社会保障缴费0.54万元，30113住房公积金6.65万元，30199其他工资福利支出0.04万元。</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1.40万元，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30228工会经费1.40万元。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1.80万元，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30305生活补助1.80万元。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8287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870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环江毛南族自治县第四幼儿园2022年度政府性基金支出年初预算为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环江毛南族自治县第四幼儿园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环江毛南族自治县第四幼儿园2022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环江毛南族自治县第四幼儿园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本部门202</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年度没有“三公”经费资金收入，也没有“三公”经费资金安排的支出。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本部门</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lang w:val="en-US" w:eastAsia="zh-CN"/>
          <w14:textFill>
            <w14:solidFill>
              <w14:schemeClr w14:val="tx1"/>
            </w14:solidFill>
          </w14:textFill>
        </w:rPr>
        <w:t>0个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cs="Times New Roman"/>
          <w:kern w:val="0"/>
          <w:sz w:val="32"/>
          <w:szCs w:val="32"/>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widowControl/>
        <w:spacing w:line="560" w:lineRule="exact"/>
        <w:ind w:firstLine="640"/>
        <w:rPr>
          <w:rFonts w:hint="eastAsia" w:ascii="仿宋" w:hAnsi="仿宋" w:eastAsia="仿宋" w:cs="仿宋"/>
          <w:color w:val="FF0000"/>
          <w:sz w:val="32"/>
          <w:szCs w:val="32"/>
          <w:highlight w:val="none"/>
        </w:rPr>
      </w:pPr>
      <w:r>
        <w:rPr>
          <w:rFonts w:hint="eastAsia" w:ascii="仿宋" w:hAnsi="仿宋" w:eastAsia="仿宋" w:cs="仿宋"/>
          <w:b w:val="0"/>
          <w:bCs w:val="0"/>
          <w:sz w:val="32"/>
          <w:szCs w:val="32"/>
          <w:highlight w:val="none"/>
        </w:rPr>
        <w:t>本部门2022年度机关运行经费支出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万元，比年初预算数</w:t>
      </w:r>
      <w:r>
        <w:rPr>
          <w:rFonts w:ascii="仿宋" w:hAnsi="仿宋" w:eastAsia="仿宋" w:cs="仿宋"/>
          <w:b w:val="0"/>
          <w:bCs w:val="0"/>
          <w:sz w:val="32"/>
          <w:szCs w:val="32"/>
          <w:highlight w:val="none"/>
        </w:rPr>
        <w:t>减少</w:t>
      </w:r>
      <w:r>
        <w:rPr>
          <w:rFonts w:hint="default" w:ascii="仿宋" w:hAnsi="仿宋" w:eastAsia="仿宋" w:cs="仿宋"/>
          <w:b w:val="0"/>
          <w:bCs w:val="0"/>
          <w:sz w:val="32"/>
          <w:szCs w:val="32"/>
          <w:highlight w:val="none"/>
          <w:lang w:val="en"/>
        </w:rPr>
        <w:t>0</w:t>
      </w:r>
      <w:r>
        <w:rPr>
          <w:rFonts w:hint="eastAsia" w:ascii="仿宋" w:hAnsi="仿宋" w:eastAsia="仿宋" w:cs="仿宋"/>
          <w:b w:val="0"/>
          <w:bCs w:val="0"/>
          <w:sz w:val="32"/>
          <w:szCs w:val="32"/>
          <w:highlight w:val="none"/>
        </w:rPr>
        <w:t>万元，</w:t>
      </w:r>
      <w:r>
        <w:rPr>
          <w:rFonts w:ascii="仿宋" w:hAnsi="仿宋" w:eastAsia="仿宋" w:cs="仿宋"/>
          <w:b w:val="0"/>
          <w:bCs w:val="0"/>
          <w:sz w:val="32"/>
          <w:szCs w:val="32"/>
          <w:highlight w:val="none"/>
        </w:rPr>
        <w:t>下降</w:t>
      </w:r>
      <w:r>
        <w:rPr>
          <w:rFonts w:hint="default" w:ascii="仿宋" w:hAnsi="仿宋" w:eastAsia="仿宋" w:cs="仿宋"/>
          <w:b w:val="0"/>
          <w:bCs w:val="0"/>
          <w:sz w:val="32"/>
          <w:szCs w:val="32"/>
          <w:highlight w:val="none"/>
          <w:lang w:val="en"/>
        </w:rPr>
        <w:t>0</w:t>
      </w:r>
      <w:r>
        <w:rPr>
          <w:rFonts w:ascii="仿宋" w:hAnsi="仿宋" w:eastAsia="仿宋" w:cs="仿宋"/>
          <w:b w:val="0"/>
          <w:bCs w:val="0"/>
          <w:sz w:val="32"/>
          <w:szCs w:val="32"/>
          <w:highlight w:val="none"/>
        </w:rPr>
        <w:t>%</w:t>
      </w:r>
      <w:r>
        <w:rPr>
          <w:rFonts w:hint="eastAsia" w:ascii="仿宋" w:hAnsi="仿宋" w:eastAsia="仿宋" w:cs="仿宋"/>
          <w:b w:val="0"/>
          <w:bCs w:val="0"/>
          <w:sz w:val="32"/>
          <w:szCs w:val="32"/>
          <w:highlight w:val="none"/>
        </w:rPr>
        <w:t>，比上年决算数</w:t>
      </w:r>
      <w:r>
        <w:rPr>
          <w:rFonts w:ascii="仿宋" w:hAnsi="仿宋" w:eastAsia="仿宋" w:cs="仿宋"/>
          <w:b w:val="0"/>
          <w:bCs w:val="0"/>
          <w:sz w:val="32"/>
          <w:szCs w:val="32"/>
          <w:highlight w:val="none"/>
        </w:rPr>
        <w:t>增加0.00</w:t>
      </w:r>
      <w:r>
        <w:rPr>
          <w:rFonts w:hint="eastAsia" w:ascii="仿宋" w:hAnsi="仿宋" w:eastAsia="仿宋" w:cs="仿宋"/>
          <w:b w:val="0"/>
          <w:bCs w:val="0"/>
          <w:sz w:val="32"/>
          <w:szCs w:val="32"/>
          <w:highlight w:val="none"/>
        </w:rPr>
        <w:t>万元，</w:t>
      </w:r>
      <w:r>
        <w:rPr>
          <w:rFonts w:ascii="仿宋" w:hAnsi="仿宋" w:eastAsia="仿宋" w:cs="仿宋"/>
          <w:b w:val="0"/>
          <w:bCs w:val="0"/>
          <w:sz w:val="32"/>
          <w:szCs w:val="32"/>
          <w:highlight w:val="none"/>
        </w:rPr>
        <w:t>增长0%</w:t>
      </w:r>
      <w:r>
        <w:rPr>
          <w:rFonts w:hint="eastAsia" w:ascii="仿宋" w:hAnsi="仿宋" w:eastAsia="仿宋" w:cs="仿宋"/>
          <w:b w:val="0"/>
          <w:bCs w:val="0"/>
          <w:sz w:val="32"/>
          <w:szCs w:val="32"/>
          <w:highlight w:val="none"/>
        </w:rPr>
        <w:t>。</w:t>
      </w:r>
      <w:r>
        <w:rPr>
          <w:rFonts w:ascii="Times New Roman" w:hAnsi="Times New Roman" w:eastAsia="仿宋_GB2312" w:cs="Times New Roman"/>
          <w:b w:val="0"/>
          <w:bCs w:val="0"/>
          <w:kern w:val="0"/>
          <w:sz w:val="32"/>
          <w:szCs w:val="32"/>
          <w:highlight w:val="none"/>
        </w:rPr>
        <w:t>本部门无机关运行经费</w:t>
      </w:r>
      <w:r>
        <w:rPr>
          <w:rFonts w:ascii="Times New Roman" w:hAnsi="Times New Roman" w:eastAsia="仿宋_GB2312" w:cs="Times New Roman"/>
          <w:b w:val="0"/>
          <w:bCs w:val="0"/>
          <w:kern w:val="0"/>
          <w:sz w:val="32"/>
          <w:szCs w:val="32"/>
        </w:rPr>
        <w:t>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widowControl/>
        <w:spacing w:line="560" w:lineRule="exact"/>
        <w:ind w:firstLine="640"/>
        <w:rPr>
          <w:rFonts w:ascii="Times New Roman" w:hAnsi="Times New Roman" w:eastAsia="仿宋_GB2312" w:cs="Times New Roman"/>
          <w:b w:val="0"/>
          <w:bCs w:val="0"/>
          <w:kern w:val="0"/>
          <w:sz w:val="32"/>
          <w:szCs w:val="32"/>
        </w:rPr>
      </w:pPr>
      <w:r>
        <w:rPr>
          <w:rFonts w:hint="eastAsia" w:ascii="仿宋" w:hAnsi="仿宋" w:eastAsia="仿宋" w:cs="仿宋"/>
          <w:b w:val="0"/>
          <w:bCs w:val="0"/>
          <w:sz w:val="32"/>
          <w:szCs w:val="32"/>
          <w:highlight w:val="none"/>
        </w:rPr>
        <w:t>本部门2022年度政府采购支出总额</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万元，其中：政府采购货物支出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万元、政府采购工程支出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万元、政府采购服务支出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万元。授予中小企业合同金额</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万元，占政府采购支出总额的</w:t>
      </w:r>
      <w:r>
        <w:rPr>
          <w:rFonts w:ascii="仿宋" w:hAnsi="仿宋" w:eastAsia="仿宋" w:cs="仿宋"/>
          <w:b w:val="0"/>
          <w:bCs w:val="0"/>
          <w:sz w:val="32"/>
          <w:szCs w:val="32"/>
          <w:highlight w:val="none"/>
        </w:rPr>
        <w:t>0%</w:t>
      </w:r>
      <w:r>
        <w:rPr>
          <w:rFonts w:hint="eastAsia" w:ascii="仿宋" w:hAnsi="仿宋" w:eastAsia="仿宋" w:cs="仿宋"/>
          <w:b w:val="0"/>
          <w:bCs w:val="0"/>
          <w:sz w:val="32"/>
          <w:szCs w:val="32"/>
          <w:highlight w:val="none"/>
        </w:rPr>
        <w:t>，其中：授予小微企业合同金额</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万元，占授予中小企业合同金额的</w:t>
      </w:r>
      <w:r>
        <w:rPr>
          <w:rFonts w:ascii="仿宋" w:hAnsi="仿宋" w:eastAsia="仿宋" w:cs="仿宋"/>
          <w:b w:val="0"/>
          <w:bCs w:val="0"/>
          <w:sz w:val="32"/>
          <w:szCs w:val="32"/>
          <w:highlight w:val="none"/>
        </w:rPr>
        <w:t>0%</w:t>
      </w:r>
      <w:r>
        <w:rPr>
          <w:rFonts w:hint="eastAsia" w:ascii="仿宋" w:hAnsi="仿宋" w:eastAsia="仿宋" w:cs="仿宋"/>
          <w:b w:val="0"/>
          <w:bCs w:val="0"/>
          <w:sz w:val="32"/>
          <w:szCs w:val="32"/>
          <w:highlight w:val="none"/>
        </w:rPr>
        <w:t>。</w:t>
      </w:r>
      <w:r>
        <w:rPr>
          <w:rFonts w:ascii="Times New Roman" w:hAnsi="Times New Roman" w:eastAsia="仿宋_GB2312" w:cs="Times New Roman"/>
          <w:b w:val="0"/>
          <w:bCs w:val="0"/>
          <w:kern w:val="0"/>
          <w:sz w:val="32"/>
          <w:szCs w:val="32"/>
        </w:rPr>
        <w:t>本部门无政府采购支出</w:t>
      </w:r>
      <w:r>
        <w:rPr>
          <w:rFonts w:hint="eastAsia" w:ascii="Times New Roman" w:hAnsi="Times New Roman" w:eastAsia="仿宋_GB2312" w:cs="Times New Roman"/>
          <w:b w:val="0"/>
          <w:bCs w:val="0"/>
          <w:kern w:val="0"/>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232.42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组织对2022年度等0个政府性基金预算项目支出开展绩效自评，共涉及资金0万元，占政府性基金预算项目支出总额的0%。组织对2022年度等0个国有资本经营预算项目支出开展绩效自评，共涉及资金0万元，占国有资本经营预算项目支出总额的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组织对“学前生均公用经费”等</w:t>
      </w:r>
      <w:r>
        <w:rPr>
          <w:rFonts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232.42</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组织对本单位开展整体支出绩效评价试点，涉及一般公共预算支出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232.42</w:t>
      </w:r>
      <w:r>
        <w:rPr>
          <w:rFonts w:hint="eastAsia" w:ascii="仿宋" w:hAnsi="仿宋" w:eastAsia="仿宋" w:cs="仿宋"/>
          <w:sz w:val="32"/>
          <w:szCs w:val="32"/>
        </w:rPr>
        <w:t>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jc w:val="left"/>
        <w:rPr>
          <w:rFonts w:ascii="仿宋" w:hAnsi="仿宋" w:eastAsia="仿宋" w:cs="仿宋"/>
          <w:sz w:val="32"/>
          <w:szCs w:val="32"/>
        </w:rPr>
      </w:pPr>
      <w:r>
        <w:rPr>
          <w:rFonts w:hint="eastAsia" w:ascii="仿宋" w:hAnsi="仿宋" w:eastAsia="仿宋" w:cs="仿宋"/>
          <w:sz w:val="32"/>
          <w:szCs w:val="32"/>
        </w:rPr>
        <w:t>我部门根据年初设定的绩效目标，</w:t>
      </w:r>
      <w:bookmarkStart w:id="5" w:name="_Hlk151217930"/>
      <w:r>
        <w:rPr>
          <w:rFonts w:hint="eastAsia" w:ascii="仿宋" w:hAnsi="仿宋" w:eastAsia="仿宋" w:cs="仿宋"/>
          <w:sz w:val="32"/>
          <w:szCs w:val="32"/>
        </w:rPr>
        <w:t>奖励性补贴</w:t>
      </w:r>
      <w:r>
        <w:rPr>
          <w:rFonts w:hint="eastAsia" w:ascii="仿宋" w:hAnsi="仿宋" w:eastAsia="仿宋" w:cs="仿宋"/>
          <w:sz w:val="32"/>
          <w:szCs w:val="32"/>
          <w:lang w:eastAsia="zh-CN"/>
        </w:rPr>
        <w:t>、</w:t>
      </w:r>
      <w:r>
        <w:rPr>
          <w:rFonts w:hint="eastAsia" w:ascii="仿宋" w:hAnsi="仿宋" w:eastAsia="仿宋" w:cs="仿宋"/>
          <w:sz w:val="32"/>
          <w:szCs w:val="32"/>
        </w:rPr>
        <w:t>教师节经费、伙食补助、全县校长绩效工资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学前教育保育费</w:t>
      </w:r>
      <w:r>
        <w:rPr>
          <w:rFonts w:hint="eastAsia" w:ascii="仿宋" w:hAnsi="仿宋" w:eastAsia="仿宋" w:cs="仿宋"/>
          <w:sz w:val="32"/>
          <w:szCs w:val="32"/>
        </w:rPr>
        <w:t>这</w:t>
      </w:r>
      <w:r>
        <w:rPr>
          <w:rFonts w:hint="eastAsia" w:ascii="仿宋" w:hAnsi="仿宋" w:eastAsia="仿宋" w:cs="仿宋"/>
          <w:sz w:val="32"/>
          <w:szCs w:val="32"/>
          <w:lang w:val="en-US" w:eastAsia="zh-CN"/>
        </w:rPr>
        <w:t>4</w:t>
      </w:r>
      <w:r>
        <w:rPr>
          <w:rFonts w:hint="eastAsia" w:ascii="仿宋" w:hAnsi="仿宋" w:eastAsia="仿宋" w:cs="仿宋"/>
          <w:sz w:val="32"/>
          <w:szCs w:val="32"/>
        </w:rPr>
        <w:t>个项目都能按时完成支付，自评得分均为100分。</w:t>
      </w:r>
      <w:r>
        <w:rPr>
          <w:rFonts w:hint="eastAsia" w:ascii="仿宋" w:hAnsi="仿宋" w:eastAsia="仿宋" w:cs="仿宋"/>
          <w:sz w:val="32"/>
          <w:szCs w:val="32"/>
          <w:lang w:val="en-US" w:eastAsia="zh-CN"/>
        </w:rPr>
        <w:t>学前生均公用经费项目评分为85.44。</w:t>
      </w:r>
      <w:r>
        <w:rPr>
          <w:rFonts w:hint="eastAsia" w:ascii="仿宋" w:hAnsi="仿宋" w:eastAsia="仿宋" w:cs="仿宋"/>
          <w:sz w:val="32"/>
          <w:szCs w:val="32"/>
        </w:rPr>
        <w:t>发现的主要问题及原因：部分报账材料未能及时整理。下一步改进措施：及时整理报账材料，完成年度资金进度安排。</w:t>
      </w:r>
      <w:r>
        <w:rPr>
          <w:rFonts w:hint="eastAsia" w:ascii="仿宋" w:hAnsi="仿宋" w:eastAsia="仿宋" w:cs="仿宋"/>
          <w:sz w:val="32"/>
          <w:szCs w:val="32"/>
          <w:lang w:val="en-US" w:eastAsia="zh-CN"/>
        </w:rPr>
        <w:t>学前教育免保教费县本级补助资金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98.84</w:t>
      </w:r>
      <w:r>
        <w:rPr>
          <w:rFonts w:hint="eastAsia" w:ascii="仿宋" w:hAnsi="仿宋" w:eastAsia="仿宋" w:cs="仿宋"/>
          <w:sz w:val="32"/>
          <w:szCs w:val="32"/>
        </w:rPr>
        <w:t>分。发现的主要问题及原因：部分报账材料未能及时整理。下一步改进措施：及时整理报账材料，完成年度资金进度安排。</w:t>
      </w:r>
      <w:r>
        <w:rPr>
          <w:rFonts w:hint="eastAsia" w:ascii="仿宋" w:hAnsi="仿宋" w:eastAsia="仿宋" w:cs="仿宋"/>
          <w:sz w:val="32"/>
          <w:szCs w:val="32"/>
          <w:lang w:val="en-US" w:eastAsia="zh-CN"/>
        </w:rPr>
        <w:t>学前教育免保教费自治区补助资金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86.72</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r>
        <w:rPr>
          <w:rFonts w:hint="eastAsia" w:ascii="仿宋" w:hAnsi="仿宋" w:eastAsia="仿宋" w:cs="仿宋"/>
          <w:color w:val="0000FF"/>
          <w:sz w:val="32"/>
          <w:szCs w:val="32"/>
          <w:highlight w:val="none"/>
        </w:rPr>
        <w:t>。</w:t>
      </w:r>
      <w:r>
        <w:rPr>
          <w:rFonts w:hint="eastAsia" w:ascii="仿宋" w:hAnsi="仿宋" w:eastAsia="仿宋" w:cs="仿宋"/>
          <w:sz w:val="32"/>
          <w:szCs w:val="32"/>
          <w:lang w:val="en-US" w:eastAsia="zh-CN"/>
        </w:rPr>
        <w:t>学前教育质量提升资金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86.08</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r>
        <w:rPr>
          <w:rFonts w:hint="eastAsia" w:ascii="仿宋" w:hAnsi="仿宋" w:eastAsia="仿宋" w:cs="仿宋"/>
          <w:sz w:val="32"/>
          <w:szCs w:val="32"/>
          <w:lang w:val="en-US" w:eastAsia="zh-CN"/>
        </w:rPr>
        <w:t>班主任津贴</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92</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r>
        <w:rPr>
          <w:rFonts w:hint="eastAsia" w:ascii="仿宋" w:hAnsi="仿宋" w:eastAsia="仿宋" w:cs="仿宋"/>
          <w:sz w:val="32"/>
          <w:szCs w:val="32"/>
          <w:lang w:val="en-US" w:eastAsia="zh-CN"/>
        </w:rPr>
        <w:t>学前教育免保教费中央补助资金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99.92</w:t>
      </w:r>
      <w:r>
        <w:rPr>
          <w:rFonts w:hint="eastAsia" w:ascii="仿宋" w:hAnsi="仿宋" w:eastAsia="仿宋" w:cs="仿宋"/>
          <w:sz w:val="32"/>
          <w:szCs w:val="32"/>
        </w:rPr>
        <w:t>分。发现的主要问题及原因：未能及时整理报账材料。下一步改进措施：一是做好幼儿园整理报账材料；二是加快资金进度安排。</w:t>
      </w:r>
      <w:r>
        <w:rPr>
          <w:rFonts w:hint="eastAsia" w:ascii="仿宋" w:hAnsi="仿宋" w:eastAsia="仿宋" w:cs="仿宋"/>
          <w:sz w:val="32"/>
          <w:szCs w:val="32"/>
          <w:lang w:val="en-US" w:eastAsia="zh-CN"/>
        </w:rPr>
        <w:t>环江县第四幼儿园2022年年初经费预算（保育教育费）</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97.74</w:t>
      </w:r>
      <w:r>
        <w:rPr>
          <w:rFonts w:hint="eastAsia" w:ascii="仿宋" w:hAnsi="仿宋" w:eastAsia="仿宋" w:cs="仿宋"/>
          <w:sz w:val="32"/>
          <w:szCs w:val="32"/>
        </w:rPr>
        <w:t>。发现的主要问题及原因：部分报账材料未能及时整理。下一步改进措施：及时整理报账材料，完成年度资金进度安排。</w:t>
      </w:r>
      <w:bookmarkEnd w:id="5"/>
      <w:r>
        <w:rPr>
          <w:rFonts w:hint="eastAsia" w:ascii="仿宋" w:hAnsi="仿宋" w:eastAsia="仿宋" w:cs="仿宋"/>
          <w:sz w:val="32"/>
          <w:szCs w:val="32"/>
          <w:lang w:val="en-US" w:eastAsia="zh-CN"/>
        </w:rPr>
        <w:t>六一儿童节慰问金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80</w:t>
      </w:r>
      <w:r>
        <w:rPr>
          <w:rFonts w:hint="eastAsia" w:ascii="仿宋" w:hAnsi="仿宋" w:eastAsia="仿宋" w:cs="仿宋"/>
          <w:sz w:val="32"/>
          <w:szCs w:val="32"/>
        </w:rPr>
        <w:t>分。发现的主要问题及原因：未能及时整理报账材料。下一步改进措施：一是做好幼儿园整理报账材料；二是加快资金进度安排。</w:t>
      </w: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hint="eastAsia" w:ascii="仿宋" w:hAnsi="仿宋" w:eastAsia="仿宋" w:cs="仿宋"/>
          <w:b w:val="0"/>
          <w:bCs w:val="0"/>
          <w:sz w:val="32"/>
          <w:szCs w:val="32"/>
          <w:highlight w:val="none"/>
          <w:lang w:val="en-US" w:eastAsia="zh-CN"/>
        </w:rPr>
      </w:pPr>
      <w:bookmarkStart w:id="6" w:name="_GoBack"/>
      <w:bookmarkEnd w:id="6"/>
    </w:p>
    <w:sectPr>
      <w:pgSz w:w="11906" w:h="16838"/>
      <w:pgMar w:top="127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64D0A"/>
    <w:multiLevelType w:val="singleLevel"/>
    <w:tmpl w:val="CBF64D0A"/>
    <w:lvl w:ilvl="0" w:tentative="0">
      <w:start w:val="1"/>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zOGY0Y2ExYjM1MWMzYjkyMjY5NmI1NWMwODNiNG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53F09"/>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8A1427"/>
    <w:rsid w:val="020C171D"/>
    <w:rsid w:val="0216715F"/>
    <w:rsid w:val="02E0291A"/>
    <w:rsid w:val="04A10F62"/>
    <w:rsid w:val="04A42800"/>
    <w:rsid w:val="04E54546"/>
    <w:rsid w:val="05135C68"/>
    <w:rsid w:val="05992762"/>
    <w:rsid w:val="06BD5DFB"/>
    <w:rsid w:val="07B0770E"/>
    <w:rsid w:val="0942143F"/>
    <w:rsid w:val="0A953041"/>
    <w:rsid w:val="0D100297"/>
    <w:rsid w:val="0D202B45"/>
    <w:rsid w:val="0F127094"/>
    <w:rsid w:val="0F8D4C87"/>
    <w:rsid w:val="0F8E2261"/>
    <w:rsid w:val="10505FAA"/>
    <w:rsid w:val="105F7E7E"/>
    <w:rsid w:val="11E03822"/>
    <w:rsid w:val="11E56B5B"/>
    <w:rsid w:val="125C77AB"/>
    <w:rsid w:val="137D5290"/>
    <w:rsid w:val="13CA1B57"/>
    <w:rsid w:val="14CB726E"/>
    <w:rsid w:val="150B5F52"/>
    <w:rsid w:val="15DD5B72"/>
    <w:rsid w:val="17E92249"/>
    <w:rsid w:val="18D304F1"/>
    <w:rsid w:val="19F32577"/>
    <w:rsid w:val="19F45B80"/>
    <w:rsid w:val="1B0C078D"/>
    <w:rsid w:val="1B2B31E2"/>
    <w:rsid w:val="1B4C295A"/>
    <w:rsid w:val="1B973C63"/>
    <w:rsid w:val="1BA1001E"/>
    <w:rsid w:val="1D317259"/>
    <w:rsid w:val="1E664F5B"/>
    <w:rsid w:val="1EB34BE1"/>
    <w:rsid w:val="215E639F"/>
    <w:rsid w:val="21EC3183"/>
    <w:rsid w:val="22196184"/>
    <w:rsid w:val="225E72CD"/>
    <w:rsid w:val="246E2F77"/>
    <w:rsid w:val="254B4E2B"/>
    <w:rsid w:val="26C836FD"/>
    <w:rsid w:val="27FE6A94"/>
    <w:rsid w:val="283D7C94"/>
    <w:rsid w:val="29480E03"/>
    <w:rsid w:val="2983634D"/>
    <w:rsid w:val="2BB02055"/>
    <w:rsid w:val="2C575A56"/>
    <w:rsid w:val="2CAD4762"/>
    <w:rsid w:val="2F257714"/>
    <w:rsid w:val="2F3275E5"/>
    <w:rsid w:val="30AA08EF"/>
    <w:rsid w:val="30D23D1C"/>
    <w:rsid w:val="31221CF5"/>
    <w:rsid w:val="31400178"/>
    <w:rsid w:val="31B25CAD"/>
    <w:rsid w:val="321E3342"/>
    <w:rsid w:val="327759C8"/>
    <w:rsid w:val="33185FE3"/>
    <w:rsid w:val="34C401D1"/>
    <w:rsid w:val="34EE2E36"/>
    <w:rsid w:val="36777241"/>
    <w:rsid w:val="371E78D5"/>
    <w:rsid w:val="37661A13"/>
    <w:rsid w:val="387C17C2"/>
    <w:rsid w:val="38A951DB"/>
    <w:rsid w:val="38B31605"/>
    <w:rsid w:val="39003F4F"/>
    <w:rsid w:val="3C07002B"/>
    <w:rsid w:val="3D0D152A"/>
    <w:rsid w:val="3D485717"/>
    <w:rsid w:val="3DF62756"/>
    <w:rsid w:val="3EA454EE"/>
    <w:rsid w:val="3F1B7587"/>
    <w:rsid w:val="41E57B4F"/>
    <w:rsid w:val="423D15C3"/>
    <w:rsid w:val="432F26F6"/>
    <w:rsid w:val="43880F63"/>
    <w:rsid w:val="441C5A6F"/>
    <w:rsid w:val="446E0159"/>
    <w:rsid w:val="44C44FCC"/>
    <w:rsid w:val="44CC7369"/>
    <w:rsid w:val="453749EF"/>
    <w:rsid w:val="457F5108"/>
    <w:rsid w:val="46951B6B"/>
    <w:rsid w:val="46BF20A1"/>
    <w:rsid w:val="46E841F3"/>
    <w:rsid w:val="496D4E83"/>
    <w:rsid w:val="49A34401"/>
    <w:rsid w:val="4A3E30AB"/>
    <w:rsid w:val="4AC14DAC"/>
    <w:rsid w:val="4C7B3413"/>
    <w:rsid w:val="4D0F2800"/>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3D6123"/>
    <w:rsid w:val="5CA96A00"/>
    <w:rsid w:val="5CF730BC"/>
    <w:rsid w:val="5DEB1AE1"/>
    <w:rsid w:val="5E5F0DCE"/>
    <w:rsid w:val="5F053010"/>
    <w:rsid w:val="5FA40A7B"/>
    <w:rsid w:val="5FD56D29"/>
    <w:rsid w:val="5FEC7F3F"/>
    <w:rsid w:val="60961895"/>
    <w:rsid w:val="60F74BC3"/>
    <w:rsid w:val="617D3BF8"/>
    <w:rsid w:val="61841F6A"/>
    <w:rsid w:val="61B743B9"/>
    <w:rsid w:val="61E0223F"/>
    <w:rsid w:val="623007A9"/>
    <w:rsid w:val="637D7558"/>
    <w:rsid w:val="644F19AC"/>
    <w:rsid w:val="64803865"/>
    <w:rsid w:val="65493C57"/>
    <w:rsid w:val="65AA4920"/>
    <w:rsid w:val="65E31D0B"/>
    <w:rsid w:val="67694F1E"/>
    <w:rsid w:val="68A81D68"/>
    <w:rsid w:val="69597934"/>
    <w:rsid w:val="6B964DDC"/>
    <w:rsid w:val="6C783074"/>
    <w:rsid w:val="6D9E65C6"/>
    <w:rsid w:val="6DA81947"/>
    <w:rsid w:val="6E34121C"/>
    <w:rsid w:val="6EB66DE2"/>
    <w:rsid w:val="6ED3075F"/>
    <w:rsid w:val="6F2A2D4B"/>
    <w:rsid w:val="6F502086"/>
    <w:rsid w:val="6F8A0C1E"/>
    <w:rsid w:val="703F45D4"/>
    <w:rsid w:val="715D6546"/>
    <w:rsid w:val="71BE069E"/>
    <w:rsid w:val="7212235A"/>
    <w:rsid w:val="727662A7"/>
    <w:rsid w:val="73953409"/>
    <w:rsid w:val="73E069A3"/>
    <w:rsid w:val="73E84F83"/>
    <w:rsid w:val="744277F3"/>
    <w:rsid w:val="754E52B9"/>
    <w:rsid w:val="75A151D2"/>
    <w:rsid w:val="76AD7DBE"/>
    <w:rsid w:val="77727E69"/>
    <w:rsid w:val="78104AA8"/>
    <w:rsid w:val="78E257C5"/>
    <w:rsid w:val="794B35BE"/>
    <w:rsid w:val="79C54C19"/>
    <w:rsid w:val="7B0A3A31"/>
    <w:rsid w:val="7B3360ED"/>
    <w:rsid w:val="7BDF037E"/>
    <w:rsid w:val="7BF50948"/>
    <w:rsid w:val="7CE66A78"/>
    <w:rsid w:val="7D23564C"/>
    <w:rsid w:val="7D5E062D"/>
    <w:rsid w:val="7DF76CD8"/>
    <w:rsid w:val="7F695C26"/>
    <w:rsid w:val="7FCF62D3"/>
    <w:rsid w:val="E7F7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279.72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206.32</c:v>
                </c:pt>
                <c:pt idx="2">
                  <c:v>5.92</c:v>
                </c:pt>
                <c:pt idx="3">
                  <c:v>2.13</c:v>
                </c:pt>
                <c:pt idx="4">
                  <c:v>3.16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c:v>
                </c:pt>
                <c:pt idx="1">
                  <c:v>249.11</c:v>
                </c:pt>
                <c:pt idx="2">
                  <c:v>9.58</c:v>
                </c:pt>
                <c:pt idx="3">
                  <c:v>6.65</c:v>
                </c:pt>
                <c:pt idx="4">
                  <c:v>12.99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c:v>
                </c:pt>
                <c:pt idx="1">
                  <c:v>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241.31</c:v>
                </c:pt>
                <c:pt idx="1">
                  <c:v>7.8</c:v>
                </c:pt>
                <c:pt idx="2">
                  <c:v>249.11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9.58</c:v>
                </c:pt>
                <c:pt idx="1">
                  <c:v>9.58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6.65</c:v>
                </c:pt>
                <c:pt idx="1">
                  <c:v>6.65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12.99</c:v>
                </c:pt>
                <c:pt idx="1">
                  <c:v>12.99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42.4</c:v>
                </c:pt>
                <c:pt idx="1">
                  <c:v>2.95</c:v>
                </c:pt>
                <c:pt idx="2">
                  <c:v>16.86</c:v>
                </c:pt>
                <c:pt idx="3">
                  <c:v>0</c:v>
                </c:pt>
                <c:pt idx="4">
                  <c:v>17.56</c:v>
                </c:pt>
                <c:pt idx="5">
                  <c:v>9.58</c:v>
                </c:pt>
                <c:pt idx="6">
                  <c:v>0</c:v>
                </c:pt>
                <c:pt idx="7">
                  <c:v>5.33</c:v>
                </c:pt>
                <c:pt idx="8">
                  <c:v>0</c:v>
                </c:pt>
                <c:pt idx="9">
                  <c:v>0.54</c:v>
                </c:pt>
                <c:pt idx="10">
                  <c:v>6.65</c:v>
                </c:pt>
                <c:pt idx="11">
                  <c:v>0</c:v>
                </c:pt>
                <c:pt idx="12">
                  <c:v>0.04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2023-11-21T10:19:00Z</cp:lastPrinted>
  <dcterms:modified xsi:type="dcterms:W3CDTF">2023-11-28T08:34:51Z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BA36D0FE54A341B0878568EBC733AE7E_13</vt:lpwstr>
  </property>
</Properties>
</file>