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lang w:eastAsia="zh-CN"/>
        </w:rPr>
        <w:t xml:space="preserve"> </w:t>
      </w:r>
      <w:r>
        <w:rPr>
          <w:rFonts w:hint="eastAsia" w:ascii="黑体" w:hAnsi="黑体" w:eastAsia="黑体" w:cs="黑体"/>
          <w:b/>
          <w:bCs/>
          <w:sz w:val="52"/>
          <w:szCs w:val="52"/>
          <w:highlight w:val="none"/>
        </w:rPr>
        <w:t>环江毛南族自治县第五初级中学2022年度部门决算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eastAsia="zh-CN"/>
        </w:rPr>
        <w:t xml:space="preserve"> </w:t>
      </w:r>
      <w:r>
        <w:rPr>
          <w:rFonts w:ascii="黑体" w:hAnsi="黑体" w:eastAsia="黑体" w:cs="黑体"/>
          <w:sz w:val="32"/>
          <w:u w:color="auto"/>
        </w:rPr>
        <w:t>环江毛南族自治县第五初级中学</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 xml:space="preserve"> </w:t>
      </w:r>
      <w:r>
        <w:rPr>
          <w:rFonts w:ascii="黑体" w:hAnsi="黑体" w:eastAsia="黑体" w:cs="黑体"/>
          <w:sz w:val="32"/>
          <w:u w:color="auto"/>
        </w:rPr>
        <w:t>环江毛南族自治县第五初级中学</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 xml:space="preserve"> </w:t>
      </w:r>
      <w:r>
        <w:rPr>
          <w:rFonts w:ascii="黑体" w:hAnsi="黑体" w:eastAsia="黑体" w:cs="黑体"/>
          <w:sz w:val="32"/>
          <w:u w:color="auto"/>
        </w:rPr>
        <w:t>环江毛南族自治县第五初级中学</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sz w:val="32"/>
          <w:u w:color="auto"/>
          <w:lang w:eastAsia="zh-CN"/>
        </w:rPr>
        <w:t xml:space="preserve"> </w:t>
      </w:r>
      <w:r>
        <w:rPr>
          <w:rFonts w:ascii="黑体" w:hAnsi="黑体" w:eastAsia="黑体" w:cs="黑体"/>
          <w:b/>
          <w:sz w:val="32"/>
          <w:u w:color="auto"/>
        </w:rPr>
        <w:t>环江毛南族自治县第五初级中学</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一、主要职能</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（一）贯彻执行党和国家的教育方针、政策和法律法规；拟订初中义务教育改革与发展规划并组织实施。</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（二）编制本单位教育事业发展规划并检查实施情况，向自治县人民政府和上级教育部门作出报告。</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（三）督促检查全单位贯彻执行教育方针、政策、法令、法规和上级的各项规定；评估指导本校教育教学工作。</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（四）负责推进初中义务教育均衡发展和促进教育公平。</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（五）负责全校人才队伍和教师队伍建设，包括校长岗位培训、后备干部队伍建设、教师学历教育、继续教育等。</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（六）负责组织全校做好学籍管理工作。</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（七）按照中央关于全面推进素质教育要求，负责教育教学管理、教育教学改革及教育教学科学研究工作，检查指导全校实施素质教育工作，并组织推广先进的教育教学经验。</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（八）检查指导学校教育教学设备的装备、管理和使用工作。</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（九）检查指导全校开展电化教育和信息化教学工作。</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（十）负责全校教师初级专业技术职务资格的评审，中、高级专业技术职务资格的申报工作。按照管理权限对教师进行考核、聘任、奖惩、晋升等工作。</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（十一）负责监督审计全校教育经费和非税的征收、管理与使用工作。</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（十二）负责指导全校学生资助管理工作。</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（十三）负责语言文字和指导推广普通话工作。</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（十四）完成上级部门交办的其他工作。</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auto"/>
          <w:sz w:val="32"/>
          <w:szCs w:val="32"/>
        </w:rPr>
        <w:t>我部门没有下属单位，按照部门决算编报要求，单独编制本部门决算。</w:t>
      </w: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 xml:space="preserve"> </w:t>
      </w:r>
      <w:r>
        <w:rPr>
          <w:rFonts w:ascii="黑体" w:hAnsi="黑体" w:eastAsia="黑体" w:cs="黑体"/>
          <w:sz w:val="32"/>
          <w:u w:color="auto"/>
        </w:rPr>
        <w:t>环江毛南族自治县第五初级中学</w:t>
      </w:r>
      <w:r>
        <w:rPr>
          <w:rFonts w:hint="eastAsia" w:ascii="黑体" w:hAnsi="黑体" w:eastAsia="黑体" w:cs="黑体"/>
          <w:sz w:val="32"/>
          <w:szCs w:val="32"/>
          <w:highlight w:val="none"/>
        </w:rPr>
        <w:t>2022年度部门决算报表</w:t>
      </w:r>
    </w:p>
    <w:tbl>
      <w:tblPr>
        <w:tblStyle w:val="6"/>
        <w:tblW w:w="5000" w:type="pct"/>
        <w:tblInd w:w="0" w:type="dxa"/>
        <w:tblLayout w:type="autofit"/>
        <w:tblCellMar>
          <w:top w:w="0" w:type="dxa"/>
          <w:left w:w="108" w:type="dxa"/>
          <w:bottom w:w="0" w:type="dxa"/>
          <w:right w:w="108" w:type="dxa"/>
        </w:tblCellMar>
      </w:tblPr>
      <w:tblGrid>
        <w:gridCol w:w="3576"/>
        <w:gridCol w:w="1940"/>
        <w:gridCol w:w="1780"/>
        <w:gridCol w:w="3516"/>
        <w:gridCol w:w="1746"/>
        <w:gridCol w:w="1616"/>
      </w:tblGrid>
      <w:tr>
        <w:tblPrEx>
          <w:tblCellMar>
            <w:top w:w="0" w:type="dxa"/>
            <w:left w:w="108" w:type="dxa"/>
            <w:bottom w:w="0" w:type="dxa"/>
            <w:right w:w="108" w:type="dxa"/>
          </w:tblCellMar>
        </w:tblPrEx>
        <w:trPr>
          <w:trHeight w:val="902" w:hRule="atLeast"/>
        </w:trPr>
        <w:tc>
          <w:tcPr>
            <w:tcW w:w="5000" w:type="pct"/>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91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5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0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5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8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83"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2570" w:type="pct"/>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 xml:space="preserve"> </w:t>
            </w:r>
            <w:r>
              <w:rPr>
                <w:rFonts w:hint="default" w:ascii="宋体" w:hAnsi="宋体" w:eastAsia="宋体" w:cs="宋体"/>
                <w:color w:val="000000"/>
                <w:sz w:val="20"/>
                <w:u w:color="auto"/>
              </w:rPr>
              <w:t>环江毛南族自治县第五初级中学</w:t>
            </w:r>
          </w:p>
        </w:tc>
        <w:tc>
          <w:tcPr>
            <w:tcW w:w="957"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8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83"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257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24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22.96</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22.96</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22.96</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22.96</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22.96</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22.96</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5000" w:type="pct"/>
        <w:tblInd w:w="0" w:type="dxa"/>
        <w:tblLayout w:type="autofit"/>
        <w:tblCellMar>
          <w:top w:w="0" w:type="dxa"/>
          <w:left w:w="108" w:type="dxa"/>
          <w:bottom w:w="0" w:type="dxa"/>
          <w:right w:w="108" w:type="dxa"/>
        </w:tblCellMar>
      </w:tblPr>
      <w:tblGrid>
        <w:gridCol w:w="1607"/>
        <w:gridCol w:w="1398"/>
        <w:gridCol w:w="238"/>
        <w:gridCol w:w="238"/>
        <w:gridCol w:w="536"/>
        <w:gridCol w:w="1542"/>
        <w:gridCol w:w="1474"/>
        <w:gridCol w:w="1392"/>
        <w:gridCol w:w="1488"/>
        <w:gridCol w:w="1500"/>
        <w:gridCol w:w="1460"/>
        <w:gridCol w:w="1301"/>
      </w:tblGrid>
      <w:tr>
        <w:tblPrEx>
          <w:tblCellMar>
            <w:top w:w="0" w:type="dxa"/>
            <w:left w:w="108" w:type="dxa"/>
            <w:bottom w:w="0" w:type="dxa"/>
            <w:right w:w="108" w:type="dxa"/>
          </w:tblCellMar>
        </w:tblPrEx>
        <w:trPr>
          <w:trHeight w:val="951" w:hRule="atLeast"/>
        </w:trPr>
        <w:tc>
          <w:tcPr>
            <w:tcW w:w="5000" w:type="pct"/>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1060"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8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4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9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71" w:type="pct"/>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2481" w:type="pct"/>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 xml:space="preserve"> </w:t>
            </w:r>
            <w:r>
              <w:rPr>
                <w:rFonts w:hint="default" w:ascii="宋体" w:hAnsi="宋体" w:eastAsia="宋体" w:cs="宋体"/>
                <w:color w:val="000000"/>
                <w:sz w:val="20"/>
                <w:u w:color="auto"/>
              </w:rPr>
              <w:t>环江毛南族自治县第五初级中学</w:t>
            </w:r>
          </w:p>
        </w:tc>
        <w:tc>
          <w:tcPr>
            <w:tcW w:w="491"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5"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71" w:type="pct"/>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1417"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54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5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49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52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5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51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4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5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849" w:type="pct"/>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54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2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1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56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49" w:type="pct"/>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4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2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1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56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49" w:type="pct"/>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4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2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1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417"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52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5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1417"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22.96</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22.96</w:t>
            </w:r>
          </w:p>
        </w:tc>
        <w:tc>
          <w:tcPr>
            <w:tcW w:w="4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5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5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849"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5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849"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5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849"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5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849"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5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849"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22.96</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22.96</w:t>
            </w:r>
          </w:p>
        </w:tc>
        <w:tc>
          <w:tcPr>
            <w:tcW w:w="4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5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849"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22.96</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22.96</w:t>
            </w:r>
          </w:p>
        </w:tc>
        <w:tc>
          <w:tcPr>
            <w:tcW w:w="4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5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2050203</w:t>
            </w:r>
          </w:p>
        </w:tc>
        <w:tc>
          <w:tcPr>
            <w:tcW w:w="849"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初中教育</w:t>
            </w: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22.51</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22.51</w:t>
            </w:r>
          </w:p>
        </w:tc>
        <w:tc>
          <w:tcPr>
            <w:tcW w:w="4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5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849"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0.45</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0.45</w:t>
            </w:r>
          </w:p>
        </w:tc>
        <w:tc>
          <w:tcPr>
            <w:tcW w:w="4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5000" w:type="pct"/>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5000" w:type="pct"/>
        <w:tblInd w:w="0" w:type="dxa"/>
        <w:tblLayout w:type="autofit"/>
        <w:tblCellMar>
          <w:top w:w="0" w:type="dxa"/>
          <w:left w:w="108" w:type="dxa"/>
          <w:bottom w:w="0" w:type="dxa"/>
          <w:right w:w="108" w:type="dxa"/>
        </w:tblCellMar>
      </w:tblPr>
      <w:tblGrid>
        <w:gridCol w:w="1156"/>
        <w:gridCol w:w="238"/>
        <w:gridCol w:w="244"/>
        <w:gridCol w:w="62"/>
        <w:gridCol w:w="2254"/>
        <w:gridCol w:w="1647"/>
        <w:gridCol w:w="1701"/>
        <w:gridCol w:w="1789"/>
        <w:gridCol w:w="1673"/>
        <w:gridCol w:w="1675"/>
        <w:gridCol w:w="1735"/>
      </w:tblGrid>
      <w:tr>
        <w:tblPrEx>
          <w:tblCellMar>
            <w:top w:w="0" w:type="dxa"/>
            <w:left w:w="108" w:type="dxa"/>
            <w:bottom w:w="0" w:type="dxa"/>
            <w:right w:w="108" w:type="dxa"/>
          </w:tblCellMar>
        </w:tblPrEx>
        <w:trPr>
          <w:trHeight w:val="623" w:hRule="atLeast"/>
        </w:trPr>
        <w:tc>
          <w:tcPr>
            <w:tcW w:w="5000" w:type="pct"/>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408"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8" w:type="pct"/>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9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81"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0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9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91"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10"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3207" w:type="pct"/>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 xml:space="preserve"> </w:t>
            </w:r>
            <w:r>
              <w:rPr>
                <w:rFonts w:hint="default" w:ascii="宋体" w:hAnsi="宋体" w:eastAsia="宋体" w:cs="宋体"/>
                <w:color w:val="000000"/>
                <w:sz w:val="20"/>
                <w:u w:color="auto"/>
              </w:rPr>
              <w:t>环江毛南族自治县第五初级中学</w:t>
            </w:r>
          </w:p>
        </w:tc>
        <w:tc>
          <w:tcPr>
            <w:tcW w:w="590" w:type="pct"/>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91" w:type="pct"/>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10" w:type="pct"/>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1395"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58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60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5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59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61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578"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816" w:type="pct"/>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58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1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578"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16"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8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1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578"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16"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8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1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1395"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5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6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59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5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6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1395"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5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22.96</w:t>
            </w:r>
          </w:p>
        </w:tc>
        <w:tc>
          <w:tcPr>
            <w:tcW w:w="6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9.08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13.89</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5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5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81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5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5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81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5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5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81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5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5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81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5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5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81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5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22.96</w:t>
            </w:r>
          </w:p>
        </w:tc>
        <w:tc>
          <w:tcPr>
            <w:tcW w:w="6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9.08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13.89</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5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81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5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22.96</w:t>
            </w:r>
          </w:p>
        </w:tc>
        <w:tc>
          <w:tcPr>
            <w:tcW w:w="6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9.08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13.89</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5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2050203</w:t>
            </w:r>
          </w:p>
        </w:tc>
        <w:tc>
          <w:tcPr>
            <w:tcW w:w="81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初中教育</w:t>
            </w:r>
          </w:p>
        </w:tc>
        <w:tc>
          <w:tcPr>
            <w:tcW w:w="5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22.51</w:t>
            </w:r>
          </w:p>
        </w:tc>
        <w:tc>
          <w:tcPr>
            <w:tcW w:w="6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9.08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13.44</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5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81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5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0.45</w:t>
            </w:r>
          </w:p>
        </w:tc>
        <w:tc>
          <w:tcPr>
            <w:tcW w:w="6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0.45</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5000" w:type="pct"/>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5000" w:type="pct"/>
        <w:tblInd w:w="0" w:type="dxa"/>
        <w:tblLayout w:type="autofit"/>
        <w:tblCellMar>
          <w:top w:w="0" w:type="dxa"/>
          <w:left w:w="108" w:type="dxa"/>
          <w:bottom w:w="0" w:type="dxa"/>
          <w:right w:w="108" w:type="dxa"/>
        </w:tblCellMar>
      </w:tblPr>
      <w:tblGrid>
        <w:gridCol w:w="2750"/>
        <w:gridCol w:w="748"/>
        <w:gridCol w:w="1225"/>
        <w:gridCol w:w="2931"/>
        <w:gridCol w:w="809"/>
        <w:gridCol w:w="1026"/>
        <w:gridCol w:w="1644"/>
        <w:gridCol w:w="1673"/>
        <w:gridCol w:w="1368"/>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3"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 xml:space="preserve"> </w:t>
            </w:r>
            <w:r>
              <w:rPr>
                <w:rFonts w:hint="default" w:ascii="宋体" w:hAnsi="宋体" w:eastAsia="宋体" w:cs="宋体"/>
                <w:color w:val="000000"/>
                <w:sz w:val="20"/>
                <w:u w:color="auto"/>
              </w:rPr>
              <w:t>环江毛南族自治县第五初级中学</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3"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22.96</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22.96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22.96</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22.96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22.96</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22.96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6"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3"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 xml:space="preserve"> </w:t>
            </w:r>
            <w:r>
              <w:rPr>
                <w:rFonts w:hint="default" w:ascii="宋体" w:hAnsi="宋体" w:eastAsia="宋体" w:cs="宋体"/>
                <w:color w:val="000000"/>
                <w:sz w:val="20"/>
                <w:u w:color="auto"/>
              </w:rPr>
              <w:t>环江毛南族自治县第五初级中学</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22.96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9.08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13.89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22.96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9.08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13.89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普通教育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22.96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9.08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13.89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2050203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初中教育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22.51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9.08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13.44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其他普通教育支出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0.45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0.45</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5000" w:type="pct"/>
        <w:tblInd w:w="0" w:type="dxa"/>
        <w:tblLayout w:type="fixed"/>
        <w:tblCellMar>
          <w:top w:w="0" w:type="dxa"/>
          <w:left w:w="108" w:type="dxa"/>
          <w:bottom w:w="0" w:type="dxa"/>
          <w:right w:w="108" w:type="dxa"/>
        </w:tblCellMar>
      </w:tblPr>
      <w:tblGrid>
        <w:gridCol w:w="1315"/>
        <w:gridCol w:w="2971"/>
        <w:gridCol w:w="731"/>
        <w:gridCol w:w="1168"/>
        <w:gridCol w:w="1874"/>
        <w:gridCol w:w="763"/>
        <w:gridCol w:w="890"/>
        <w:gridCol w:w="3490"/>
        <w:gridCol w:w="972"/>
      </w:tblGrid>
      <w:tr>
        <w:tblPrEx>
          <w:tblCellMar>
            <w:top w:w="0" w:type="dxa"/>
            <w:left w:w="108" w:type="dxa"/>
            <w:bottom w:w="0" w:type="dxa"/>
            <w:right w:w="108" w:type="dxa"/>
          </w:tblCellMar>
        </w:tblPrEx>
        <w:trPr>
          <w:trHeight w:val="614"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46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5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1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6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3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2842" w:type="pct"/>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 xml:space="preserve"> </w:t>
            </w:r>
            <w:r>
              <w:rPr>
                <w:rFonts w:hint="default" w:ascii="宋体" w:hAnsi="宋体" w:eastAsia="宋体" w:cs="宋体"/>
                <w:color w:val="000000"/>
                <w:sz w:val="20"/>
                <w:u w:color="auto"/>
              </w:rPr>
              <w:t>环江毛南族自治县第五初级中学</w:t>
            </w:r>
          </w:p>
        </w:tc>
        <w:tc>
          <w:tcPr>
            <w:tcW w:w="26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74" w:type="pct"/>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17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323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46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04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5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41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66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31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12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4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46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5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1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6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6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4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10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3"/>
            <w:bookmarkStart w:id="1" w:name="OLE_LINK4"/>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6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2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1.62</w:t>
            </w:r>
          </w:p>
        </w:tc>
        <w:tc>
          <w:tcPr>
            <w:tcW w:w="3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12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10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6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2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0.54</w:t>
            </w:r>
          </w:p>
        </w:tc>
        <w:tc>
          <w:tcPr>
            <w:tcW w:w="3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12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10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6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2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3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12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10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6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2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3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12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10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6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2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3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12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10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6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2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0.98</w:t>
            </w:r>
          </w:p>
        </w:tc>
        <w:tc>
          <w:tcPr>
            <w:tcW w:w="3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12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10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6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2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3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12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10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6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2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3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12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10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6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2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3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12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10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6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2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3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12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10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6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2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0.10</w:t>
            </w:r>
          </w:p>
        </w:tc>
        <w:tc>
          <w:tcPr>
            <w:tcW w:w="3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12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10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6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2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3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12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10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6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2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3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12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10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6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2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3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12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10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7.46</w:t>
            </w:r>
          </w:p>
        </w:tc>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6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2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3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12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10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6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2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3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12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10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6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2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3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12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10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6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2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3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12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10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6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2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3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12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10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6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2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3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12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10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6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2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3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12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10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6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2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3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12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10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7.46</w:t>
            </w:r>
          </w:p>
        </w:tc>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6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2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3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12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10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6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2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3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12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10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6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2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3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12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10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6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2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3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12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10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6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2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3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2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0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6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2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3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2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10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7.46</w:t>
            </w:r>
          </w:p>
        </w:tc>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6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3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2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1.62</w:t>
            </w:r>
          </w:p>
        </w:tc>
      </w:tr>
      <w:tr>
        <w:tblPrEx>
          <w:tblCellMar>
            <w:top w:w="0" w:type="dxa"/>
            <w:left w:w="108" w:type="dxa"/>
            <w:bottom w:w="0" w:type="dxa"/>
            <w:right w:w="108" w:type="dxa"/>
          </w:tblCellMar>
        </w:tblPrEx>
        <w:trPr>
          <w:trHeight w:val="319" w:hRule="atLeast"/>
        </w:trPr>
        <w:tc>
          <w:tcPr>
            <w:tcW w:w="5000" w:type="pct"/>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 xml:space="preserve"> </w:t>
            </w:r>
            <w:r>
              <w:rPr>
                <w:rFonts w:hint="default" w:ascii="宋体" w:hAnsi="宋体" w:eastAsia="宋体" w:cs="宋体"/>
                <w:color w:val="000000"/>
                <w:sz w:val="20"/>
                <w:u w:color="auto"/>
              </w:rPr>
              <w:t>环江毛南族自治县第五初级中学</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r>
              <w:rPr>
                <w:rFonts w:hint="eastAsia" w:ascii="Times New Roman" w:hAnsi="Times New Roman" w:eastAsia="宋体" w:cs="Times New Roman"/>
                <w:color w:val="auto"/>
                <w:kern w:val="2"/>
                <w:sz w:val="21"/>
                <w:szCs w:val="21"/>
                <w:lang w:val="en-US" w:eastAsia="zh-CN" w:bidi="ar"/>
              </w:rPr>
              <w:t xml:space="preserve"> </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 xml:space="preserve"> </w:t>
            </w:r>
            <w:r>
              <w:rPr>
                <w:rFonts w:hint="default" w:ascii="宋体" w:hAnsi="宋体" w:eastAsia="宋体" w:cs="宋体"/>
                <w:color w:val="000000"/>
                <w:sz w:val="20"/>
                <w:u w:color="auto"/>
              </w:rPr>
              <w:t>环江毛南族自治县第五初级中学</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 xml:space="preserve"> </w:t>
            </w:r>
            <w:r>
              <w:rPr>
                <w:rFonts w:hint="default" w:ascii="宋体" w:hAnsi="宋体" w:eastAsia="宋体" w:cs="宋体"/>
                <w:color w:val="000000"/>
                <w:sz w:val="20"/>
                <w:u w:color="auto"/>
              </w:rPr>
              <w:t>环江毛南族自治县第五初级中学</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年度没有财政拨款“三公”经费收入，也没有财政拨款“三公”经费安排的支出，故本表无数据。</w:t>
            </w:r>
            <w:r>
              <w:rPr>
                <w:rFonts w:hint="eastAsia" w:ascii="宋体" w:hAnsi="宋体" w:eastAsia="宋体" w:cs="宋体"/>
                <w:color w:val="FF0000"/>
                <w:kern w:val="2"/>
                <w:sz w:val="21"/>
                <w:szCs w:val="21"/>
                <w:lang w:val="en-US" w:eastAsia="zh-CN" w:bidi="ar"/>
              </w:rPr>
              <w:t xml:space="preserve">  </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 xml:space="preserve"> </w:t>
      </w:r>
      <w:r>
        <w:rPr>
          <w:rFonts w:ascii="黑体" w:hAnsi="黑体" w:eastAsia="黑体" w:cs="黑体"/>
          <w:sz w:val="32"/>
          <w:u w:color="auto"/>
        </w:rPr>
        <w:t>环江毛南族自治县第五初级中学</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ascii="仿宋" w:hAnsi="仿宋" w:eastAsia="仿宋" w:cs="仿宋"/>
          <w:sz w:val="32"/>
          <w:u w:color="auto"/>
        </w:rPr>
        <w:t>22.96</w:t>
      </w:r>
      <w:r>
        <w:rPr>
          <w:rFonts w:hint="eastAsia" w:ascii="仿宋" w:hAnsi="仿宋" w:eastAsia="仿宋" w:cs="仿宋"/>
          <w:sz w:val="32"/>
          <w:szCs w:val="32"/>
          <w:highlight w:val="none"/>
        </w:rPr>
        <w:t>万元，较2021年度决算数</w:t>
      </w:r>
      <w:r>
        <w:rPr>
          <w:rFonts w:ascii="仿宋" w:hAnsi="仿宋" w:eastAsia="仿宋" w:cs="仿宋"/>
          <w:sz w:val="32"/>
          <w:u w:color="auto"/>
        </w:rPr>
        <w:t>增加22.96</w:t>
      </w:r>
      <w:r>
        <w:rPr>
          <w:rFonts w:hint="eastAsia" w:ascii="仿宋" w:hAnsi="仿宋" w:eastAsia="仿宋" w:cs="仿宋"/>
          <w:sz w:val="32"/>
          <w:szCs w:val="32"/>
          <w:highlight w:val="none"/>
        </w:rPr>
        <w:t>万元，</w:t>
      </w:r>
      <w:r>
        <w:rPr>
          <w:rFonts w:ascii="仿宋" w:hAnsi="仿宋" w:eastAsia="仿宋" w:cs="仿宋"/>
          <w:sz w:val="32"/>
          <w:u w:color="auto"/>
        </w:rPr>
        <w:t>增长100%</w:t>
      </w:r>
      <w:r>
        <w:rPr>
          <w:rFonts w:hint="eastAsia" w:ascii="仿宋" w:hAnsi="仿宋" w:eastAsia="仿宋" w:cs="仿宋"/>
          <w:sz w:val="32"/>
          <w:szCs w:val="32"/>
          <w:highlight w:val="none"/>
        </w:rPr>
        <w:t>，其中本年收入</w:t>
      </w:r>
      <w:r>
        <w:rPr>
          <w:rFonts w:ascii="仿宋" w:hAnsi="仿宋" w:eastAsia="仿宋" w:cs="仿宋"/>
          <w:sz w:val="32"/>
          <w:u w:color="auto"/>
        </w:rPr>
        <w:t>22.96</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color w:val="auto"/>
          <w:sz w:val="32"/>
          <w:szCs w:val="32"/>
          <w:highlight w:val="none"/>
          <w:lang w:val="en-US"/>
        </w:rPr>
      </w:pPr>
      <w:r>
        <w:rPr>
          <w:rFonts w:hint="eastAsia" w:ascii="仿宋" w:hAnsi="仿宋" w:eastAsia="仿宋" w:cs="仿宋"/>
          <w:kern w:val="2"/>
          <w:sz w:val="32"/>
          <w:szCs w:val="32"/>
          <w:highlight w:val="none"/>
          <w:lang w:val="en-US" w:eastAsia="zh-CN" w:bidi="ar"/>
        </w:rPr>
        <w:t>1.一般公共预算财政拨款收入</w:t>
      </w:r>
      <w:r>
        <w:rPr>
          <w:rFonts w:ascii="仿宋" w:hAnsi="仿宋" w:eastAsia="仿宋" w:cs="仿宋"/>
          <w:sz w:val="32"/>
          <w:u w:color="auto"/>
        </w:rPr>
        <w:t>22.96</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增加22.96</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增长100%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本部门是2022年9月新成立单位，2021年无部门决算。</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主要原因：本单位没有</w:t>
      </w:r>
      <w:r>
        <w:rPr>
          <w:rFonts w:hint="eastAsia" w:ascii="仿宋" w:hAnsi="仿宋" w:eastAsia="仿宋" w:cs="仿宋"/>
          <w:kern w:val="2"/>
          <w:sz w:val="32"/>
          <w:szCs w:val="32"/>
          <w:highlight w:val="none"/>
          <w:lang w:val="en-US" w:eastAsia="zh-CN" w:bidi="ar"/>
        </w:rPr>
        <w:t>政府性基金预算财政拨款收入。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w:t>
      </w:r>
      <w:r>
        <w:rPr>
          <w:rFonts w:hint="eastAsia" w:ascii="仿宋" w:hAnsi="仿宋" w:eastAsia="仿宋" w:cs="仿宋"/>
          <w:kern w:val="2"/>
          <w:sz w:val="32"/>
          <w:szCs w:val="32"/>
          <w:highlight w:val="none"/>
          <w:lang w:val="en-US" w:eastAsia="zh-CN" w:bidi="ar"/>
        </w:rPr>
        <w:t>国有资本经营预算财政拨款收入</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6.经营收入0.00万,为事业单位在业务活动之外开展非独立核算经营活动取得的收入。较2021年度决算数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部分项目已在本年执行完毕，不需要结转至下年继续执行。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86735"/>
            <wp:effectExtent l="4445" t="4445" r="20955" b="13970"/>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ascii="仿宋" w:hAnsi="仿宋" w:eastAsia="仿宋" w:cs="仿宋"/>
          <w:sz w:val="32"/>
          <w:u w:color="auto"/>
        </w:rPr>
        <w:t>22.96</w:t>
      </w:r>
      <w:r>
        <w:rPr>
          <w:rFonts w:hint="eastAsia" w:ascii="仿宋" w:hAnsi="仿宋" w:eastAsia="仿宋" w:cs="仿宋"/>
          <w:sz w:val="32"/>
          <w:szCs w:val="32"/>
          <w:highlight w:val="none"/>
        </w:rPr>
        <w:t>万元，其中本年支出</w:t>
      </w:r>
      <w:r>
        <w:rPr>
          <w:rFonts w:ascii="仿宋" w:hAnsi="仿宋" w:eastAsia="仿宋" w:cs="仿宋"/>
          <w:sz w:val="32"/>
          <w:u w:color="auto"/>
        </w:rPr>
        <w:t>22.96</w:t>
      </w:r>
      <w:r>
        <w:rPr>
          <w:rFonts w:hint="eastAsia" w:ascii="仿宋" w:hAnsi="仿宋" w:eastAsia="仿宋" w:cs="仿宋"/>
          <w:sz w:val="32"/>
          <w:szCs w:val="32"/>
          <w:highlight w:val="none"/>
        </w:rPr>
        <w:t>万元，较2021年度决算数</w:t>
      </w:r>
      <w:r>
        <w:rPr>
          <w:rFonts w:ascii="仿宋" w:hAnsi="仿宋" w:eastAsia="仿宋" w:cs="仿宋"/>
          <w:sz w:val="32"/>
          <w:u w:color="auto"/>
        </w:rPr>
        <w:t>增加22.96</w:t>
      </w:r>
      <w:r>
        <w:rPr>
          <w:rFonts w:hint="eastAsia" w:ascii="仿宋" w:hAnsi="仿宋" w:eastAsia="仿宋" w:cs="仿宋"/>
          <w:sz w:val="32"/>
          <w:szCs w:val="32"/>
          <w:highlight w:val="none"/>
        </w:rPr>
        <w:t>万元，</w:t>
      </w:r>
      <w:r>
        <w:rPr>
          <w:rFonts w:ascii="仿宋" w:hAnsi="仿宋" w:eastAsia="仿宋" w:cs="仿宋"/>
          <w:sz w:val="32"/>
          <w:u w:color="auto"/>
        </w:rPr>
        <w:t>增长100%</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bidi="ar"/>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22.96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w:t>
      </w:r>
      <w:r>
        <w:rPr>
          <w:rFonts w:hint="eastAsia" w:ascii="仿宋" w:hAnsi="仿宋" w:eastAsia="仿宋" w:cs="仿宋"/>
          <w:sz w:val="32"/>
          <w:szCs w:val="32"/>
          <w:highlight w:val="none"/>
          <w:lang w:bidi="ar"/>
        </w:rPr>
        <w:t>要用于</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bidi="ar"/>
        </w:rPr>
        <w:t>主要用于</w:t>
      </w:r>
      <w:r>
        <w:rPr>
          <w:rFonts w:hint="eastAsia" w:ascii="仿宋" w:hAnsi="仿宋" w:eastAsia="仿宋" w:cs="仿宋"/>
          <w:sz w:val="32"/>
          <w:szCs w:val="32"/>
          <w:highlight w:val="none"/>
          <w:lang w:val="en-US" w:eastAsia="zh-CN" w:bidi="ar"/>
        </w:rPr>
        <w:t>学生助学金</w:t>
      </w:r>
      <w:r>
        <w:rPr>
          <w:rFonts w:hint="eastAsia" w:ascii="仿宋" w:hAnsi="仿宋" w:eastAsia="仿宋" w:cs="仿宋"/>
          <w:sz w:val="32"/>
          <w:szCs w:val="32"/>
          <w:highlight w:val="none"/>
          <w:lang w:bidi="ar"/>
        </w:rPr>
        <w:t>，商品服务支出</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val="en-US" w:eastAsia="zh-CN" w:bidi="ar"/>
        </w:rPr>
        <w:t>其中学生营养餐7.45万，家庭经济困难学生生活补助13.44万，</w:t>
      </w:r>
      <w:r>
        <w:rPr>
          <w:rFonts w:hint="eastAsia" w:ascii="仿宋" w:hAnsi="仿宋" w:eastAsia="仿宋" w:cs="仿宋"/>
          <w:sz w:val="32"/>
          <w:szCs w:val="32"/>
          <w:highlight w:val="none"/>
          <w:lang w:bidi="ar"/>
        </w:rPr>
        <w:t>商品服务支出</w:t>
      </w:r>
      <w:r>
        <w:rPr>
          <w:rFonts w:hint="eastAsia" w:ascii="仿宋" w:hAnsi="仿宋" w:eastAsia="仿宋" w:cs="仿宋"/>
          <w:sz w:val="32"/>
          <w:szCs w:val="32"/>
          <w:highlight w:val="none"/>
          <w:lang w:val="en-US" w:eastAsia="zh-CN" w:bidi="ar"/>
        </w:rPr>
        <w:t>2.07万</w:t>
      </w:r>
      <w:r>
        <w:rPr>
          <w:rFonts w:hint="eastAsia" w:ascii="仿宋" w:hAnsi="仿宋" w:eastAsia="仿宋" w:cs="仿宋"/>
          <w:sz w:val="32"/>
          <w:szCs w:val="32"/>
          <w:highlight w:val="none"/>
          <w:lang w:bidi="ar"/>
        </w:rPr>
        <w:t>。较2021年度决算数增加22.96万元，增长100%，</w:t>
      </w:r>
      <w:r>
        <w:rPr>
          <w:rFonts w:hint="eastAsia" w:ascii="仿宋" w:hAnsi="仿宋" w:eastAsia="仿宋" w:cs="仿宋"/>
          <w:sz w:val="32"/>
          <w:szCs w:val="32"/>
          <w:highlight w:val="none"/>
          <w:lang w:val="en-US" w:eastAsia="zh-CN" w:bidi="ar"/>
        </w:rPr>
        <w:t>主要原因是：本部门是2022年9月新成立单位，2021年无部门决算。</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cs="仿宋"/>
          <w:sz w:val="32"/>
          <w:szCs w:val="32"/>
          <w:highlight w:val="none"/>
          <w:lang w:val="en-US" w:eastAsia="zh-CN" w:bidi="ar"/>
        </w:rPr>
        <w:t>本部门2022年无结余。</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val="en-US" w:eastAsia="zh-CN" w:bidi="ar"/>
        </w:rPr>
        <w:t>本部门是2022年9月新成立单位，2022年无结转和结余。</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 xml:space="preserve"> </w:t>
      </w:r>
      <w:r>
        <w:rPr>
          <w:rFonts w:hint="eastAsia" w:ascii="仿宋" w:hAnsi="仿宋" w:eastAsia="仿宋" w:cs="仿宋"/>
          <w:sz w:val="32"/>
          <w:szCs w:val="32"/>
          <w:highlight w:val="none"/>
        </w:rPr>
        <w:t>环江毛南族自治县第五初级中学2022年度一般公共预算财政拨款支出</w:t>
      </w:r>
      <w:r>
        <w:rPr>
          <w:rFonts w:ascii="仿宋" w:hAnsi="仿宋" w:eastAsia="仿宋" w:cs="仿宋"/>
          <w:sz w:val="32"/>
          <w:u w:color="auto"/>
        </w:rPr>
        <w:t>22.96</w:t>
      </w:r>
      <w:r>
        <w:rPr>
          <w:rFonts w:hint="eastAsia" w:ascii="仿宋" w:hAnsi="仿宋" w:eastAsia="仿宋" w:cs="仿宋"/>
          <w:sz w:val="32"/>
          <w:szCs w:val="32"/>
          <w:highlight w:val="none"/>
        </w:rPr>
        <w:t>万元，较2021年度决算数</w:t>
      </w:r>
      <w:r>
        <w:rPr>
          <w:rFonts w:ascii="仿宋" w:hAnsi="仿宋" w:eastAsia="仿宋" w:cs="仿宋"/>
          <w:sz w:val="32"/>
          <w:u w:color="auto"/>
        </w:rPr>
        <w:t>增加22.96</w:t>
      </w:r>
      <w:r>
        <w:rPr>
          <w:rFonts w:hint="eastAsia" w:ascii="仿宋" w:hAnsi="仿宋" w:eastAsia="仿宋" w:cs="仿宋"/>
          <w:sz w:val="32"/>
          <w:szCs w:val="32"/>
          <w:highlight w:val="none"/>
        </w:rPr>
        <w:t>万元，</w:t>
      </w:r>
      <w:r>
        <w:rPr>
          <w:rFonts w:ascii="仿宋" w:hAnsi="仿宋" w:eastAsia="仿宋" w:cs="仿宋"/>
          <w:sz w:val="32"/>
          <w:u w:color="auto"/>
        </w:rPr>
        <w:t>增长100%</w:t>
      </w:r>
      <w:r>
        <w:rPr>
          <w:rFonts w:hint="eastAsia" w:ascii="仿宋" w:hAnsi="仿宋" w:eastAsia="仿宋" w:cs="仿宋"/>
          <w:sz w:val="32"/>
          <w:szCs w:val="32"/>
          <w:highlight w:val="none"/>
        </w:rPr>
        <w:t>。其中：基本支出</w:t>
      </w:r>
      <w:r>
        <w:rPr>
          <w:rFonts w:ascii="仿宋" w:hAnsi="仿宋" w:eastAsia="仿宋" w:cs="仿宋"/>
          <w:sz w:val="32"/>
          <w:u w:color="auto"/>
        </w:rPr>
        <w:t>9.08</w:t>
      </w:r>
      <w:r>
        <w:rPr>
          <w:rFonts w:hint="eastAsia" w:ascii="仿宋" w:hAnsi="仿宋" w:eastAsia="仿宋" w:cs="仿宋"/>
          <w:sz w:val="32"/>
          <w:szCs w:val="32"/>
          <w:highlight w:val="none"/>
        </w:rPr>
        <w:t>万元，项目支出</w:t>
      </w:r>
      <w:r>
        <w:rPr>
          <w:rFonts w:ascii="仿宋" w:hAnsi="仿宋" w:eastAsia="仿宋" w:cs="仿宋"/>
          <w:sz w:val="32"/>
          <w:u w:color="auto"/>
        </w:rPr>
        <w:t>13.89</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 xml:space="preserve"> </w:t>
      </w:r>
      <w:r>
        <w:rPr>
          <w:rFonts w:hint="eastAsia" w:ascii="仿宋" w:hAnsi="仿宋" w:eastAsia="仿宋" w:cs="仿宋"/>
          <w:sz w:val="32"/>
          <w:szCs w:val="32"/>
          <w:highlight w:val="none"/>
        </w:rPr>
        <w:t>环江毛南族自治县第五初级中学2022 年度一般公共预算财政拨款支出</w:t>
      </w:r>
      <w:r>
        <w:rPr>
          <w:rFonts w:hint="eastAsia" w:ascii="仿宋" w:hAnsi="仿宋" w:eastAsia="仿宋" w:cs="仿宋"/>
          <w:sz w:val="32"/>
          <w:szCs w:val="32"/>
          <w:highlight w:val="none"/>
          <w:lang w:val="en-US" w:eastAsia="zh-CN"/>
        </w:rPr>
        <w:t>无</w:t>
      </w:r>
      <w:r>
        <w:rPr>
          <w:rFonts w:hint="eastAsia" w:ascii="仿宋" w:hAnsi="仿宋" w:eastAsia="仿宋" w:cs="仿宋"/>
          <w:sz w:val="32"/>
          <w:szCs w:val="32"/>
          <w:highlight w:val="none"/>
        </w:rPr>
        <w:t>年初预算，支出决算为</w:t>
      </w:r>
      <w:r>
        <w:rPr>
          <w:rFonts w:ascii="仿宋" w:hAnsi="仿宋" w:eastAsia="仿宋" w:cs="仿宋"/>
          <w:sz w:val="32"/>
          <w:u w:color="auto"/>
        </w:rPr>
        <w:t>22.96</w:t>
      </w:r>
      <w:r>
        <w:rPr>
          <w:rFonts w:hint="eastAsia" w:ascii="仿宋" w:hAnsi="仿宋" w:eastAsia="仿宋" w:cs="仿宋"/>
          <w:sz w:val="32"/>
          <w:szCs w:val="32"/>
          <w:highlight w:val="none"/>
        </w:rPr>
        <w:t>万元，完成年初预算的</w:t>
      </w:r>
      <w:r>
        <w:rPr>
          <w:rFonts w:ascii="仿宋" w:hAnsi="仿宋" w:eastAsia="仿宋" w:cs="仿宋"/>
          <w:sz w:val="32"/>
          <w:u w:color="auto"/>
        </w:rPr>
        <w:t>100.00%</w:t>
      </w:r>
      <w:r>
        <w:rPr>
          <w:rFonts w:hint="eastAsia" w:ascii="仿宋" w:hAnsi="仿宋" w:eastAsia="仿宋" w:cs="仿宋"/>
          <w:sz w:val="32"/>
          <w:szCs w:val="32"/>
          <w:highlight w:val="none"/>
        </w:rPr>
        <w:t>。</w:t>
      </w:r>
    </w:p>
    <w:p>
      <w:pPr>
        <w:jc w:val="left"/>
        <w:rPr>
          <w:rFonts w:hint="eastAsia" w:eastAsia="仿宋"/>
          <w:color w:val="FF0000"/>
          <w:highlight w:val="none"/>
          <w:lang w:val="en-US" w:eastAsia="zh-CN"/>
        </w:rPr>
      </w:pPr>
      <w:bookmarkStart w:id="3" w:name="OLE_LINK2"/>
      <w:bookmarkEnd w:id="3"/>
      <w:r>
        <w:rPr>
          <w:rFonts w:hint="eastAsia" w:ascii="仿宋" w:hAnsi="仿宋" w:eastAsia="仿宋"/>
          <w:sz w:val="32"/>
          <w:szCs w:val="32"/>
          <w:highlight w:val="none"/>
        </w:rPr>
        <w:t xml:space="preserve"> </w:t>
      </w:r>
      <w:r>
        <w:rPr>
          <w:rFonts w:hint="eastAsia" w:ascii="仿宋" w:hAnsi="仿宋" w:eastAsia="仿宋"/>
          <w:sz w:val="32"/>
          <w:szCs w:val="32"/>
          <w:highlight w:val="none"/>
          <w:lang w:val="en-US" w:eastAsia="zh-CN"/>
        </w:rPr>
        <w:t xml:space="preserve">   （一）</w:t>
      </w:r>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ascii="仿宋" w:hAnsi="仿宋" w:eastAsia="仿宋"/>
          <w:sz w:val="32"/>
          <w:szCs w:val="32"/>
          <w:highlight w:val="none"/>
        </w:rPr>
        <w:t>22.96</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sz w:val="32"/>
          <w:szCs w:val="32"/>
          <w:highlight w:val="none"/>
          <w:lang w:val="en-US" w:eastAsia="zh-CN" w:bidi="ar"/>
        </w:rPr>
        <w:t>本部门是2022年9月新成立单位，2022年无部门年初预算。</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2050203</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初中教育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22.51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学生助学金、商品和服务支出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default" w:ascii="仿宋" w:hAnsi="仿宋" w:eastAsia="仿宋" w:cs="仿宋"/>
                <w:color w:val="auto"/>
                <w:sz w:val="21"/>
                <w:szCs w:val="21"/>
                <w:highlight w:val="none"/>
                <w:lang w:val="en-US" w:eastAsia="zh-CN"/>
              </w:rPr>
              <w:t>2022年无部门年初预算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0.45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商品和服务支出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default" w:ascii="仿宋" w:hAnsi="仿宋" w:eastAsia="仿宋" w:cs="仿宋"/>
                <w:color w:val="auto"/>
                <w:sz w:val="21"/>
                <w:szCs w:val="21"/>
                <w:highlight w:val="none"/>
                <w:lang w:val="en-US" w:eastAsia="zh-CN"/>
              </w:rPr>
              <w:t>2022年无部门年初预算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22.96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 xml:space="preserve"> </w:t>
      </w:r>
      <w:r>
        <w:rPr>
          <w:rFonts w:hint="eastAsia" w:ascii="仿宋" w:hAnsi="仿宋" w:eastAsia="仿宋" w:cs="仿宋"/>
          <w:sz w:val="32"/>
          <w:szCs w:val="32"/>
          <w:highlight w:val="none"/>
        </w:rPr>
        <w:t>环江毛南族自治县第五初级中学2022年度一般公共预算财政拨款基本支出</w:t>
      </w:r>
      <w:r>
        <w:rPr>
          <w:rFonts w:ascii="仿宋" w:hAnsi="仿宋" w:eastAsia="仿宋" w:cs="仿宋"/>
          <w:sz w:val="32"/>
          <w:u w:color="auto"/>
        </w:rPr>
        <w:t>9.08</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7.46</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1.62</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工资福利支出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2022年我部门无在编教师，所有教师编制在原单位，工资也在原单位发放。</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130425"/>
            <wp:effectExtent l="4445" t="4445" r="16510" b="17780"/>
            <wp:docPr id="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ascii="仿宋" w:hAnsi="仿宋" w:eastAsia="仿宋" w:cs="仿宋"/>
          <w:sz w:val="32"/>
          <w:u w:color="auto"/>
        </w:rPr>
        <w:t>1.62万元，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val="en-US" w:eastAsia="zh-CN" w:bidi="ar"/>
        </w:rPr>
        <w:t>本部门是2022年9月新成立单位，2022年无部门年初预算。</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30201办公费0.54万元，30205水费0.98万元，30211差旅费0.10万元。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720975"/>
            <wp:effectExtent l="4445" t="4445" r="16510" b="17780"/>
            <wp:docPr id="1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ascii="仿宋" w:hAnsi="仿宋" w:eastAsia="仿宋" w:cs="仿宋"/>
          <w:sz w:val="32"/>
          <w:u w:color="auto"/>
        </w:rPr>
        <w:t>7.46万元，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val="en-US" w:eastAsia="zh-CN" w:bidi="ar"/>
        </w:rPr>
        <w:t>本部门是2022年9月新成立单位，2022年无部门年初预算。</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30308助学金7.46万元。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368550"/>
            <wp:effectExtent l="4445" t="4445" r="16510" b="8255"/>
            <wp:docPr id="1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val="en-US" w:eastAsia="zh-CN" w:bidi="ar"/>
        </w:rPr>
        <w:t>本部门是2022年9月新成立单位，2022年无部门年初预算。</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386965"/>
            <wp:effectExtent l="4445" t="4445" r="16510" b="8890"/>
            <wp:docPr id="1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val="en-US" w:eastAsia="zh-CN" w:bidi="ar"/>
        </w:rPr>
        <w:t>本部门是2022年9月新成立单位，2022年无部门年初预算。</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825115"/>
            <wp:effectExtent l="4445" t="4445" r="16510" b="8890"/>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val="en-US" w:eastAsia="zh-CN" w:bidi="ar"/>
        </w:rPr>
        <w:t>本部门是2022年9月新成立单位，2022年无部门年初预算。</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hint="eastAsia" w:ascii="仿宋" w:hAnsi="仿宋" w:eastAsia="仿宋" w:cs="仿宋"/>
          <w:sz w:val="32"/>
          <w:szCs w:val="32"/>
          <w:highlight w:val="none"/>
        </w:rPr>
      </w:pPr>
      <w:r>
        <w:rPr>
          <w:rFonts w:hint="eastAsia" w:ascii="仿宋_GB2312" w:hAnsi="Times New Roman" w:eastAsia="仿宋_GB2312" w:cs="Times New Roman"/>
          <w:color w:val="auto"/>
          <w:sz w:val="32"/>
          <w:szCs w:val="32"/>
          <w:lang w:eastAsia="zh-CN"/>
        </w:rPr>
        <w:t xml:space="preserve"> </w:t>
      </w:r>
      <w:r>
        <w:rPr>
          <w:rFonts w:hint="eastAsia" w:ascii="仿宋_GB2312" w:hAnsi="Times New Roman" w:eastAsia="仿宋_GB2312" w:cs="Times New Roman"/>
          <w:color w:val="auto"/>
          <w:sz w:val="32"/>
          <w:szCs w:val="32"/>
        </w:rPr>
        <w:t>环江毛南族自治县第五初级中学</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jc w:val="left"/>
        <w:rPr>
          <w:rFonts w:hint="eastAsia"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hint="eastAsia" w:ascii="仿宋" w:hAnsi="仿宋" w:eastAsia="仿宋" w:cs="仿宋"/>
          <w:sz w:val="32"/>
          <w:szCs w:val="32"/>
          <w:highlight w:val="none"/>
        </w:rPr>
      </w:pPr>
      <w:bookmarkStart w:id="4" w:name="PO_part3A5B1C1DiffReason1"/>
      <w:r>
        <w:rPr>
          <w:rFonts w:hint="eastAsia" w:ascii="仿宋_GB2312" w:hAnsi="Times New Roman" w:eastAsia="仿宋_GB2312" w:cs="Times New Roman"/>
          <w:color w:val="FF0000"/>
          <w:sz w:val="32"/>
          <w:szCs w:val="32"/>
          <w:lang w:eastAsia="zh-CN"/>
        </w:rPr>
        <w:t xml:space="preserve"> </w:t>
      </w:r>
      <w:r>
        <w:rPr>
          <w:rFonts w:hint="eastAsia" w:ascii="仿宋_GB2312" w:hAnsi="Times New Roman" w:eastAsia="仿宋_GB2312" w:cs="Times New Roman"/>
          <w:color w:val="auto"/>
          <w:sz w:val="32"/>
          <w:szCs w:val="32"/>
        </w:rPr>
        <w:t>环江毛南族自治县第五初级中学</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4"/>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2022年预算财政拨款安排的“三公”经费支出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val="en-US" w:eastAsia="zh-CN" w:bidi="ar"/>
        </w:rPr>
        <w:t>本部门是2022年9月新成立单位，2022年无部门年初预算。故本部门无</w:t>
      </w:r>
      <w:r>
        <w:rPr>
          <w:rFonts w:hint="eastAsia" w:ascii="仿宋" w:hAnsi="仿宋" w:eastAsia="仿宋" w:cs="仿宋"/>
          <w:sz w:val="32"/>
          <w:szCs w:val="32"/>
          <w:highlight w:val="none"/>
        </w:rPr>
        <w:t>2022年预算财政拨款安排的“三公”经费支出。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2"/>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原因是：无。</w:t>
      </w:r>
      <w:r>
        <w:rPr>
          <w:rFonts w:hint="eastAsia" w:ascii="仿宋" w:hAnsi="仿宋" w:eastAsia="仿宋" w:cs="仿宋"/>
          <w:sz w:val="32"/>
          <w:szCs w:val="32"/>
          <w:highlight w:val="none"/>
        </w:rPr>
        <w:t>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pPr>
        <w:numPr>
          <w:ilvl w:val="0"/>
          <w:numId w:val="2"/>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000000" w:themeColor="text1"/>
          <w:sz w:val="32"/>
          <w:szCs w:val="32"/>
          <w:highlight w:val="none"/>
          <w:lang w:val="en-US" w:eastAsia="zh-CN"/>
          <w14:textFill>
            <w14:solidFill>
              <w14:schemeClr w14:val="tx1"/>
            </w14:solidFill>
          </w14:textFill>
        </w:rPr>
        <w:t>无。</w:t>
      </w:r>
      <w:r>
        <w:rPr>
          <w:rFonts w:hint="eastAsia" w:ascii="仿宋" w:hAnsi="仿宋" w:eastAsia="仿宋" w:cs="仿宋"/>
          <w:sz w:val="32"/>
          <w:szCs w:val="32"/>
          <w:highlight w:val="none"/>
        </w:rPr>
        <w:t>2022年，</w:t>
      </w:r>
      <w:r>
        <w:rPr>
          <w:rFonts w:hint="eastAsia" w:ascii="仿宋" w:hAnsi="仿宋" w:eastAsia="仿宋" w:cs="仿宋"/>
          <w:sz w:val="32"/>
          <w:u w:color="auto"/>
          <w:lang w:val="en-US" w:eastAsia="zh-CN"/>
        </w:rPr>
        <w:t>本部门</w:t>
      </w:r>
      <w:r>
        <w:rPr>
          <w:rFonts w:hint="eastAsia" w:ascii="仿宋" w:hAnsi="仿宋" w:eastAsia="仿宋" w:cs="仿宋"/>
          <w:sz w:val="32"/>
          <w:szCs w:val="32"/>
          <w:highlight w:val="none"/>
        </w:rPr>
        <w:t>及</w:t>
      </w:r>
      <w:r>
        <w:rPr>
          <w:rFonts w:hint="eastAsia" w:ascii="仿宋" w:hAnsi="仿宋" w:eastAsia="仿宋" w:cs="仿宋"/>
          <w:color w:val="000000" w:themeColor="text1"/>
          <w:sz w:val="32"/>
          <w:szCs w:val="32"/>
          <w:highlight w:val="none"/>
          <w:lang w:val="en-US" w:eastAsia="zh-CN"/>
          <w14:textFill>
            <w14:solidFill>
              <w14:schemeClr w14:val="tx1"/>
            </w14:solidFill>
          </w14:textFill>
        </w:rPr>
        <w:t>0个</w:t>
      </w:r>
      <w:r>
        <w:rPr>
          <w:rFonts w:hint="eastAsia" w:ascii="仿宋" w:hAnsi="仿宋" w:eastAsia="仿宋" w:cs="仿宋"/>
          <w:color w:val="000000" w:themeColor="text1"/>
          <w:sz w:val="32"/>
          <w:szCs w:val="32"/>
          <w:highlight w:val="none"/>
          <w14:textFill>
            <w14:solidFill>
              <w14:schemeClr w14:val="tx1"/>
            </w14:solidFill>
          </w14:textFill>
        </w:rPr>
        <w:t>所属</w:t>
      </w:r>
      <w:r>
        <w:rPr>
          <w:rFonts w:hint="eastAsia" w:ascii="仿宋" w:hAnsi="仿宋" w:eastAsia="仿宋" w:cs="仿宋"/>
          <w:sz w:val="32"/>
          <w:szCs w:val="32"/>
          <w:highlight w:val="none"/>
        </w:rPr>
        <w:t>单位开支财政拨款的公务用车保有量为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平均每辆</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eastAsia" w:ascii="仿宋" w:hAnsi="仿宋" w:eastAsia="仿宋" w:cs="仿宋"/>
          <w:color w:val="FF0000"/>
          <w:sz w:val="32"/>
          <w:szCs w:val="32"/>
          <w:highlight w:val="none"/>
          <w:lang w:eastAsia="zh-CN"/>
        </w:rPr>
      </w:pPr>
      <w:bookmarkStart w:id="5" w:name="_GoBack"/>
      <w:bookmarkEnd w:id="5"/>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val="en-US" w:eastAsia="zh-CN"/>
        </w:rPr>
        <w:t>属于全额拨款事业单位，无</w:t>
      </w:r>
      <w:r>
        <w:rPr>
          <w:rFonts w:hint="eastAsia" w:ascii="仿宋" w:hAnsi="仿宋" w:eastAsia="仿宋" w:cs="仿宋"/>
          <w:sz w:val="32"/>
          <w:szCs w:val="32"/>
          <w:highlight w:val="none"/>
        </w:rPr>
        <w:t>机关运行经费支出</w:t>
      </w:r>
      <w:r>
        <w:rPr>
          <w:rFonts w:hint="eastAsia" w:ascii="仿宋" w:hAnsi="仿宋" w:eastAsia="仿宋" w:cs="仿宋"/>
          <w:color w:val="auto"/>
          <w:sz w:val="32"/>
          <w:szCs w:val="32"/>
          <w:highlight w:val="none"/>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FF0000"/>
          <w:sz w:val="32"/>
          <w:szCs w:val="32"/>
          <w:lang w:eastAsia="zh-CN"/>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个，</w:t>
      </w:r>
      <w:r>
        <w:rPr>
          <w:rFonts w:hint="eastAsia" w:ascii="仿宋" w:hAnsi="仿宋" w:eastAsia="仿宋" w:cs="仿宋"/>
          <w:color w:val="000000" w:themeColor="text1"/>
          <w:sz w:val="32"/>
          <w:szCs w:val="32"/>
          <w:lang w:val="en-US" w:eastAsia="zh-CN"/>
          <w14:textFill>
            <w14:solidFill>
              <w14:schemeClr w14:val="tx1"/>
            </w14:solidFill>
          </w14:textFill>
        </w:rPr>
        <w:t>三等项目1个，</w:t>
      </w:r>
      <w:r>
        <w:rPr>
          <w:rFonts w:hint="eastAsia" w:ascii="仿宋" w:hAnsi="仿宋" w:eastAsia="仿宋" w:cs="仿宋"/>
          <w:color w:val="000000" w:themeColor="text1"/>
          <w:sz w:val="32"/>
          <w:szCs w:val="32"/>
          <w14:textFill>
            <w14:solidFill>
              <w14:schemeClr w14:val="tx1"/>
            </w14:solidFill>
          </w14:textFill>
        </w:rPr>
        <w:t>共涉及资金</w:t>
      </w:r>
      <w:r>
        <w:rPr>
          <w:rFonts w:hint="eastAsia" w:ascii="仿宋" w:hAnsi="仿宋" w:eastAsia="仿宋" w:cs="仿宋"/>
          <w:color w:val="000000" w:themeColor="text1"/>
          <w:sz w:val="32"/>
          <w:szCs w:val="32"/>
          <w:lang w:val="en-US" w:eastAsia="zh-CN"/>
          <w14:textFill>
            <w14:solidFill>
              <w14:schemeClr w14:val="tx1"/>
            </w14:solidFill>
          </w14:textFill>
        </w:rPr>
        <w:t>42.16</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自治区公用经费</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42.16</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万元。从评价情况来看，本部门推进预算支出绩效评价管理,提高资金使用效率。按时完成各个项目年度绩效目标，提高服务对象的满意度</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我单位绩效管理情况较为理想，达到了年初设定的各项绩效目标</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组织对本单位开展整体支出绩效评价试点，涉及一般公共预算支出42.16万元，政府性基金预算支出0万元。从评价情况来看，我部门绩效管理情况较为理想，达到了年初设定的各项绩效目标。所有资金使用严格按审批程序办理、操作规范，会计核算结果真实、准确，各项支出严格按照各项制度执行。</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val="en-US" w:eastAsia="zh-CN"/>
          <w14:textFill>
            <w14:solidFill>
              <w14:schemeClr w14:val="tx1"/>
            </w14:solidFill>
          </w14:textFill>
        </w:rPr>
        <w:t>营养改善计划膳食补助资金</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96.14</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义务教育阶段家庭经济困难学生生活县级补助资金项目自评得分为100分，自治区补助公用经费项目评分为86.96分，自治区公用经费、义务教育中央级公用经费、学校生均经费这三个项目评分均为80分，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一是</w:t>
      </w:r>
      <w:r>
        <w:rPr>
          <w:rFonts w:hint="eastAsia" w:ascii="仿宋" w:hAnsi="仿宋" w:eastAsia="仿宋" w:cs="仿宋"/>
          <w:color w:val="000000" w:themeColor="text1"/>
          <w:sz w:val="32"/>
          <w:szCs w:val="32"/>
          <w14:textFill>
            <w14:solidFill>
              <w14:schemeClr w14:val="tx1"/>
            </w14:solidFill>
          </w14:textFill>
        </w:rPr>
        <w:t>我校是新建学校，于2022年9月正式招生开学，学生数为219人，教职工18人，由于新建学校设施尚未完善，8-11月我校所有师生均在环江第七小学上课及办公，期间我校不用支付水电费、邮电费等费用，12月1日正式搬入新学校上课，仅有少量水费、办公费、教师差旅费开支，</w:t>
      </w:r>
      <w:r>
        <w:rPr>
          <w:rFonts w:hint="eastAsia" w:ascii="仿宋" w:hAnsi="仿宋" w:eastAsia="仿宋" w:cs="仿宋"/>
          <w:color w:val="000000" w:themeColor="text1"/>
          <w:sz w:val="32"/>
          <w:szCs w:val="32"/>
          <w:lang w:val="en-US" w:eastAsia="zh-CN"/>
          <w14:textFill>
            <w14:solidFill>
              <w14:schemeClr w14:val="tx1"/>
            </w14:solidFill>
          </w14:textFill>
        </w:rPr>
        <w:t>二是</w:t>
      </w:r>
      <w:r>
        <w:rPr>
          <w:rFonts w:hint="eastAsia" w:ascii="仿宋" w:hAnsi="仿宋" w:eastAsia="仿宋" w:cs="仿宋"/>
          <w:color w:val="000000" w:themeColor="text1"/>
          <w:sz w:val="32"/>
          <w:szCs w:val="32"/>
          <w14:textFill>
            <w14:solidFill>
              <w14:schemeClr w14:val="tx1"/>
            </w14:solidFill>
          </w14:textFill>
        </w:rPr>
        <w:t>挂账办公用品未及时报账</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下一步改进措施：及时整理报账材料，完成年度资金进度安排。</w:t>
      </w:r>
      <w:r>
        <w:rPr>
          <w:rFonts w:hint="eastAsia" w:ascii="仿宋" w:hAnsi="仿宋" w:eastAsia="仿宋" w:cs="仿宋"/>
          <w:color w:val="000000" w:themeColor="text1"/>
          <w:sz w:val="32"/>
          <w:szCs w:val="32"/>
          <w:lang w:val="en-US" w:eastAsia="zh-CN"/>
          <w14:textFill>
            <w14:solidFill>
              <w14:schemeClr w14:val="tx1"/>
            </w14:solidFill>
          </w14:textFill>
        </w:rPr>
        <w:t>全县校园安全保卫经费项目评分为80分，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sz w:val="32"/>
          <w:szCs w:val="32"/>
        </w:rPr>
        <w:t>部分报账材料未及时整理。下一步改进措施：及时整理报账材料，完成年度资金进度安排。</w:t>
      </w:r>
      <w:r>
        <w:rPr>
          <w:rFonts w:hint="eastAsia" w:ascii="仿宋" w:hAnsi="仿宋" w:eastAsia="仿宋" w:cs="仿宋"/>
          <w:sz w:val="32"/>
          <w:szCs w:val="32"/>
          <w:lang w:val="en-US" w:eastAsia="zh-CN"/>
        </w:rPr>
        <w:t>教师节经费项目评分为70分，发现的主要问题及原因：报账材料未及时整理。下一步改进措施：及时整理报账材料，完成年度资金进度安排。</w:t>
      </w: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F64D0A"/>
    <w:multiLevelType w:val="singleLevel"/>
    <w:tmpl w:val="CBF64D0A"/>
    <w:lvl w:ilvl="0" w:tentative="0">
      <w:start w:val="1"/>
      <w:numFmt w:val="chineseCounting"/>
      <w:suff w:val="nothing"/>
      <w:lvlText w:val="（%1）"/>
      <w:lvlJc w:val="left"/>
      <w:rPr>
        <w:rFonts w:hint="eastAsia"/>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xNWY3ODc5OWRlYTY0OTIxNTA3M2UzNGU5ODIyNzc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3920A67"/>
    <w:rsid w:val="04E54546"/>
    <w:rsid w:val="05992762"/>
    <w:rsid w:val="06055458"/>
    <w:rsid w:val="07B0770E"/>
    <w:rsid w:val="07DE5A9A"/>
    <w:rsid w:val="0942143F"/>
    <w:rsid w:val="09CB6A81"/>
    <w:rsid w:val="0B5A7BE7"/>
    <w:rsid w:val="0D100297"/>
    <w:rsid w:val="0D202B45"/>
    <w:rsid w:val="0DCC3810"/>
    <w:rsid w:val="0F6F7A29"/>
    <w:rsid w:val="0F8D4C87"/>
    <w:rsid w:val="10505FAA"/>
    <w:rsid w:val="105F7E7E"/>
    <w:rsid w:val="11E56B5B"/>
    <w:rsid w:val="125C77AB"/>
    <w:rsid w:val="14CB726E"/>
    <w:rsid w:val="17E92249"/>
    <w:rsid w:val="18D304F1"/>
    <w:rsid w:val="19F32577"/>
    <w:rsid w:val="19F45B80"/>
    <w:rsid w:val="1AEB0D31"/>
    <w:rsid w:val="1B0C078D"/>
    <w:rsid w:val="1B2B31E2"/>
    <w:rsid w:val="1B4C295A"/>
    <w:rsid w:val="1B973C63"/>
    <w:rsid w:val="1BA1001E"/>
    <w:rsid w:val="1CF0262F"/>
    <w:rsid w:val="1D317259"/>
    <w:rsid w:val="1E664F5B"/>
    <w:rsid w:val="1EB34BE1"/>
    <w:rsid w:val="215E639F"/>
    <w:rsid w:val="21EC3183"/>
    <w:rsid w:val="225E72CD"/>
    <w:rsid w:val="246138DC"/>
    <w:rsid w:val="246E2F77"/>
    <w:rsid w:val="254B4E2B"/>
    <w:rsid w:val="283D7C94"/>
    <w:rsid w:val="29480E03"/>
    <w:rsid w:val="2983634D"/>
    <w:rsid w:val="2B830B12"/>
    <w:rsid w:val="2BB02055"/>
    <w:rsid w:val="2C575A56"/>
    <w:rsid w:val="2E586286"/>
    <w:rsid w:val="2F257714"/>
    <w:rsid w:val="2F3275E5"/>
    <w:rsid w:val="30AA08EF"/>
    <w:rsid w:val="30D23D1C"/>
    <w:rsid w:val="31221CF5"/>
    <w:rsid w:val="31400178"/>
    <w:rsid w:val="321E3342"/>
    <w:rsid w:val="327759C8"/>
    <w:rsid w:val="33185FE3"/>
    <w:rsid w:val="3321133C"/>
    <w:rsid w:val="34EE2E36"/>
    <w:rsid w:val="36777241"/>
    <w:rsid w:val="371E78D5"/>
    <w:rsid w:val="38A951DB"/>
    <w:rsid w:val="38B31605"/>
    <w:rsid w:val="39003F4F"/>
    <w:rsid w:val="3C07002B"/>
    <w:rsid w:val="3D0D152A"/>
    <w:rsid w:val="3DF62756"/>
    <w:rsid w:val="3F1B7587"/>
    <w:rsid w:val="41E57B4F"/>
    <w:rsid w:val="432F26F6"/>
    <w:rsid w:val="43880F63"/>
    <w:rsid w:val="441C5A6F"/>
    <w:rsid w:val="44C44FCC"/>
    <w:rsid w:val="44CC7369"/>
    <w:rsid w:val="457F5108"/>
    <w:rsid w:val="46951B6B"/>
    <w:rsid w:val="4702569B"/>
    <w:rsid w:val="486F2C7E"/>
    <w:rsid w:val="49A34401"/>
    <w:rsid w:val="4A3E30AB"/>
    <w:rsid w:val="4AC14DAC"/>
    <w:rsid w:val="4D154C85"/>
    <w:rsid w:val="4EB35ECE"/>
    <w:rsid w:val="508F4E24"/>
    <w:rsid w:val="50F973B5"/>
    <w:rsid w:val="51461E90"/>
    <w:rsid w:val="51463753"/>
    <w:rsid w:val="52553A93"/>
    <w:rsid w:val="53521F8B"/>
    <w:rsid w:val="53E22F47"/>
    <w:rsid w:val="54522FF8"/>
    <w:rsid w:val="55450629"/>
    <w:rsid w:val="55B33C1E"/>
    <w:rsid w:val="56692963"/>
    <w:rsid w:val="568B0F48"/>
    <w:rsid w:val="5786217B"/>
    <w:rsid w:val="59337A15"/>
    <w:rsid w:val="59810274"/>
    <w:rsid w:val="5CA96A00"/>
    <w:rsid w:val="5CF730BC"/>
    <w:rsid w:val="5D2D59C6"/>
    <w:rsid w:val="5E5F0DCE"/>
    <w:rsid w:val="5FA40A7B"/>
    <w:rsid w:val="5FD56D29"/>
    <w:rsid w:val="5FEC7F3F"/>
    <w:rsid w:val="60F74BC3"/>
    <w:rsid w:val="617D3BF8"/>
    <w:rsid w:val="61841F6A"/>
    <w:rsid w:val="619A0DF7"/>
    <w:rsid w:val="623007A9"/>
    <w:rsid w:val="637D7558"/>
    <w:rsid w:val="644F19AC"/>
    <w:rsid w:val="65AA4920"/>
    <w:rsid w:val="65E31D0B"/>
    <w:rsid w:val="666864B8"/>
    <w:rsid w:val="67694F1E"/>
    <w:rsid w:val="688C36C1"/>
    <w:rsid w:val="69597934"/>
    <w:rsid w:val="6A587F92"/>
    <w:rsid w:val="6B964DDC"/>
    <w:rsid w:val="6BA652CF"/>
    <w:rsid w:val="6C783074"/>
    <w:rsid w:val="6D9E65C6"/>
    <w:rsid w:val="6DA81947"/>
    <w:rsid w:val="6EB66DE2"/>
    <w:rsid w:val="6ED3075F"/>
    <w:rsid w:val="6F2A2D4B"/>
    <w:rsid w:val="6F7F0631"/>
    <w:rsid w:val="6F8A0C1E"/>
    <w:rsid w:val="703F45D4"/>
    <w:rsid w:val="715D6546"/>
    <w:rsid w:val="71BE069E"/>
    <w:rsid w:val="73233067"/>
    <w:rsid w:val="73953409"/>
    <w:rsid w:val="73E069A3"/>
    <w:rsid w:val="78104AA8"/>
    <w:rsid w:val="78E257C5"/>
    <w:rsid w:val="794B35BE"/>
    <w:rsid w:val="7B0A3A31"/>
    <w:rsid w:val="7B3360ED"/>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22.96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Sheet1!$A$2:$A$4</c:f>
              <c:strCache>
                <c:ptCount val="3"/>
                <c:pt idx="0">
                  <c:v>2050203</c:v>
                </c:pt>
                <c:pt idx="1">
                  <c:v>2050299</c:v>
                </c:pt>
                <c:pt idx="2">
                  <c:v>205x</c:v>
                </c:pt>
              </c:strCache>
            </c:strRef>
          </c:cat>
          <c:val>
            <c:numRef>
              <c:f>Sheet1!$B$2:$B$4</c:f>
              <c:numCache>
                <c:formatCode>General</c:formatCode>
                <c:ptCount val="3"/>
                <c:pt idx="0">
                  <c:v>22.51</c:v>
                </c:pt>
                <c:pt idx="1">
                  <c:v>0.45</c:v>
                </c:pt>
                <c:pt idx="2">
                  <c:v>22.96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0.54</c:v>
                </c:pt>
                <c:pt idx="1">
                  <c:v>0</c:v>
                </c:pt>
                <c:pt idx="2">
                  <c:v>0</c:v>
                </c:pt>
                <c:pt idx="3">
                  <c:v>0</c:v>
                </c:pt>
                <c:pt idx="4">
                  <c:v>0.98</c:v>
                </c:pt>
                <c:pt idx="5">
                  <c:v>0</c:v>
                </c:pt>
                <c:pt idx="6">
                  <c:v>0</c:v>
                </c:pt>
                <c:pt idx="7">
                  <c:v>0</c:v>
                </c:pt>
                <c:pt idx="8">
                  <c:v>0</c:v>
                </c:pt>
                <c:pt idx="9">
                  <c:v>0.1</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0</c:v>
                </c:pt>
                <c:pt idx="5">
                  <c:v>0</c:v>
                </c:pt>
                <c:pt idx="6">
                  <c:v>0</c:v>
                </c:pt>
                <c:pt idx="7">
                  <c:v>7.46</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0</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2023-08-17T10:06:00Z</dcterms:created>
  <dc:creator>C D D</dc:creator>
  <cp:lastModifiedBy>Administrator</cp:lastModifiedBy>
  <dcterms:modified xsi:type="dcterms:W3CDTF">2023-11-28T08:40:06Z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2D407D078CDE497A8983158386602F0B_13</vt:lpwstr>
  </property>
</Properties>
</file>