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center"/>
        <w:rPr>
          <w:rFonts w:hint="eastAsia"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环江毛南族自治县第五小学</w:t>
      </w:r>
    </w:p>
    <w:p>
      <w:pPr>
        <w:jc w:val="center"/>
        <w:rPr>
          <w:rFonts w:ascii="黑体" w:hAnsi="黑体" w:eastAsia="黑体" w:cs="黑体"/>
          <w:b/>
          <w:bCs/>
          <w:color w:val="auto"/>
          <w:sz w:val="52"/>
          <w:szCs w:val="52"/>
          <w:highlight w:val="none"/>
        </w:rPr>
      </w:pPr>
      <w:r>
        <w:rPr>
          <w:rFonts w:hint="eastAsia" w:ascii="黑体" w:hAnsi="黑体" w:eastAsia="黑体" w:cs="黑体"/>
          <w:b/>
          <w:bCs/>
          <w:color w:val="auto"/>
          <w:sz w:val="52"/>
          <w:szCs w:val="52"/>
          <w:highlight w:val="none"/>
        </w:rPr>
        <w:t>2022年度部门决算</w:t>
      </w:r>
    </w:p>
    <w:p>
      <w:pPr>
        <w:jc w:val="center"/>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ascii="仿宋" w:hAnsi="仿宋" w:eastAsia="仿宋" w:cs="仿宋"/>
          <w:color w:val="auto"/>
          <w:sz w:val="32"/>
          <w:szCs w:val="32"/>
          <w:highlight w:val="none"/>
        </w:rPr>
      </w:pPr>
    </w:p>
    <w:p>
      <w:pPr>
        <w:jc w:val="left"/>
        <w:rPr>
          <w:rFonts w:hint="default" w:ascii="仿宋" w:hAnsi="仿宋" w:eastAsia="仿宋" w:cs="仿宋"/>
          <w:color w:val="auto"/>
          <w:sz w:val="32"/>
          <w:szCs w:val="32"/>
          <w:highlight w:val="none"/>
          <w:lang w:val="en-US"/>
        </w:rPr>
      </w:pPr>
      <w:r>
        <w:rPr>
          <w:rFonts w:hint="eastAsia" w:ascii="黑体" w:hAnsi="黑体" w:eastAsia="黑体" w:cs="黑体"/>
          <w:sz w:val="36"/>
          <w:szCs w:val="36"/>
          <w:lang w:val="en-US" w:eastAsia="zh-CN"/>
        </w:rPr>
        <w:t xml:space="preserve">                单位负责人：莫华明</w:t>
      </w:r>
    </w:p>
    <w:p>
      <w:pPr>
        <w:jc w:val="left"/>
        <w:rPr>
          <w:rFonts w:ascii="仿宋" w:hAnsi="仿宋" w:eastAsia="仿宋" w:cs="仿宋"/>
          <w:color w:val="auto"/>
          <w:sz w:val="32"/>
          <w:szCs w:val="32"/>
          <w:highlight w:val="none"/>
        </w:rPr>
      </w:pPr>
    </w:p>
    <w:p>
      <w:pPr>
        <w:ind w:firstLine="3614" w:firstLineChars="1000"/>
        <w:jc w:val="both"/>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2023年</w:t>
      </w:r>
      <w:r>
        <w:rPr>
          <w:rFonts w:hint="eastAsia" w:ascii="黑体" w:hAnsi="黑体" w:eastAsia="黑体" w:cs="黑体"/>
          <w:b/>
          <w:bCs/>
          <w:color w:val="auto"/>
          <w:sz w:val="36"/>
          <w:szCs w:val="36"/>
          <w:highlight w:val="none"/>
          <w:lang w:val="en-US" w:eastAsia="zh-CN"/>
        </w:rPr>
        <w:t>10</w:t>
      </w:r>
      <w:r>
        <w:rPr>
          <w:rFonts w:hint="eastAsia" w:ascii="黑体" w:hAnsi="黑体" w:eastAsia="黑体" w:cs="黑体"/>
          <w:b/>
          <w:bCs/>
          <w:color w:val="auto"/>
          <w:sz w:val="36"/>
          <w:szCs w:val="36"/>
          <w:highlight w:val="none"/>
        </w:rPr>
        <w:t>月</w:t>
      </w:r>
    </w:p>
    <w:p>
      <w:pPr>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pPr>
        <w:jc w:val="center"/>
        <w:rPr>
          <w:rFonts w:ascii="黑体" w:hAnsi="黑体" w:eastAsia="黑体" w:cs="黑体"/>
          <w:b/>
          <w:bCs/>
          <w:color w:val="auto"/>
          <w:sz w:val="36"/>
          <w:szCs w:val="36"/>
          <w:highlight w:val="none"/>
        </w:rPr>
      </w:pPr>
      <w:r>
        <w:rPr>
          <w:rFonts w:hint="eastAsia" w:ascii="黑体" w:hAnsi="黑体" w:eastAsia="黑体" w:cs="黑体"/>
          <w:b/>
          <w:bCs/>
          <w:color w:val="auto"/>
          <w:sz w:val="36"/>
          <w:szCs w:val="36"/>
          <w:highlight w:val="none"/>
        </w:rPr>
        <w:t>目</w:t>
      </w:r>
      <w:r>
        <w:rPr>
          <w:rFonts w:hint="eastAsia" w:ascii="黑体" w:hAnsi="黑体" w:eastAsia="黑体" w:cs="黑体"/>
          <w:b/>
          <w:bCs/>
          <w:color w:val="auto"/>
          <w:sz w:val="36"/>
          <w:szCs w:val="36"/>
          <w:highlight w:val="none"/>
          <w:lang w:val="en-US" w:eastAsia="zh-CN"/>
        </w:rPr>
        <w:t xml:space="preserve">  </w:t>
      </w:r>
      <w:r>
        <w:rPr>
          <w:rFonts w:hint="eastAsia" w:ascii="黑体" w:hAnsi="黑体" w:eastAsia="黑体" w:cs="黑体"/>
          <w:b/>
          <w:bCs/>
          <w:color w:val="auto"/>
          <w:sz w:val="36"/>
          <w:szCs w:val="36"/>
          <w:highlight w:val="none"/>
        </w:rPr>
        <w:t xml:space="preserve"> 录</w:t>
      </w:r>
    </w:p>
    <w:p>
      <w:pPr>
        <w:jc w:val="left"/>
        <w:rPr>
          <w:rFonts w:ascii="黑体" w:hAnsi="黑体" w:eastAsia="黑体" w:cs="黑体"/>
          <w:b/>
          <w:bCs/>
          <w:color w:val="auto"/>
          <w:sz w:val="36"/>
          <w:szCs w:val="36"/>
          <w:highlight w:val="none"/>
        </w:rPr>
      </w:pP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第一部分：</w:t>
      </w:r>
      <w:r>
        <w:rPr>
          <w:rFonts w:ascii="黑体" w:hAnsi="黑体" w:eastAsia="黑体" w:cs="黑体"/>
          <w:color w:val="auto"/>
          <w:sz w:val="32"/>
          <w:u w:color="auto"/>
        </w:rPr>
        <w:t>环江毛南族自治县第五小学</w:t>
      </w:r>
      <w:r>
        <w:rPr>
          <w:rFonts w:hint="eastAsia" w:ascii="黑体" w:hAnsi="黑体" w:eastAsia="黑体" w:cs="黑体"/>
          <w:color w:val="auto"/>
          <w:sz w:val="32"/>
          <w:szCs w:val="32"/>
          <w:highlight w:val="none"/>
        </w:rPr>
        <w:t>概况</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一、主要职能</w:t>
      </w:r>
    </w:p>
    <w:p>
      <w:pPr>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二、部门决算单位构成</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u w:color="auto"/>
        </w:rPr>
        <w:t>环江毛南族自治县第五小学</w:t>
      </w:r>
      <w:r>
        <w:rPr>
          <w:rFonts w:hint="eastAsia" w:ascii="黑体" w:hAnsi="黑体" w:eastAsia="黑体" w:cs="黑体"/>
          <w:color w:val="auto"/>
          <w:sz w:val="32"/>
          <w:szCs w:val="32"/>
          <w:highlight w:val="none"/>
        </w:rPr>
        <w:t>2022年度部门决算报表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表六：一般公共预算财政拨款基本支出决算明细表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表七：政府性基金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表八：国有资本经营预算</w:t>
      </w:r>
      <w:r>
        <w:rPr>
          <w:rFonts w:hint="eastAsia" w:ascii="仿宋_GB2312" w:hAnsi="黑体" w:eastAsia="仿宋_GB2312"/>
          <w:color w:val="auto"/>
          <w:sz w:val="32"/>
          <w:szCs w:val="32"/>
          <w:highlight w:val="none"/>
        </w:rPr>
        <w:t>财政拨款</w:t>
      </w:r>
      <w:r>
        <w:rPr>
          <w:rFonts w:hint="eastAsia" w:ascii="仿宋_GB2312" w:eastAsia="仿宋_GB2312"/>
          <w:color w:val="auto"/>
          <w:sz w:val="32"/>
          <w:szCs w:val="32"/>
          <w:highlight w:val="none"/>
        </w:rPr>
        <w:t>支出决算表</w:t>
      </w:r>
    </w:p>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表九：财政拨款“三公”经费支出决算表</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u w:color="auto"/>
        </w:rPr>
        <w:t>环江毛南族自治县第五小学</w:t>
      </w:r>
      <w:r>
        <w:rPr>
          <w:rFonts w:hint="eastAsia" w:ascii="黑体" w:hAnsi="黑体" w:eastAsia="黑体" w:cs="黑体"/>
          <w:color w:val="auto"/>
          <w:sz w:val="32"/>
          <w:szCs w:val="32"/>
          <w:highlight w:val="none"/>
        </w:rPr>
        <w:t>2022年度部门决算情况说明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ascii="仿宋_GB2312" w:eastAsia="仿宋_GB2312"/>
          <w:color w:val="auto"/>
          <w:kern w:val="0"/>
          <w:sz w:val="32"/>
          <w:szCs w:val="32"/>
          <w:highlight w:val="none"/>
        </w:rPr>
        <w:t>202</w:t>
      </w:r>
      <w:r>
        <w:rPr>
          <w:rFonts w:hint="eastAsia" w:ascii="仿宋_GB2312" w:eastAsia="仿宋_GB2312"/>
          <w:color w:val="auto"/>
          <w:kern w:val="0"/>
          <w:sz w:val="32"/>
          <w:szCs w:val="32"/>
          <w:highlight w:val="none"/>
          <w:lang w:val="en-US" w:eastAsia="zh-CN"/>
        </w:rPr>
        <w:t>2</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w:t>
      </w:r>
      <w:r>
        <w:rPr>
          <w:rFonts w:hint="eastAsia" w:ascii="仿宋_GB2312" w:eastAsia="仿宋_GB2312"/>
          <w:color w:val="auto"/>
          <w:sz w:val="32"/>
          <w:szCs w:val="32"/>
          <w:highlight w:val="none"/>
        </w:rPr>
        <w:t>一般</w:t>
      </w:r>
      <w:r>
        <w:rPr>
          <w:rFonts w:hint="eastAsia" w:ascii="仿宋_GB2312" w:eastAsia="仿宋_GB2312" w:cs="仿宋_GB2312"/>
          <w:color w:val="auto"/>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ascii="仿宋_GB2312" w:eastAsia="仿宋_GB2312"/>
          <w:color w:val="auto"/>
          <w:kern w:val="0"/>
          <w:sz w:val="32"/>
          <w:szCs w:val="32"/>
          <w:highlight w:val="none"/>
        </w:rPr>
        <w:t>20</w:t>
      </w:r>
      <w:r>
        <w:rPr>
          <w:rFonts w:hint="eastAsia" w:ascii="仿宋_GB2312" w:eastAsia="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五、20</w:t>
      </w:r>
      <w:r>
        <w:rPr>
          <w:rFonts w:hint="eastAsia" w:ascii="仿宋_GB2312" w:eastAsia="仿宋_GB2312" w:cs="仿宋_GB2312"/>
          <w:color w:val="auto"/>
          <w:kern w:val="0"/>
          <w:sz w:val="32"/>
          <w:szCs w:val="32"/>
          <w:highlight w:val="none"/>
          <w:lang w:val="en-US" w:eastAsia="zh-CN"/>
        </w:rPr>
        <w:t>22</w:t>
      </w:r>
      <w:r>
        <w:rPr>
          <w:rFonts w:hint="eastAsia" w:ascii="仿宋_GB2312" w:eastAsia="仿宋_GB2312" w:cs="仿宋_GB2312"/>
          <w:color w:val="auto"/>
          <w:kern w:val="0"/>
          <w:sz w:val="32"/>
          <w:szCs w:val="32"/>
          <w:highlight w:val="none"/>
        </w:rPr>
        <w:t>年度国有资本经营预算支出决算情况</w:t>
      </w:r>
      <w:r>
        <w:rPr>
          <w:rFonts w:hint="eastAsia" w:ascii="仿宋_GB2312" w:eastAsia="仿宋_GB2312" w:cs="仿宋_GB2312"/>
          <w:color w:val="auto"/>
          <w:kern w:val="0"/>
          <w:sz w:val="32"/>
          <w:szCs w:val="32"/>
          <w:highlight w:val="none"/>
          <w:lang w:eastAsia="zh-CN"/>
        </w:rPr>
        <w:t>。</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第四部分：名词解释</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pPr>
        <w:jc w:val="center"/>
        <w:rPr>
          <w:rFonts w:ascii="仿宋" w:hAnsi="仿宋" w:eastAsia="仿宋" w:cs="仿宋"/>
          <w:color w:val="auto"/>
          <w:sz w:val="32"/>
          <w:szCs w:val="32"/>
          <w:highlight w:val="none"/>
        </w:rPr>
      </w:pPr>
      <w:r>
        <w:rPr>
          <w:rFonts w:hint="eastAsia" w:ascii="黑体" w:hAnsi="黑体" w:eastAsia="黑体" w:cs="黑体"/>
          <w:b/>
          <w:bCs/>
          <w:color w:val="auto"/>
          <w:sz w:val="32"/>
          <w:szCs w:val="32"/>
          <w:highlight w:val="none"/>
        </w:rPr>
        <w:t>第一部分：</w:t>
      </w:r>
      <w:r>
        <w:rPr>
          <w:rFonts w:hint="eastAsia" w:ascii="黑体" w:hAnsi="黑体" w:eastAsia="黑体" w:cs="黑体"/>
          <w:b/>
          <w:color w:val="auto"/>
          <w:sz w:val="32"/>
          <w:u w:color="auto"/>
          <w:lang w:val="en-US" w:eastAsia="zh-CN"/>
        </w:rPr>
        <w:t>环江毛南族自治县第五小学</w:t>
      </w:r>
      <w:r>
        <w:rPr>
          <w:rFonts w:hint="eastAsia" w:ascii="黑体" w:hAnsi="黑体" w:eastAsia="黑体" w:cs="黑体"/>
          <w:b/>
          <w:bCs/>
          <w:color w:val="auto"/>
          <w:sz w:val="32"/>
          <w:szCs w:val="32"/>
          <w:highlight w:val="none"/>
        </w:rPr>
        <w:t>概况</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（一）</w:t>
      </w:r>
      <w:r>
        <w:rPr>
          <w:rFonts w:hint="eastAsia" w:ascii="仿宋_GB2312" w:eastAsia="仿宋_GB2312" w:cs="仿宋_GB2312"/>
          <w:color w:val="auto"/>
          <w:kern w:val="0"/>
          <w:sz w:val="32"/>
          <w:szCs w:val="32"/>
        </w:rPr>
        <w:t>负责贯彻党的教育方针，坚持社会主义办学方向，实行教育与生产劳动相结合，对学生进行德育、智育、体育、美育和劳动等方面的教育。</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（二）</w:t>
      </w:r>
      <w:r>
        <w:rPr>
          <w:rFonts w:hint="eastAsia" w:ascii="仿宋_GB2312" w:eastAsia="仿宋_GB2312" w:cs="仿宋_GB2312"/>
          <w:color w:val="auto"/>
          <w:kern w:val="0"/>
          <w:sz w:val="32"/>
          <w:szCs w:val="32"/>
        </w:rPr>
        <w:t>负责依法制定学校章程，并按照章程自主管理。</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（三）</w:t>
      </w:r>
      <w:r>
        <w:rPr>
          <w:rFonts w:hint="eastAsia" w:ascii="仿宋_GB2312" w:eastAsia="仿宋_GB2312" w:cs="仿宋_GB2312"/>
          <w:color w:val="auto"/>
          <w:kern w:val="0"/>
          <w:sz w:val="32"/>
          <w:szCs w:val="32"/>
        </w:rPr>
        <w:t>负责配合各级人民政府依法动员、组织适龄儿童、少年入学，严格控制学生辍学，依法保证适龄儿童、少年接受九年义务教育。</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（四）</w:t>
      </w:r>
      <w:r>
        <w:rPr>
          <w:rFonts w:hint="eastAsia" w:ascii="仿宋_GB2312" w:eastAsia="仿宋_GB2312" w:cs="仿宋_GB2312"/>
          <w:color w:val="auto"/>
          <w:kern w:val="0"/>
          <w:sz w:val="32"/>
          <w:szCs w:val="32"/>
        </w:rPr>
        <w:t>负责制定学校教育发展规划，并抓好组织实施和落实工作。</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（五）</w:t>
      </w:r>
      <w:r>
        <w:rPr>
          <w:rFonts w:hint="eastAsia" w:ascii="仿宋_GB2312" w:eastAsia="仿宋_GB2312" w:cs="仿宋_GB2312"/>
          <w:color w:val="auto"/>
          <w:kern w:val="0"/>
          <w:sz w:val="32"/>
          <w:szCs w:val="32"/>
        </w:rPr>
        <w:t>负责按照教育主管部门发布的指导性教学计划、教学大纲，组织实施教育教学活动。</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（六）</w:t>
      </w:r>
      <w:r>
        <w:rPr>
          <w:rFonts w:hint="eastAsia" w:ascii="仿宋_GB2312" w:eastAsia="仿宋_GB2312" w:cs="仿宋_GB2312"/>
          <w:color w:val="auto"/>
          <w:kern w:val="0"/>
          <w:sz w:val="32"/>
          <w:szCs w:val="32"/>
        </w:rPr>
        <w:t>负责依据国家教育主管部门有关教学计划、课程设置等方面的规定，决定和实施本校的教学计划，组织教学评比、集体备课，对学生进行统考核、考试等。</w:t>
      </w:r>
    </w:p>
    <w:p>
      <w:pPr>
        <w:ind w:firstLine="646"/>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lang w:eastAsia="zh-CN"/>
        </w:rPr>
        <w:t>（七）</w:t>
      </w:r>
      <w:r>
        <w:rPr>
          <w:rFonts w:hint="eastAsia" w:ascii="仿宋_GB2312" w:eastAsia="仿宋_GB2312" w:cs="仿宋_GB2312"/>
          <w:color w:val="auto"/>
          <w:kern w:val="0"/>
          <w:sz w:val="32"/>
          <w:szCs w:val="32"/>
        </w:rPr>
        <w:t>负责学籍管理并对学生实施奖励或处分</w:t>
      </w:r>
      <w:r>
        <w:rPr>
          <w:rFonts w:hint="eastAsia" w:ascii="仿宋_GB2312" w:eastAsia="仿宋_GB2312" w:cs="仿宋_GB2312"/>
          <w:color w:val="auto"/>
          <w:kern w:val="0"/>
          <w:sz w:val="32"/>
          <w:szCs w:val="32"/>
          <w:lang w:eastAsia="zh-CN"/>
        </w:rPr>
        <w:t>。</w:t>
      </w:r>
    </w:p>
    <w:p>
      <w:pPr>
        <w:ind w:firstLine="646"/>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eastAsia="zh-CN"/>
        </w:rPr>
        <w:t>（八）</w:t>
      </w:r>
      <w:r>
        <w:rPr>
          <w:rFonts w:hint="eastAsia" w:ascii="仿宋_GB2312" w:eastAsia="仿宋_GB2312" w:cs="仿宋_GB2312"/>
          <w:color w:val="auto"/>
          <w:kern w:val="0"/>
          <w:sz w:val="32"/>
          <w:szCs w:val="32"/>
        </w:rPr>
        <w:t>负责依法制定本校教师及其他职工聘任办法并对教师及其他员工实施包括奖励、处分在内的具体管理活动，依法聘任、解聘有关教师和其他职</w:t>
      </w:r>
      <w:r>
        <w:rPr>
          <w:rFonts w:hint="eastAsia" w:ascii="仿宋_GB2312" w:eastAsia="仿宋_GB2312" w:cs="仿宋_GB2312"/>
          <w:color w:val="auto"/>
          <w:kern w:val="0"/>
          <w:sz w:val="32"/>
          <w:szCs w:val="32"/>
          <w:lang w:val="en-US" w:eastAsia="zh-CN"/>
        </w:rPr>
        <w:t>工。</w:t>
      </w:r>
    </w:p>
    <w:p>
      <w:pPr>
        <w:ind w:firstLine="646"/>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eastAsia="zh-CN"/>
        </w:rPr>
        <w:t>（九）</w:t>
      </w:r>
      <w:r>
        <w:rPr>
          <w:rFonts w:hint="eastAsia" w:ascii="仿宋_GB2312" w:eastAsia="仿宋_GB2312" w:cs="仿宋_GB2312"/>
          <w:color w:val="auto"/>
          <w:kern w:val="0"/>
          <w:sz w:val="32"/>
          <w:szCs w:val="32"/>
        </w:rPr>
        <w:t>负责聘任、培训、考核教师，依法奖励或处分教师和其他职工</w:t>
      </w:r>
      <w:r>
        <w:rPr>
          <w:rFonts w:hint="eastAsia" w:ascii="仿宋_GB2312" w:eastAsia="仿宋_GB2312" w:cs="仿宋_GB2312"/>
          <w:color w:val="auto"/>
          <w:kern w:val="0"/>
          <w:sz w:val="32"/>
          <w:szCs w:val="32"/>
          <w:lang w:eastAsia="zh-CN"/>
        </w:rPr>
        <w:t>。</w:t>
      </w:r>
    </w:p>
    <w:p>
      <w:pPr>
        <w:ind w:firstLine="646"/>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lang w:eastAsia="zh-CN"/>
        </w:rPr>
        <w:t>（十）负责科学管理、合理使用学校的设施和经费并积极筹措资金，改善办学条件</w:t>
      </w:r>
      <w:r>
        <w:rPr>
          <w:rFonts w:hint="eastAsia" w:ascii="仿宋_GB2312" w:eastAsia="仿宋_GB2312" w:cs="仿宋_GB2312"/>
          <w:color w:val="auto"/>
          <w:kern w:val="0"/>
          <w:sz w:val="32"/>
          <w:szCs w:val="32"/>
        </w:rPr>
        <w:t>。</w:t>
      </w:r>
    </w:p>
    <w:p>
      <w:pPr>
        <w:ind w:firstLine="646"/>
        <w:rPr>
          <w:rFonts w:hint="eastAsia" w:ascii="仿宋_GB2312" w:eastAsia="仿宋_GB2312" w:cs="仿宋_GB2312"/>
          <w:color w:val="auto"/>
          <w:kern w:val="0"/>
          <w:sz w:val="32"/>
          <w:szCs w:val="32"/>
          <w:lang w:val="en-US" w:eastAsia="zh-CN"/>
        </w:rPr>
      </w:pPr>
      <w:r>
        <w:rPr>
          <w:rFonts w:hint="eastAsia" w:ascii="仿宋_GB2312" w:eastAsia="仿宋_GB2312" w:cs="仿宋_GB2312"/>
          <w:color w:val="auto"/>
          <w:kern w:val="0"/>
          <w:sz w:val="32"/>
          <w:szCs w:val="32"/>
          <w:lang w:eastAsia="zh-CN"/>
        </w:rPr>
        <w:t>（十一）</w:t>
      </w:r>
      <w:r>
        <w:rPr>
          <w:rFonts w:hint="eastAsia" w:ascii="仿宋_GB2312" w:eastAsia="仿宋_GB2312" w:cs="仿宋_GB2312"/>
          <w:color w:val="auto"/>
          <w:kern w:val="0"/>
          <w:sz w:val="32"/>
          <w:szCs w:val="32"/>
        </w:rPr>
        <w:t>负责维护学校、师生的合法权益，有权拒绝任何组织和个人对教育教学活动进行非法干</w:t>
      </w:r>
      <w:r>
        <w:rPr>
          <w:rFonts w:hint="eastAsia" w:ascii="仿宋_GB2312" w:eastAsia="仿宋_GB2312" w:cs="仿宋_GB2312"/>
          <w:color w:val="auto"/>
          <w:kern w:val="0"/>
          <w:sz w:val="32"/>
          <w:szCs w:val="32"/>
          <w:lang w:val="en-US" w:eastAsia="zh-CN"/>
        </w:rPr>
        <w:t>忧。</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17" w:firstLineChars="193"/>
        <w:textAlignment w:val="auto"/>
        <w:outlineLvl w:val="9"/>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lang w:eastAsia="zh-CN"/>
        </w:rPr>
        <w:t>（十二）</w:t>
      </w:r>
      <w:r>
        <w:rPr>
          <w:rFonts w:hint="eastAsia" w:ascii="仿宋_GB2312" w:eastAsia="仿宋_GB2312" w:cs="仿宋_GB2312"/>
          <w:color w:val="auto"/>
          <w:kern w:val="0"/>
          <w:sz w:val="32"/>
          <w:szCs w:val="32"/>
        </w:rPr>
        <w:t>依法接受各级教育行政部门的检查指导和人民群众的监督</w:t>
      </w:r>
      <w:r>
        <w:rPr>
          <w:rFonts w:hint="eastAsia" w:ascii="仿宋_GB2312" w:eastAsia="仿宋_GB2312" w:cs="仿宋_GB2312"/>
          <w:color w:val="auto"/>
          <w:kern w:val="0"/>
          <w:sz w:val="32"/>
          <w:szCs w:val="32"/>
          <w:lang w:eastAsia="zh-CN"/>
        </w:rPr>
        <w:t>。</w:t>
      </w:r>
    </w:p>
    <w:p>
      <w:pPr>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二、部门决算单位构成</w:t>
      </w:r>
    </w:p>
    <w:p>
      <w:pPr>
        <w:ind w:firstLine="640" w:firstLineChars="200"/>
        <w:jc w:val="left"/>
        <w:rPr>
          <w:rFonts w:hint="eastAsia" w:ascii="宋体" w:hAnsi="宋体" w:eastAsia="宋体" w:cs="宋体"/>
          <w:b/>
          <w:bCs/>
          <w:color w:val="auto"/>
          <w:sz w:val="32"/>
          <w:szCs w:val="32"/>
        </w:rPr>
      </w:pP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lang w:val="en-US" w:eastAsia="zh-CN"/>
        </w:rPr>
        <w:t>一）</w:t>
      </w:r>
      <w:r>
        <w:rPr>
          <w:rFonts w:hint="eastAsia" w:ascii="宋体" w:hAnsi="宋体" w:eastAsia="宋体" w:cs="宋体"/>
          <w:b/>
          <w:bCs/>
          <w:color w:val="auto"/>
          <w:sz w:val="32"/>
          <w:szCs w:val="32"/>
          <w:lang w:eastAsia="zh-CN"/>
        </w:rPr>
        <w:t>机构设置情况</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val="en-US" w:eastAsia="zh-CN"/>
        </w:rPr>
        <w:t>学校</w:t>
      </w:r>
      <w:r>
        <w:rPr>
          <w:rFonts w:hint="eastAsia" w:ascii="仿宋_GB2312" w:hAnsi="宋体" w:eastAsia="仿宋_GB2312" w:cs="宋体"/>
          <w:color w:val="auto"/>
          <w:sz w:val="32"/>
          <w:szCs w:val="32"/>
          <w:lang w:eastAsia="zh-CN"/>
        </w:rPr>
        <w:t>有</w:t>
      </w:r>
      <w:r>
        <w:rPr>
          <w:rFonts w:hint="eastAsia" w:ascii="仿宋_GB2312" w:hAnsi="宋体" w:eastAsia="仿宋_GB2312" w:cs="宋体"/>
          <w:color w:val="auto"/>
          <w:sz w:val="32"/>
          <w:szCs w:val="32"/>
          <w:lang w:val="en-US" w:eastAsia="zh-CN"/>
        </w:rPr>
        <w:t>七</w:t>
      </w:r>
      <w:r>
        <w:rPr>
          <w:rFonts w:hint="eastAsia" w:ascii="仿宋_GB2312" w:hAnsi="宋体" w:eastAsia="仿宋_GB2312" w:cs="宋体"/>
          <w:color w:val="auto"/>
          <w:sz w:val="32"/>
          <w:szCs w:val="32"/>
          <w:lang w:eastAsia="zh-CN"/>
        </w:rPr>
        <w:t>个内设机构，分别为：党工委办公室、行政办公室、</w:t>
      </w:r>
      <w:r>
        <w:rPr>
          <w:rFonts w:hint="eastAsia" w:ascii="仿宋_GB2312" w:hAnsi="宋体" w:eastAsia="仿宋_GB2312" w:cs="宋体"/>
          <w:color w:val="auto"/>
          <w:sz w:val="32"/>
          <w:szCs w:val="32"/>
          <w:lang w:val="en-US" w:eastAsia="zh-CN"/>
        </w:rPr>
        <w:t>工会室、安全办、政教处、教务处、总务处</w:t>
      </w:r>
      <w:r>
        <w:rPr>
          <w:rFonts w:hint="eastAsia" w:ascii="仿宋_GB2312" w:hAnsi="宋体" w:eastAsia="仿宋_GB2312" w:cs="宋体"/>
          <w:color w:val="auto"/>
          <w:sz w:val="32"/>
          <w:szCs w:val="32"/>
          <w:lang w:eastAsia="zh-CN"/>
        </w:rPr>
        <w:t>。</w:t>
      </w:r>
    </w:p>
    <w:p>
      <w:pPr>
        <w:keepNext w:val="0"/>
        <w:keepLines w:val="0"/>
        <w:pageBreakBefore w:val="0"/>
        <w:kinsoku/>
        <w:wordWrap/>
        <w:overflowPunct/>
        <w:topLinePunct w:val="0"/>
        <w:autoSpaceDE/>
        <w:autoSpaceDN/>
        <w:bidi w:val="0"/>
        <w:adjustRightInd/>
        <w:snapToGrid/>
        <w:spacing w:line="440" w:lineRule="exact"/>
        <w:ind w:firstLine="643" w:firstLineChars="200"/>
        <w:textAlignment w:val="auto"/>
        <w:rPr>
          <w:rFonts w:hint="eastAsia" w:ascii="宋体" w:hAnsi="宋体" w:eastAsia="宋体" w:cs="宋体"/>
          <w:b/>
          <w:color w:val="auto"/>
          <w:sz w:val="32"/>
          <w:szCs w:val="32"/>
        </w:rPr>
      </w:pPr>
      <w:r>
        <w:rPr>
          <w:rFonts w:hint="eastAsia" w:ascii="宋体" w:hAnsi="宋体" w:eastAsia="宋体" w:cs="宋体"/>
          <w:b/>
          <w:color w:val="auto"/>
          <w:sz w:val="32"/>
          <w:szCs w:val="32"/>
          <w:lang w:eastAsia="zh-CN"/>
        </w:rPr>
        <w:t>（</w:t>
      </w:r>
      <w:r>
        <w:rPr>
          <w:rFonts w:hint="eastAsia" w:ascii="宋体" w:hAnsi="宋体" w:eastAsia="宋体" w:cs="宋体"/>
          <w:b/>
          <w:color w:val="auto"/>
          <w:sz w:val="32"/>
          <w:szCs w:val="32"/>
          <w:lang w:val="en-US" w:eastAsia="zh-CN"/>
        </w:rPr>
        <w:t>二）</w:t>
      </w:r>
      <w:r>
        <w:rPr>
          <w:rFonts w:hint="eastAsia" w:ascii="宋体" w:hAnsi="宋体" w:eastAsia="宋体" w:cs="宋体"/>
          <w:b/>
          <w:color w:val="auto"/>
          <w:sz w:val="32"/>
          <w:szCs w:val="32"/>
          <w:lang w:eastAsia="zh-CN"/>
        </w:rPr>
        <w:t>人员</w:t>
      </w:r>
      <w:r>
        <w:rPr>
          <w:rFonts w:hint="eastAsia" w:ascii="宋体" w:hAnsi="宋体" w:cs="宋体"/>
          <w:b/>
          <w:color w:val="auto"/>
          <w:sz w:val="32"/>
          <w:szCs w:val="32"/>
          <w:lang w:eastAsia="zh-CN"/>
        </w:rPr>
        <w:t>构成</w:t>
      </w:r>
      <w:r>
        <w:rPr>
          <w:rFonts w:hint="eastAsia" w:ascii="宋体" w:hAnsi="宋体" w:eastAsia="宋体" w:cs="宋体"/>
          <w:b/>
          <w:color w:val="auto"/>
          <w:sz w:val="32"/>
          <w:szCs w:val="32"/>
        </w:rPr>
        <w:t>情况</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640" w:firstLineChars="200"/>
        <w:textAlignment w:val="auto"/>
        <w:outlineLvl w:val="9"/>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20</w:t>
      </w:r>
      <w:r>
        <w:rPr>
          <w:rFonts w:hint="eastAsia" w:ascii="仿宋_GB2312" w:hAnsi="宋体" w:eastAsia="仿宋_GB2312" w:cs="宋体"/>
          <w:color w:val="auto"/>
          <w:sz w:val="32"/>
          <w:szCs w:val="32"/>
          <w:lang w:val="en-US" w:eastAsia="zh-CN"/>
        </w:rPr>
        <w:t>22</w:t>
      </w:r>
      <w:r>
        <w:rPr>
          <w:rFonts w:hint="eastAsia" w:ascii="仿宋_GB2312" w:hAnsi="宋体" w:eastAsia="仿宋_GB2312" w:cs="宋体"/>
          <w:color w:val="auto"/>
          <w:sz w:val="32"/>
          <w:szCs w:val="32"/>
          <w:lang w:eastAsia="zh-CN"/>
        </w:rPr>
        <w:t>年</w:t>
      </w:r>
      <w:r>
        <w:rPr>
          <w:rFonts w:hint="eastAsia" w:ascii="仿宋_GB2312" w:hAnsi="宋体" w:eastAsia="仿宋_GB2312" w:cs="宋体"/>
          <w:color w:val="auto"/>
          <w:sz w:val="32"/>
          <w:szCs w:val="32"/>
          <w:lang w:val="en-US" w:eastAsia="zh-CN"/>
        </w:rPr>
        <w:t>学校</w:t>
      </w:r>
      <w:r>
        <w:rPr>
          <w:rFonts w:hint="eastAsia" w:ascii="仿宋_GB2312" w:hAnsi="宋体" w:eastAsia="仿宋_GB2312" w:cs="宋体"/>
          <w:color w:val="auto"/>
          <w:sz w:val="32"/>
          <w:szCs w:val="32"/>
          <w:lang w:eastAsia="zh-CN"/>
        </w:rPr>
        <w:t>总编制人数</w:t>
      </w:r>
      <w:r>
        <w:rPr>
          <w:rFonts w:hint="eastAsia" w:ascii="仿宋_GB2312" w:hAnsi="宋体" w:eastAsia="仿宋_GB2312" w:cs="宋体"/>
          <w:color w:val="auto"/>
          <w:sz w:val="32"/>
          <w:szCs w:val="32"/>
          <w:lang w:val="en-US" w:eastAsia="zh-CN"/>
        </w:rPr>
        <w:t>47</w:t>
      </w:r>
      <w:r>
        <w:rPr>
          <w:rFonts w:hint="eastAsia" w:ascii="仿宋_GB2312" w:hAnsi="宋体" w:eastAsia="仿宋_GB2312" w:cs="宋体"/>
          <w:color w:val="auto"/>
          <w:sz w:val="32"/>
          <w:szCs w:val="32"/>
          <w:lang w:eastAsia="zh-CN"/>
        </w:rPr>
        <w:t>人，其中事业编制数</w:t>
      </w:r>
      <w:r>
        <w:rPr>
          <w:rFonts w:hint="eastAsia" w:ascii="仿宋_GB2312" w:hAnsi="宋体" w:eastAsia="仿宋_GB2312" w:cs="宋体"/>
          <w:color w:val="auto"/>
          <w:sz w:val="32"/>
          <w:szCs w:val="32"/>
          <w:lang w:val="en-US" w:eastAsia="zh-CN"/>
        </w:rPr>
        <w:t>42</w:t>
      </w:r>
      <w:r>
        <w:rPr>
          <w:rFonts w:hint="eastAsia" w:ascii="仿宋_GB2312" w:hAnsi="宋体" w:eastAsia="仿宋_GB2312" w:cs="宋体"/>
          <w:color w:val="auto"/>
          <w:sz w:val="32"/>
          <w:szCs w:val="32"/>
          <w:lang w:eastAsia="zh-CN"/>
        </w:rPr>
        <w:t>人</w:t>
      </w:r>
      <w:r>
        <w:rPr>
          <w:rFonts w:hint="eastAsia" w:ascii="仿宋_GB2312" w:hAnsi="宋体" w:eastAsia="仿宋_GB2312" w:cs="宋体"/>
          <w:color w:val="auto"/>
          <w:sz w:val="32"/>
          <w:szCs w:val="32"/>
          <w:lang w:val="en-US" w:eastAsia="zh-CN"/>
        </w:rPr>
        <w:t>，教师控制编制</w:t>
      </w:r>
      <w:r>
        <w:rPr>
          <w:rFonts w:hint="eastAsia" w:ascii="仿宋_GB2312" w:eastAsia="仿宋_GB2312"/>
          <w:color w:val="auto"/>
          <w:sz w:val="32"/>
          <w:szCs w:val="32"/>
        </w:rPr>
        <w:t>数</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人</w:t>
      </w:r>
      <w:r>
        <w:rPr>
          <w:rFonts w:hint="eastAsia" w:ascii="仿宋_GB2312" w:eastAsia="仿宋_GB2312"/>
          <w:color w:val="auto"/>
          <w:sz w:val="32"/>
          <w:szCs w:val="32"/>
          <w:lang w:eastAsia="zh-CN"/>
        </w:rPr>
        <w:t>；</w:t>
      </w:r>
      <w:r>
        <w:rPr>
          <w:rFonts w:hint="eastAsia" w:ascii="仿宋_GB2312" w:hAnsi="宋体" w:eastAsia="仿宋_GB2312" w:cs="宋体"/>
          <w:color w:val="auto"/>
          <w:sz w:val="32"/>
          <w:szCs w:val="32"/>
          <w:lang w:val="en-US" w:eastAsia="zh-CN"/>
        </w:rPr>
        <w:t>现</w:t>
      </w:r>
      <w:r>
        <w:rPr>
          <w:rFonts w:hint="eastAsia" w:ascii="仿宋_GB2312" w:hAnsi="宋体" w:eastAsia="仿宋_GB2312" w:cs="宋体"/>
          <w:color w:val="auto"/>
          <w:sz w:val="32"/>
          <w:szCs w:val="32"/>
          <w:lang w:eastAsia="zh-CN"/>
        </w:rPr>
        <w:t>事业在职</w:t>
      </w:r>
      <w:r>
        <w:rPr>
          <w:rFonts w:hint="eastAsia" w:ascii="仿宋_GB2312" w:hAnsi="宋体" w:eastAsia="仿宋_GB2312" w:cs="宋体"/>
          <w:color w:val="auto"/>
          <w:sz w:val="32"/>
          <w:szCs w:val="32"/>
          <w:lang w:val="en-US" w:eastAsia="zh-CN"/>
        </w:rPr>
        <w:t>37</w:t>
      </w:r>
      <w:r>
        <w:rPr>
          <w:rFonts w:hint="eastAsia" w:ascii="仿宋_GB2312" w:hAnsi="宋体" w:eastAsia="仿宋_GB2312" w:cs="宋体"/>
          <w:color w:val="auto"/>
          <w:sz w:val="32"/>
          <w:szCs w:val="32"/>
          <w:lang w:eastAsia="zh-CN"/>
        </w:rPr>
        <w:t>人，</w:t>
      </w:r>
      <w:r>
        <w:rPr>
          <w:rFonts w:hint="eastAsia" w:ascii="仿宋_GB2312" w:eastAsia="仿宋_GB2312"/>
          <w:color w:val="auto"/>
          <w:sz w:val="32"/>
          <w:szCs w:val="32"/>
        </w:rPr>
        <w:t>控制数</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人</w:t>
      </w:r>
      <w:r>
        <w:rPr>
          <w:rFonts w:hint="eastAsia" w:ascii="仿宋_GB2312" w:hAnsi="宋体" w:eastAsia="仿宋_GB2312" w:cs="宋体"/>
          <w:color w:val="auto"/>
          <w:sz w:val="32"/>
          <w:szCs w:val="32"/>
          <w:lang w:eastAsia="zh-CN"/>
        </w:rPr>
        <w:t>；退休人员</w:t>
      </w:r>
      <w:r>
        <w:rPr>
          <w:rFonts w:hint="eastAsia"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lang w:eastAsia="zh-CN"/>
        </w:rPr>
        <w:t>人，学校专职保安人员</w:t>
      </w:r>
      <w:r>
        <w:rPr>
          <w:rFonts w:hint="eastAsia" w:ascii="仿宋_GB2312" w:hAnsi="宋体" w:eastAsia="仿宋_GB2312" w:cs="宋体"/>
          <w:color w:val="auto"/>
          <w:sz w:val="32"/>
          <w:szCs w:val="32"/>
          <w:lang w:val="en-US" w:eastAsia="zh-CN"/>
        </w:rPr>
        <w:t>3</w:t>
      </w:r>
      <w:r>
        <w:rPr>
          <w:rFonts w:hint="eastAsia" w:ascii="仿宋_GB2312" w:hAnsi="宋体" w:eastAsia="仿宋_GB2312" w:cs="宋体"/>
          <w:color w:val="auto"/>
          <w:sz w:val="32"/>
          <w:szCs w:val="32"/>
          <w:lang w:eastAsia="zh-CN"/>
        </w:rPr>
        <w:t>人。</w:t>
      </w:r>
    </w:p>
    <w:p>
      <w:pPr>
        <w:jc w:val="center"/>
        <w:rPr>
          <w:rFonts w:hint="eastAsia" w:ascii="仿宋" w:hAnsi="仿宋" w:eastAsia="仿宋" w:cs="仿宋"/>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w:t>
      </w:r>
      <w:r>
        <w:rPr>
          <w:rFonts w:ascii="黑体" w:hAnsi="黑体" w:eastAsia="黑体" w:cs="黑体"/>
          <w:color w:val="auto"/>
          <w:sz w:val="32"/>
          <w:u w:color="auto"/>
        </w:rPr>
        <w:t>环江毛南族自治县第五小学</w:t>
      </w:r>
      <w:r>
        <w:rPr>
          <w:rFonts w:hint="eastAsia" w:ascii="黑体" w:hAnsi="黑体" w:eastAsia="黑体" w:cs="黑体"/>
          <w:color w:val="auto"/>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1786"/>
        <w:gridCol w:w="2190"/>
        <w:gridCol w:w="3317"/>
        <w:gridCol w:w="2202"/>
        <w:gridCol w:w="1902"/>
      </w:tblGrid>
      <w:tr>
        <w:tblPrEx>
          <w:tblCellMar>
            <w:top w:w="0" w:type="dxa"/>
            <w:left w:w="108" w:type="dxa"/>
            <w:bottom w:w="0" w:type="dxa"/>
            <w:right w:w="108" w:type="dxa"/>
          </w:tblCellMar>
        </w:tblPrEx>
        <w:trPr>
          <w:trHeight w:val="531"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表一：收入支出决算总表</w:t>
            </w:r>
          </w:p>
          <w:p>
            <w:pPr>
              <w:keepNext w:val="0"/>
              <w:keepLines w:val="0"/>
              <w:widowControl/>
              <w:suppressLineNumbers w:val="0"/>
              <w:spacing w:before="0" w:beforeAutospacing="0" w:after="0" w:afterAutospacing="0"/>
              <w:ind w:left="0" w:right="0" w:firstLine="6080" w:firstLineChars="1900"/>
              <w:jc w:val="both"/>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8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31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6519"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331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651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收入</w:t>
            </w:r>
          </w:p>
        </w:tc>
        <w:tc>
          <w:tcPr>
            <w:tcW w:w="7421"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一、一般公共预算财政拨款收入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711.86</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二、政府性基金预算财政拨款收入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三、国有资本经营预算财政拨款收入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四、上级补助收入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五、事业收入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5</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496.04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六、经营收入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七、附属单位上缴收入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八、其他收入</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62.23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10</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11</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12</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13</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14</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15</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16</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17</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18</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19</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46.85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20</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21</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22</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23</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98.09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24</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25</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26</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本年收入合计</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27</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711.86</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711.86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使用非财政拨款结余</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28</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年初结转和结余</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29</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color w:val="auto"/>
                <w:highlight w:val="none"/>
              </w:rPr>
            </w:pPr>
            <w:r>
              <w:rPr>
                <w:rFonts w:hint="eastAsia"/>
                <w:color w:val="auto"/>
                <w:highlight w:val="none"/>
              </w:rPr>
              <w:t>总计</w:t>
            </w:r>
          </w:p>
        </w:tc>
        <w:tc>
          <w:tcPr>
            <w:tcW w:w="178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31</w:t>
            </w:r>
          </w:p>
        </w:tc>
        <w:tc>
          <w:tcPr>
            <w:tcW w:w="21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711.86</w:t>
            </w:r>
          </w:p>
        </w:tc>
        <w:tc>
          <w:tcPr>
            <w:tcW w:w="33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711.86</w:t>
            </w:r>
          </w:p>
        </w:tc>
      </w:tr>
    </w:tbl>
    <w:p>
      <w:pPr>
        <w:rPr>
          <w:rFonts w:ascii="宋体" w:hAnsi="宋体" w:eastAsia="宋体" w:cs="宋体"/>
          <w:color w:val="auto"/>
          <w:kern w:val="0"/>
          <w:sz w:val="30"/>
          <w:szCs w:val="30"/>
          <w:highlight w:val="none"/>
          <w:lang w:bidi="ar"/>
        </w:rPr>
      </w:pPr>
      <w:r>
        <w:rPr>
          <w:rFonts w:hint="eastAsia" w:ascii="宋体" w:hAnsi="宋体" w:eastAsia="宋体" w:cs="宋体"/>
          <w:color w:val="auto"/>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Cs w:val="21"/>
                <w:highlight w:val="none"/>
              </w:rPr>
            </w:pPr>
            <w:r>
              <w:rPr>
                <w:rFonts w:hint="eastAsia" w:ascii="宋体" w:hAnsi="宋体" w:eastAsia="宋体" w:cs="宋体"/>
                <w:color w:val="auto"/>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711.86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711.86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496.04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496.04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496.04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496.04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477.90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477.90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62.23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62.23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46.85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46.85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98.09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98.09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98.09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98.09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98.09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98.09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注：本表反映部门本年度取得的各项收入情况。</w:t>
            </w:r>
          </w:p>
        </w:tc>
      </w:tr>
    </w:tbl>
    <w:p>
      <w:pPr>
        <w:jc w:val="center"/>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表三：支出决算表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711.86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693.13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18.73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496.04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477.32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18.73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496.04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477.32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18.73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477.90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474.25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3.66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18.14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3.07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15.07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62.23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62.23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62.23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62.23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46.85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46.85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46.85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46.85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98.09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98.09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98.09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98.09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98.09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98.09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注：本表反映部门本年度各项支出情况。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center"/>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表四：财政拨款收入支出决算总表</w:t>
      </w:r>
    </w:p>
    <w:p>
      <w:pPr>
        <w:jc w:val="left"/>
        <w:rPr>
          <w:rFonts w:hint="eastAsia" w:ascii="仿宋" w:hAnsi="仿宋" w:eastAsia="仿宋" w:cs="仿宋"/>
          <w:color w:val="auto"/>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711.86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8.66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8.66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496.04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496.04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62.23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62.23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46.85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46.85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98.09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98.09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711.86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711.86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711.86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711.86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711.86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711.86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0"/>
                <w:szCs w:val="20"/>
                <w:highlight w:val="none"/>
              </w:rPr>
            </w:pP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表五：一般公共预算财政拨款支出决算表</w:t>
      </w:r>
    </w:p>
    <w:p>
      <w:pPr>
        <w:jc w:val="left"/>
        <w:rPr>
          <w:rFonts w:hint="eastAsia" w:ascii="仿宋" w:hAnsi="仿宋" w:eastAsia="仿宋" w:cs="仿宋"/>
          <w:color w:val="auto"/>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default" w:ascii="宋体" w:hAnsi="宋体" w:eastAsia="宋体" w:cs="宋体"/>
                <w:b/>
                <w:bCs/>
                <w:color w:val="auto"/>
                <w:sz w:val="22"/>
                <w:szCs w:val="22"/>
                <w:highlight w:val="none"/>
              </w:rPr>
              <w:t>711.86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693.13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18.73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496.04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477.32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18.73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496.04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477.32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18.73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477.90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474.25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3.66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18.14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15.07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62.23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62.23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62.23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62.23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62.23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62.23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46.85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46.85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46.85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46.85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46.85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46.85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98.09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98.09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98.09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98.09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98.09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98.09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注：本表反映部门本年度一般公共预算财政拨款支出情况。</w:t>
            </w: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表六：一般公共预算财政拨款基本支出决算表</w:t>
      </w:r>
    </w:p>
    <w:p>
      <w:pPr>
        <w:jc w:val="left"/>
        <w:rPr>
          <w:rFonts w:hint="eastAsia" w:ascii="仿宋" w:hAnsi="仿宋" w:eastAsia="仿宋" w:cs="仿宋"/>
          <w:color w:val="auto"/>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621.71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48.85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234.61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15.00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16.02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135.82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94.71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62.23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3.80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27.38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0.29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3.50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46.85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14.35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22.58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18.30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4.28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8.66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auto"/>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644.29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sz w:val="22"/>
                <w:szCs w:val="22"/>
                <w:highlight w:val="none"/>
              </w:rPr>
            </w:pPr>
            <w:r>
              <w:rPr>
                <w:rFonts w:hint="default" w:ascii="宋体" w:hAnsi="宋体" w:eastAsia="宋体" w:cs="宋体"/>
                <w:color w:val="auto"/>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48.85</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注：本表反映部门本年度一般公共预算财政拨款基本支出明细情况。</w:t>
            </w:r>
          </w:p>
        </w:tc>
      </w:tr>
    </w:tbl>
    <w:p>
      <w:pPr>
        <w:jc w:val="left"/>
        <w:rPr>
          <w:rFonts w:ascii="仿宋" w:hAnsi="仿宋" w:eastAsia="仿宋" w:cs="仿宋"/>
          <w:color w:val="auto"/>
          <w:sz w:val="24"/>
          <w:highlight w:val="none"/>
        </w:rPr>
      </w:pPr>
    </w:p>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七</w:t>
      </w:r>
      <w:r>
        <w:rPr>
          <w:rFonts w:hint="eastAsia" w:ascii="仿宋" w:hAnsi="仿宋" w:eastAsia="仿宋" w:cs="仿宋"/>
          <w:color w:val="auto"/>
          <w:sz w:val="24"/>
          <w:highlight w:val="none"/>
        </w:rPr>
        <w:t>：政府性基金预算财政拨款收入支出决算表</w:t>
      </w:r>
    </w:p>
    <w:p>
      <w:pPr>
        <w:jc w:val="left"/>
        <w:rPr>
          <w:rFonts w:hint="eastAsia" w:ascii="仿宋" w:hAnsi="仿宋" w:eastAsia="仿宋" w:cs="仿宋"/>
          <w:color w:val="auto"/>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7</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color w:val="auto"/>
              </w:rPr>
            </w:pPr>
            <w:r>
              <w:rPr>
                <w:rFonts w:hint="eastAsia" w:ascii="宋体" w:hAnsi="宋体" w:eastAsia="宋体" w:cs="宋体"/>
                <w:color w:val="auto"/>
                <w:kern w:val="0"/>
                <w:sz w:val="22"/>
                <w:szCs w:val="22"/>
                <w:highlight w:val="none"/>
                <w:lang w:bidi="ar"/>
              </w:rPr>
              <w:t>注：本表反映部门本年度政府性基金预算财政拨款收入、支出及结转和结余情况。</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r>
              <w:rPr>
                <w:rFonts w:hint="eastAsia" w:ascii="Times New Roman" w:hAnsi="Times New Roman" w:eastAsia="宋体" w:cs="Times New Roman"/>
                <w:color w:val="auto"/>
                <w:kern w:val="2"/>
                <w:sz w:val="21"/>
                <w:szCs w:val="21"/>
                <w:lang w:val="en-US" w:eastAsia="zh-CN" w:bidi="ar"/>
              </w:rPr>
              <w:t xml:space="preserve"> </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bl>
    <w:p>
      <w:pPr>
        <w:rPr>
          <w:rFonts w:ascii="仿宋" w:hAnsi="仿宋" w:eastAsia="仿宋" w:cs="仿宋"/>
          <w:color w:val="auto"/>
          <w:sz w:val="24"/>
          <w:highlight w:val="none"/>
        </w:rPr>
      </w:pPr>
      <w:r>
        <w:rPr>
          <w:rFonts w:ascii="仿宋" w:hAnsi="仿宋" w:eastAsia="仿宋" w:cs="仿宋"/>
          <w:color w:val="auto"/>
          <w:sz w:val="24"/>
          <w:highlight w:val="none"/>
        </w:rPr>
        <w:br w:type="page"/>
      </w:r>
    </w:p>
    <w:p>
      <w:pPr>
        <w:jc w:val="left"/>
        <w:rPr>
          <w:rFonts w:ascii="仿宋" w:hAnsi="仿宋" w:eastAsia="仿宋" w:cs="仿宋"/>
          <w:color w:val="auto"/>
          <w:sz w:val="24"/>
          <w:highlight w:val="none"/>
        </w:rPr>
      </w:pPr>
    </w:p>
    <w:p>
      <w:pPr>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表</w:t>
      </w:r>
      <w:r>
        <w:rPr>
          <w:rFonts w:hint="eastAsia" w:ascii="仿宋" w:hAnsi="仿宋" w:eastAsia="仿宋" w:cs="仿宋"/>
          <w:color w:val="auto"/>
          <w:sz w:val="24"/>
          <w:highlight w:val="none"/>
          <w:lang w:val="en-US" w:eastAsia="zh-CN"/>
        </w:rPr>
        <w:t>八</w:t>
      </w:r>
      <w:r>
        <w:rPr>
          <w:rFonts w:hint="eastAsia" w:ascii="仿宋" w:hAnsi="仿宋" w:eastAsia="仿宋" w:cs="仿宋"/>
          <w:color w:val="auto"/>
          <w:sz w:val="24"/>
          <w:highlight w:val="none"/>
        </w:rPr>
        <w:t>：国有资本经营预算财政拨款支出决算表</w:t>
      </w:r>
    </w:p>
    <w:p>
      <w:pPr>
        <w:jc w:val="left"/>
        <w:rPr>
          <w:rFonts w:hint="eastAsia" w:ascii="仿宋" w:hAnsi="仿宋" w:eastAsia="仿宋" w:cs="仿宋"/>
          <w:color w:val="auto"/>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8</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auto"/>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auto"/>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p>
        </w:tc>
      </w:tr>
      <w:tr>
        <w:tblPrEx>
          <w:tblCellMar>
            <w:top w:w="0" w:type="dxa"/>
            <w:left w:w="108" w:type="dxa"/>
            <w:bottom w:w="0" w:type="dxa"/>
            <w:right w:w="108" w:type="dxa"/>
          </w:tblCellMar>
        </w:tblPrEx>
        <w:trPr>
          <w:gridAfter w:val="1"/>
          <w:wAfter w:w="17" w:type="dxa"/>
          <w:trHeight w:val="1200"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zh-CN"/>
              </w:rPr>
              <w:t>表九：</w:t>
            </w:r>
            <w:r>
              <w:rPr>
                <w:rFonts w:hint="eastAsia" w:ascii="仿宋" w:hAnsi="仿宋" w:eastAsia="仿宋" w:cs="仿宋"/>
                <w:color w:val="auto"/>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auto"/>
                <w:sz w:val="30"/>
                <w:szCs w:val="30"/>
                <w:highlight w:val="none"/>
              </w:rPr>
            </w:pPr>
            <w:r>
              <w:rPr>
                <w:rFonts w:hint="eastAsia" w:ascii="宋体" w:hAnsi="宋体" w:eastAsia="宋体" w:cs="宋体"/>
                <w:color w:val="auto"/>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公开0</w:t>
            </w:r>
            <w:r>
              <w:rPr>
                <w:rFonts w:hint="eastAsia" w:ascii="宋体" w:hAnsi="宋体" w:eastAsia="宋体" w:cs="宋体"/>
                <w:color w:val="auto"/>
                <w:kern w:val="0"/>
                <w:sz w:val="20"/>
                <w:szCs w:val="20"/>
                <w:highlight w:val="none"/>
                <w:lang w:val="en-US" w:eastAsia="zh-CN" w:bidi="ar"/>
              </w:rPr>
              <w:t>9</w:t>
            </w:r>
            <w:r>
              <w:rPr>
                <w:rFonts w:hint="eastAsia" w:ascii="宋体" w:hAnsi="宋体" w:eastAsia="宋体" w:cs="宋体"/>
                <w:color w:val="auto"/>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r>
              <w:rPr>
                <w:rFonts w:hint="eastAsia" w:ascii="宋体" w:hAnsi="宋体" w:eastAsia="宋体" w:cs="宋体"/>
                <w:color w:val="auto"/>
                <w:kern w:val="0"/>
                <w:sz w:val="20"/>
                <w:szCs w:val="20"/>
                <w:highlight w:val="none"/>
                <w:lang w:bidi="ar"/>
              </w:rPr>
              <w:t>部门：</w:t>
            </w:r>
            <w:r>
              <w:rPr>
                <w:rFonts w:hint="default" w:ascii="宋体" w:hAnsi="宋体" w:eastAsia="宋体" w:cs="宋体"/>
                <w:color w:val="auto"/>
                <w:sz w:val="20"/>
                <w:u w:color="auto"/>
              </w:rPr>
              <w:t>环江毛南族自治县第五小学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auto"/>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auto"/>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default" w:ascii="宋体" w:hAnsi="宋体" w:eastAsia="宋体" w:cs="宋体"/>
                <w:color w:val="auto"/>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auto"/>
                <w:sz w:val="22"/>
                <w:szCs w:val="22"/>
                <w:highlight w:val="none"/>
              </w:rPr>
            </w:pPr>
            <w:r>
              <w:rPr>
                <w:rFonts w:hint="eastAsia" w:ascii="宋体" w:hAnsi="宋体" w:eastAsia="宋体" w:cs="宋体"/>
                <w:color w:val="auto"/>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default"/>
                <w:color w:val="auto"/>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color w:val="auto"/>
                <w:highlight w:val="none"/>
              </w:rPr>
            </w:pPr>
            <w:r>
              <w:rPr>
                <w:rFonts w:hint="eastAsia" w:ascii="宋体" w:hAnsi="宋体" w:eastAsia="宋体" w:cs="宋体"/>
                <w:color w:val="auto"/>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color w:val="auto"/>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color w:val="auto"/>
          <w:sz w:val="24"/>
          <w:highlight w:val="none"/>
        </w:rPr>
      </w:pPr>
    </w:p>
    <w:p>
      <w:pPr>
        <w:jc w:val="center"/>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第三部分：</w:t>
      </w:r>
      <w:r>
        <w:rPr>
          <w:rFonts w:ascii="黑体" w:hAnsi="黑体" w:eastAsia="黑体" w:cs="黑体"/>
          <w:color w:val="auto"/>
          <w:sz w:val="32"/>
          <w:u w:color="auto"/>
        </w:rPr>
        <w:t>环江毛南族自治县第五小学</w:t>
      </w:r>
      <w:r>
        <w:rPr>
          <w:rFonts w:hint="eastAsia" w:ascii="黑体" w:hAnsi="黑体" w:eastAsia="黑体" w:cs="黑体"/>
          <w:color w:val="auto"/>
          <w:sz w:val="32"/>
          <w:szCs w:val="32"/>
          <w:highlight w:val="none"/>
        </w:rPr>
        <w:t>2022年度部门决算情况说明</w:t>
      </w:r>
    </w:p>
    <w:p>
      <w:pPr>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一、2022年度收入支出决算总体情况</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（一）本部门2022年度总收入</w:t>
      </w:r>
      <w:r>
        <w:rPr>
          <w:rFonts w:ascii="仿宋" w:hAnsi="仿宋" w:eastAsia="仿宋" w:cs="仿宋"/>
          <w:color w:val="auto"/>
          <w:sz w:val="32"/>
          <w:u w:color="auto"/>
        </w:rPr>
        <w:t>711.86</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减少69.92</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下降8.94%</w:t>
      </w:r>
      <w:r>
        <w:rPr>
          <w:rFonts w:hint="eastAsia" w:ascii="仿宋" w:hAnsi="仿宋" w:eastAsia="仿宋" w:cs="仿宋"/>
          <w:color w:val="auto"/>
          <w:sz w:val="32"/>
          <w:szCs w:val="32"/>
          <w:highlight w:val="none"/>
        </w:rPr>
        <w:t>，其中本年收入</w:t>
      </w:r>
      <w:r>
        <w:rPr>
          <w:rFonts w:ascii="仿宋" w:hAnsi="仿宋" w:eastAsia="仿宋" w:cs="仿宋"/>
          <w:color w:val="auto"/>
          <w:sz w:val="32"/>
          <w:u w:color="auto"/>
        </w:rPr>
        <w:t>711.86</w:t>
      </w:r>
      <w:r>
        <w:rPr>
          <w:rFonts w:hint="eastAsia" w:ascii="仿宋" w:hAnsi="仿宋" w:eastAsia="仿宋" w:cs="仿宋"/>
          <w:color w:val="auto"/>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1.一般公共预算财政拨款收入</w:t>
      </w:r>
      <w:r>
        <w:rPr>
          <w:rFonts w:ascii="仿宋" w:hAnsi="仿宋" w:eastAsia="仿宋" w:cs="仿宋"/>
          <w:color w:val="auto"/>
          <w:sz w:val="32"/>
          <w:u w:color="auto"/>
        </w:rPr>
        <w:t>711.86</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减少51.61</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下降6.76%</w:t>
      </w:r>
      <w:r>
        <w:rPr>
          <w:rFonts w:hint="eastAsia" w:ascii="仿宋" w:hAnsi="仿宋" w:eastAsia="仿宋" w:cs="仿宋"/>
          <w:color w:val="auto"/>
          <w:kern w:val="2"/>
          <w:sz w:val="32"/>
          <w:szCs w:val="32"/>
          <w:highlight w:val="none"/>
          <w:lang w:val="en-US" w:eastAsia="zh-CN" w:bidi="ar"/>
        </w:rPr>
        <w:t>，主要原因：学校校舍需要维修的项目不多，投入的资金比上年减少。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color w:val="auto"/>
          <w:kern w:val="2"/>
          <w:sz w:val="32"/>
          <w:szCs w:val="32"/>
          <w:highlight w:val="none"/>
          <w:lang w:val="en-US" w:eastAsia="zh-CN" w:bidi="ar"/>
        </w:rPr>
        <w:t>4.上级补助收入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减少</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w:t>
      </w:r>
      <w:r>
        <w:rPr>
          <w:rFonts w:hint="eastAsia" w:ascii="仿宋" w:hAnsi="仿宋" w:eastAsia="仿宋" w:cs="仿宋"/>
          <w:color w:val="auto"/>
          <w:sz w:val="32"/>
          <w:u w:color="auto"/>
          <w:lang w:val="en-US" w:eastAsia="zh-CN"/>
        </w:rPr>
        <w:t>0</w:t>
      </w:r>
      <w:r>
        <w:rPr>
          <w:rFonts w:ascii="仿宋" w:hAnsi="仿宋" w:eastAsia="仿宋" w:cs="仿宋"/>
          <w:color w:val="auto"/>
          <w:sz w:val="32"/>
          <w:u w:color="auto"/>
        </w:rPr>
        <w:t>%</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u w:color="auto"/>
          <w:lang w:eastAsia="zh-CN"/>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减少18.30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下降100.00%</w:t>
      </w:r>
      <w:r>
        <w:rPr>
          <w:rFonts w:hint="eastAsia" w:ascii="仿宋" w:hAnsi="仿宋" w:eastAsia="仿宋" w:cs="仿宋"/>
          <w:color w:val="auto"/>
          <w:kern w:val="2"/>
          <w:sz w:val="32"/>
          <w:szCs w:val="32"/>
          <w:highlight w:val="none"/>
          <w:lang w:val="en-US" w:eastAsia="zh-CN" w:bidi="ar"/>
        </w:rPr>
        <w:t>，主要原因：18.30万元是2020年末结转和结余资金，已在2021年度执行完毕。</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（二）本部门2022年度总支出</w:t>
      </w:r>
      <w:r>
        <w:rPr>
          <w:rFonts w:ascii="仿宋" w:hAnsi="仿宋" w:eastAsia="仿宋" w:cs="仿宋"/>
          <w:color w:val="auto"/>
          <w:sz w:val="32"/>
          <w:u w:color="auto"/>
        </w:rPr>
        <w:t>711.86</w:t>
      </w:r>
      <w:r>
        <w:rPr>
          <w:rFonts w:hint="eastAsia" w:ascii="仿宋" w:hAnsi="仿宋" w:eastAsia="仿宋" w:cs="仿宋"/>
          <w:color w:val="auto"/>
          <w:sz w:val="32"/>
          <w:szCs w:val="32"/>
          <w:highlight w:val="none"/>
        </w:rPr>
        <w:t>万元，其中本年支出</w:t>
      </w:r>
      <w:r>
        <w:rPr>
          <w:rFonts w:ascii="仿宋" w:hAnsi="仿宋" w:eastAsia="仿宋" w:cs="仿宋"/>
          <w:color w:val="auto"/>
          <w:sz w:val="32"/>
          <w:u w:color="auto"/>
        </w:rPr>
        <w:t>711.86</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减少69.92</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下降8.94%</w:t>
      </w:r>
      <w:r>
        <w:rPr>
          <w:rFonts w:hint="eastAsia" w:ascii="仿宋" w:hAnsi="仿宋" w:eastAsia="仿宋" w:cs="仿宋"/>
          <w:color w:val="auto"/>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1</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一般公共服务支出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8.66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学校教职工工会活动经费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增加8.66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主要原因是：年初无工会经费预算，在年中经费结算时才进行工会经费的调整预算。</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496.04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lang w:val="en-US" w:eastAsia="zh-CN"/>
        </w:rPr>
        <w:t>学校日常办公、水电费、网络费、日常维修、教师培训出差等经费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减少15.66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下降3.06%</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主要原因是：学校校舍需要维修的项目不多，投入的资金比上年减少，压缩经费支出，坚持执行“过紧日子”的思想。</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62.23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缴纳教职工养老、医疗、工伤、失业保险费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减少3.60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下降5.47%</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主要原因是：当年有3人退休，教职工人数减少，全年社会保障缴费比去年有了减少。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46.85</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缴纳教师住房公积金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增加11.17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增长31.31%</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主要原因是：2022年教师住房公积金缴纳基数比2021年有了提高。</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5</w:t>
      </w:r>
      <w:r>
        <w:rPr>
          <w:rFonts w:ascii="仿宋" w:hAnsi="仿宋" w:eastAsia="仿宋" w:cs="仿宋"/>
          <w:color w:val="auto"/>
          <w:sz w:val="32"/>
          <w:highlight w:val="none"/>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98.09</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olor w:val="auto"/>
          <w:sz w:val="30"/>
          <w:szCs w:val="30"/>
          <w:highlight w:val="none"/>
          <w:u w:val="none"/>
          <w:lang w:val="en-US" w:eastAsia="zh-CN"/>
        </w:rPr>
        <w:t>工资福利及对个人和家庭补助支出</w:t>
      </w:r>
      <w:r>
        <w:rPr>
          <w:rFonts w:hint="eastAsia" w:ascii="仿宋" w:hAnsi="仿宋" w:eastAsia="仿宋" w:cs="仿宋"/>
          <w:color w:val="auto"/>
          <w:sz w:val="30"/>
          <w:szCs w:val="30"/>
          <w:highlight w:val="none"/>
        </w:rPr>
        <w:t>。</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减少70.48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下降41.81%</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主要原因是：当年有3人退休，教职工人数减少。</w:t>
      </w: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eastAsia" w:ascii="仿宋_GB2312" w:hAnsi="微软雅黑" w:eastAsia="仿宋_GB2312" w:cs="仿宋_GB2312"/>
          <w:i w:val="0"/>
          <w:iCs w:val="0"/>
          <w:caps w:val="0"/>
          <w:color w:val="auto"/>
          <w:spacing w:val="0"/>
          <w:sz w:val="31"/>
          <w:szCs w:val="31"/>
          <w:highlight w:val="none"/>
          <w:shd w:val="clear" w:color="auto" w:fill="FFFFFF"/>
          <w:lang w:eastAsia="zh-CN"/>
        </w:rPr>
        <w:t>。</w:t>
      </w: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二、2022 年度</w:t>
      </w:r>
      <w:bookmarkStart w:id="2" w:name="OLE_LINK1"/>
      <w:r>
        <w:rPr>
          <w:rFonts w:hint="eastAsia" w:ascii="黑体" w:hAnsi="黑体" w:eastAsia="黑体" w:cs="黑体"/>
          <w:color w:val="auto"/>
          <w:sz w:val="32"/>
          <w:szCs w:val="32"/>
          <w:highlight w:val="none"/>
        </w:rPr>
        <w:t>一般公共预算财政拨款支出决算情况</w:t>
      </w:r>
      <w:bookmarkEnd w:id="2"/>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环江毛南族自治县第五小学2022年度一般公共预算财政拨款支出</w:t>
      </w:r>
      <w:r>
        <w:rPr>
          <w:rFonts w:ascii="仿宋" w:hAnsi="仿宋" w:eastAsia="仿宋" w:cs="仿宋"/>
          <w:color w:val="auto"/>
          <w:sz w:val="32"/>
          <w:u w:color="auto"/>
        </w:rPr>
        <w:t>711.86</w:t>
      </w:r>
      <w:r>
        <w:rPr>
          <w:rFonts w:hint="eastAsia" w:ascii="仿宋" w:hAnsi="仿宋" w:eastAsia="仿宋" w:cs="仿宋"/>
          <w:color w:val="auto"/>
          <w:sz w:val="32"/>
          <w:szCs w:val="32"/>
          <w:highlight w:val="none"/>
        </w:rPr>
        <w:t>万元，较2021年度决算数</w:t>
      </w:r>
      <w:r>
        <w:rPr>
          <w:rFonts w:ascii="仿宋" w:hAnsi="仿宋" w:eastAsia="仿宋" w:cs="仿宋"/>
          <w:color w:val="auto"/>
          <w:sz w:val="32"/>
          <w:u w:color="auto"/>
        </w:rPr>
        <w:t>减少69.92</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下降8.94%</w:t>
      </w:r>
      <w:r>
        <w:rPr>
          <w:rFonts w:hint="eastAsia" w:ascii="仿宋" w:hAnsi="仿宋" w:eastAsia="仿宋" w:cs="仿宋"/>
          <w:color w:val="auto"/>
          <w:sz w:val="32"/>
          <w:szCs w:val="32"/>
          <w:highlight w:val="none"/>
        </w:rPr>
        <w:t>。其中：基本支出</w:t>
      </w:r>
      <w:r>
        <w:rPr>
          <w:rFonts w:ascii="仿宋" w:hAnsi="仿宋" w:eastAsia="仿宋" w:cs="仿宋"/>
          <w:color w:val="auto"/>
          <w:sz w:val="32"/>
          <w:u w:color="auto"/>
        </w:rPr>
        <w:t>693.13</w:t>
      </w:r>
      <w:r>
        <w:rPr>
          <w:rFonts w:hint="eastAsia" w:ascii="仿宋" w:hAnsi="仿宋" w:eastAsia="仿宋" w:cs="仿宋"/>
          <w:color w:val="auto"/>
          <w:sz w:val="32"/>
          <w:szCs w:val="32"/>
          <w:highlight w:val="none"/>
        </w:rPr>
        <w:t>万元，项目支出</w:t>
      </w:r>
      <w:r>
        <w:rPr>
          <w:rFonts w:ascii="仿宋" w:hAnsi="仿宋" w:eastAsia="仿宋" w:cs="仿宋"/>
          <w:color w:val="auto"/>
          <w:sz w:val="32"/>
          <w:u w:color="auto"/>
        </w:rPr>
        <w:t>18.73</w:t>
      </w:r>
      <w:r>
        <w:rPr>
          <w:rFonts w:hint="eastAsia" w:ascii="仿宋" w:hAnsi="仿宋" w:eastAsia="仿宋" w:cs="仿宋"/>
          <w:color w:val="auto"/>
          <w:sz w:val="32"/>
          <w:szCs w:val="32"/>
          <w:highlight w:val="none"/>
        </w:rPr>
        <w:t>万元。</w:t>
      </w:r>
    </w:p>
    <w:p>
      <w:pPr>
        <w:ind w:firstLine="640" w:firstLineChars="200"/>
        <w:jc w:val="left"/>
        <w:rPr>
          <w:rFonts w:ascii="仿宋" w:hAnsi="仿宋" w:eastAsia="仿宋"/>
          <w:color w:val="auto"/>
          <w:sz w:val="32"/>
          <w:szCs w:val="32"/>
          <w:highlight w:val="none"/>
        </w:rPr>
      </w:pPr>
      <w:r>
        <w:rPr>
          <w:rFonts w:hint="eastAsia" w:ascii="仿宋" w:hAnsi="仿宋" w:eastAsia="仿宋" w:cs="仿宋"/>
          <w:color w:val="auto"/>
          <w:sz w:val="32"/>
          <w:szCs w:val="32"/>
          <w:highlight w:val="none"/>
        </w:rPr>
        <w:t>环江毛南族自治县第五小学2022 年度一般公共预算财政拨款支出年初预算为</w:t>
      </w:r>
      <w:r>
        <w:rPr>
          <w:rFonts w:ascii="仿宋" w:hAnsi="仿宋" w:eastAsia="仿宋" w:cs="仿宋"/>
          <w:color w:val="auto"/>
          <w:sz w:val="32"/>
          <w:u w:color="auto"/>
        </w:rPr>
        <w:t>550.23</w:t>
      </w:r>
      <w:r>
        <w:rPr>
          <w:rFonts w:hint="eastAsia" w:ascii="仿宋" w:hAnsi="仿宋" w:eastAsia="仿宋" w:cs="仿宋"/>
          <w:color w:val="auto"/>
          <w:sz w:val="32"/>
          <w:szCs w:val="32"/>
          <w:highlight w:val="none"/>
        </w:rPr>
        <w:t>万元，支出决算为</w:t>
      </w:r>
      <w:r>
        <w:rPr>
          <w:rFonts w:ascii="仿宋" w:hAnsi="仿宋" w:eastAsia="仿宋" w:cs="仿宋"/>
          <w:color w:val="auto"/>
          <w:sz w:val="32"/>
          <w:u w:color="auto"/>
        </w:rPr>
        <w:t>711.86</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129.37%</w:t>
      </w:r>
      <w:r>
        <w:rPr>
          <w:rFonts w:hint="eastAsia" w:ascii="仿宋" w:hAnsi="仿宋" w:eastAsia="仿宋" w:cs="仿宋"/>
          <w:color w:val="auto"/>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color w:val="auto"/>
          <w:sz w:val="32"/>
          <w:szCs w:val="32"/>
          <w:highlight w:val="none"/>
        </w:rPr>
        <w:t>一般公共服务支出</w:t>
      </w:r>
      <w:r>
        <w:rPr>
          <w:rFonts w:ascii="仿宋" w:hAnsi="仿宋" w:eastAsia="仿宋"/>
          <w:color w:val="auto"/>
          <w:sz w:val="32"/>
          <w:u w:color="auto"/>
        </w:rPr>
        <w:t>（201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8.66</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8.66</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8.66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420.38</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496.04</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118.00%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原因是：调整基本工资标准、岗位工资变动及正常晋薪工资的发放。</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420.38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477.90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113.68%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工资福利、商品服务、对个人和家庭补助支出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auto"/>
                <w:sz w:val="18"/>
                <w:szCs w:val="18"/>
                <w:highlight w:val="none"/>
                <w:lang w:val="en-US" w:eastAsia="zh-CN"/>
              </w:rPr>
              <w:t>调整基本工资标准、岗位工资变动及正常晋薪工资的发放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18.14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工资福利、商品服务、对个人和家庭补助支出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olor w:val="auto"/>
                <w:sz w:val="18"/>
                <w:szCs w:val="18"/>
                <w:highlight w:val="none"/>
                <w:lang w:val="en-US" w:eastAsia="zh-CN"/>
              </w:rPr>
              <w:t>调整基本工资标准、岗位工资变动及正常晋薪工资的发放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420.38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496.04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578100"/>
            <wp:effectExtent l="4445" t="4445" r="16510" b="825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suppressLineNumbers w:val="0"/>
        <w:spacing w:before="0" w:beforeAutospacing="0" w:after="0" w:afterAutospacing="0"/>
        <w:ind w:left="0" w:right="0" w:firstLine="640" w:firstLineChars="200"/>
        <w:jc w:val="left"/>
        <w:rPr>
          <w:rFonts w:hint="eastAsia"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三）</w:t>
      </w:r>
      <w:r>
        <w:rPr>
          <w:rFonts w:hint="eastAsia" w:ascii="仿宋" w:hAnsi="仿宋" w:eastAsia="仿宋"/>
          <w:color w:val="auto"/>
          <w:sz w:val="32"/>
          <w:szCs w:val="32"/>
          <w:highlight w:val="none"/>
        </w:rPr>
        <w:t>社会保障和就业支出</w:t>
      </w:r>
      <w:r>
        <w:rPr>
          <w:rFonts w:ascii="仿宋" w:hAnsi="仿宋" w:eastAsia="仿宋"/>
          <w:color w:val="auto"/>
          <w:sz w:val="32"/>
          <w:u w:color="auto"/>
        </w:rPr>
        <w:t>（208</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69.25</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62.23</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89.86%</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当年有3人退休，教职工人数减少，全年社会保障缴费年初预算有了减少。</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69.25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62.23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89.86%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缴纳教职工养老、医疗、工伤、失业保险费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8"/>
                <w:szCs w:val="18"/>
                <w:highlight w:val="none"/>
                <w:lang w:val="en-US" w:eastAsia="zh-CN" w:bidi="ar"/>
              </w:rPr>
              <w:t>教职工人数减少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69.25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62.23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387600"/>
            <wp:effectExtent l="4445" t="4445" r="16510"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住房保障支出</w:t>
      </w:r>
      <w:r>
        <w:rPr>
          <w:rFonts w:ascii="仿宋" w:hAnsi="仿宋" w:eastAsia="仿宋"/>
          <w:color w:val="auto"/>
          <w:sz w:val="32"/>
          <w:u w:color="auto"/>
        </w:rPr>
        <w:t>（221</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51.94</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46.85</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90.20%</w:t>
      </w:r>
      <w:r>
        <w:rPr>
          <w:rFonts w:hint="eastAsia" w:ascii="仿宋" w:hAnsi="仿宋" w:eastAsia="仿宋"/>
          <w:color w:val="auto"/>
          <w:sz w:val="32"/>
          <w:szCs w:val="32"/>
          <w:highlight w:val="none"/>
        </w:rPr>
        <w:t>。预决算</w:t>
      </w:r>
      <w:r>
        <w:rPr>
          <w:rFonts w:hint="eastAsia" w:ascii="仿宋" w:hAnsi="仿宋" w:eastAsia="仿宋"/>
          <w:color w:val="auto"/>
          <w:sz w:val="32"/>
          <w:szCs w:val="32"/>
          <w:highlight w:val="none"/>
          <w:lang w:val="en-US" w:eastAsia="zh-CN"/>
        </w:rPr>
        <w:t>存有</w:t>
      </w:r>
      <w:r>
        <w:rPr>
          <w:rFonts w:hint="eastAsia" w:ascii="仿宋" w:hAnsi="仿宋" w:eastAsia="仿宋"/>
          <w:color w:val="auto"/>
          <w:sz w:val="32"/>
          <w:szCs w:val="32"/>
          <w:highlight w:val="none"/>
        </w:rPr>
        <w:t>差异</w:t>
      </w:r>
      <w:r>
        <w:rPr>
          <w:rFonts w:hint="eastAsia" w:ascii="仿宋" w:hAnsi="仿宋" w:eastAsia="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当年有3人退休，教职工人数减少，全年住房保障缴费比去年有了减少</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51.94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46.85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90.20%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缴纳教师住房公积金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3人退休，缴费减少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51.94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46.85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auto"/>
          <w:highlight w:val="none"/>
          <w:lang w:val="en-US" w:eastAsia="zh-CN"/>
        </w:rPr>
      </w:pP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五）</w:t>
      </w:r>
      <w:r>
        <w:rPr>
          <w:rFonts w:hint="eastAsia" w:ascii="仿宋" w:hAnsi="仿宋" w:eastAsia="仿宋"/>
          <w:color w:val="auto"/>
          <w:sz w:val="32"/>
          <w:szCs w:val="32"/>
          <w:highlight w:val="none"/>
        </w:rPr>
        <w:t>其他支出</w:t>
      </w:r>
      <w:r>
        <w:rPr>
          <w:rFonts w:ascii="仿宋" w:hAnsi="仿宋" w:eastAsia="仿宋"/>
          <w:color w:val="auto"/>
          <w:sz w:val="32"/>
          <w:u w:color="auto"/>
        </w:rPr>
        <w:t>（229</w:t>
      </w:r>
      <w:r>
        <w:rPr>
          <w:rFonts w:hint="eastAsia" w:ascii="仿宋" w:hAnsi="仿宋" w:eastAsia="仿宋"/>
          <w:color w:val="auto"/>
          <w:sz w:val="32"/>
          <w:szCs w:val="32"/>
          <w:highlight w:val="none"/>
        </w:rPr>
        <w:t>类）年初预算为</w:t>
      </w:r>
      <w:r>
        <w:rPr>
          <w:rFonts w:ascii="仿宋" w:hAnsi="仿宋" w:eastAsia="仿宋"/>
          <w:color w:val="auto"/>
          <w:sz w:val="32"/>
          <w:szCs w:val="32"/>
          <w:highlight w:val="none"/>
        </w:rPr>
        <w:t>0.00</w:t>
      </w:r>
      <w:r>
        <w:rPr>
          <w:rFonts w:hint="eastAsia" w:ascii="仿宋" w:hAnsi="仿宋" w:eastAsia="仿宋"/>
          <w:color w:val="auto"/>
          <w:sz w:val="32"/>
          <w:szCs w:val="32"/>
          <w:highlight w:val="none"/>
        </w:rPr>
        <w:t>万元，支出决算为</w:t>
      </w:r>
      <w:r>
        <w:rPr>
          <w:rFonts w:ascii="仿宋" w:hAnsi="仿宋" w:eastAsia="仿宋"/>
          <w:color w:val="auto"/>
          <w:sz w:val="32"/>
          <w:szCs w:val="32"/>
          <w:highlight w:val="none"/>
        </w:rPr>
        <w:t>98.09</w:t>
      </w:r>
      <w:r>
        <w:rPr>
          <w:rFonts w:hint="eastAsia" w:ascii="仿宋" w:hAnsi="仿宋" w:eastAsia="仿宋"/>
          <w:color w:val="auto"/>
          <w:sz w:val="32"/>
          <w:szCs w:val="32"/>
          <w:highlight w:val="none"/>
        </w:rPr>
        <w:t>万元，完成年初预算的</w:t>
      </w:r>
      <w:r>
        <w:rPr>
          <w:rFonts w:ascii="仿宋" w:hAnsi="仿宋" w:eastAsia="仿宋"/>
          <w:color w:val="auto"/>
          <w:sz w:val="32"/>
          <w:szCs w:val="32"/>
          <w:highlight w:val="none"/>
        </w:rPr>
        <w:t>100.00%</w:t>
      </w:r>
      <w:r>
        <w:rPr>
          <w:rFonts w:hint="eastAsia" w:ascii="仿宋" w:hAnsi="仿宋" w:eastAsia="仿宋"/>
          <w:color w:val="auto"/>
          <w:sz w:val="32"/>
          <w:szCs w:val="32"/>
          <w:highlight w:val="none"/>
        </w:rPr>
        <w:t>。</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98.09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工资福利、对个人和家庭补助支出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98.09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color w:val="auto"/>
          <w:sz w:val="32"/>
          <w:szCs w:val="32"/>
          <w:highlight w:val="none"/>
        </w:rPr>
      </w:pPr>
    </w:p>
    <w:p>
      <w:pPr>
        <w:jc w:val="center"/>
        <w:rPr>
          <w:rFonts w:ascii="仿宋" w:hAnsi="仿宋" w:eastAsia="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三、2022年度一般公共预算财政拨款基本支出决算情况说明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环江毛南族自治县第五小学2022年度一般公共预算财政拨款基本支出</w:t>
      </w:r>
      <w:r>
        <w:rPr>
          <w:rFonts w:ascii="仿宋" w:hAnsi="仿宋" w:eastAsia="仿宋" w:cs="仿宋"/>
          <w:color w:val="auto"/>
          <w:sz w:val="32"/>
          <w:u w:color="auto"/>
        </w:rPr>
        <w:t>693.13</w:t>
      </w:r>
      <w:r>
        <w:rPr>
          <w:rFonts w:hint="eastAsia" w:ascii="仿宋" w:hAnsi="仿宋" w:eastAsia="仿宋" w:cs="仿宋"/>
          <w:color w:val="auto"/>
          <w:sz w:val="32"/>
          <w:szCs w:val="32"/>
          <w:highlight w:val="none"/>
        </w:rPr>
        <w:t>万元，</w:t>
      </w:r>
      <w:r>
        <w:rPr>
          <w:rFonts w:hint="default" w:ascii="仿宋_GB2312" w:hAnsi="微软雅黑" w:eastAsia="仿宋_GB2312" w:cs="仿宋_GB2312"/>
          <w:i w:val="0"/>
          <w:iCs w:val="0"/>
          <w:caps w:val="0"/>
          <w:color w:val="auto"/>
          <w:spacing w:val="0"/>
          <w:sz w:val="31"/>
          <w:szCs w:val="31"/>
          <w:highlight w:val="none"/>
          <w:shd w:val="clear" w:color="auto" w:fill="FFFFFF"/>
        </w:rPr>
        <w:t>其中：人员经费支出</w:t>
      </w:r>
      <w:r>
        <w:rPr>
          <w:rFonts w:hint="eastAsia" w:ascii="仿宋" w:hAnsi="仿宋" w:eastAsia="仿宋" w:cs="仿宋"/>
          <w:color w:val="auto"/>
          <w:sz w:val="32"/>
          <w:szCs w:val="32"/>
          <w:highlight w:val="none"/>
        </w:rPr>
        <w:t>644.29</w:t>
      </w:r>
      <w:r>
        <w:rPr>
          <w:rFonts w:hint="default" w:ascii="仿宋_GB2312" w:hAnsi="微软雅黑" w:eastAsia="仿宋_GB2312" w:cs="仿宋_GB2312"/>
          <w:i w:val="0"/>
          <w:iCs w:val="0"/>
          <w:caps w:val="0"/>
          <w:color w:val="auto"/>
          <w:spacing w:val="0"/>
          <w:sz w:val="31"/>
          <w:szCs w:val="31"/>
          <w:highlight w:val="none"/>
          <w:shd w:val="clear" w:color="auto" w:fill="FFFFFF"/>
        </w:rPr>
        <w:t>万元，公用经费支出</w:t>
      </w:r>
      <w:r>
        <w:rPr>
          <w:rFonts w:hint="eastAsia" w:ascii="仿宋" w:hAnsi="仿宋" w:eastAsia="仿宋" w:cs="仿宋"/>
          <w:color w:val="auto"/>
          <w:sz w:val="32"/>
          <w:szCs w:val="32"/>
          <w:highlight w:val="none"/>
        </w:rPr>
        <w:t>48.85</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 w:hAnsi="仿宋" w:eastAsia="仿宋" w:cs="仿宋"/>
          <w:color w:val="auto"/>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工资福利支出</w:t>
      </w:r>
      <w:r>
        <w:rPr>
          <w:rFonts w:ascii="仿宋" w:hAnsi="仿宋" w:eastAsia="仿宋" w:cs="仿宋"/>
          <w:color w:val="auto"/>
          <w:sz w:val="32"/>
          <w:u w:color="auto"/>
        </w:rPr>
        <w:t>621.71万元，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115.88%</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w:t>
      </w:r>
      <w:r>
        <w:rPr>
          <w:rFonts w:hint="eastAsia" w:ascii="仿宋" w:hAnsi="仿宋" w:eastAsia="仿宋"/>
          <w:color w:val="auto"/>
          <w:sz w:val="32"/>
          <w:szCs w:val="32"/>
          <w:highlight w:val="none"/>
          <w:lang w:val="en-US" w:eastAsia="zh-CN"/>
        </w:rPr>
        <w:t>调整基本工资标准、岗位工资变动及正常晋薪工资的发放。</w:t>
      </w:r>
    </w:p>
    <w:p>
      <w:pPr>
        <w:jc w:val="left"/>
        <w:rPr>
          <w:rFonts w:hint="default" w:ascii="仿宋" w:hAnsi="仿宋" w:eastAsia="仿宋" w:cs="仿宋"/>
          <w:color w:val="auto"/>
          <w:sz w:val="32"/>
          <w:szCs w:val="32"/>
          <w:highlight w:val="none"/>
          <w:lang w:val="en-US" w:eastAsia="zh-CN"/>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30101基本工资234.61万元，30102津贴补贴16.02万元，30103奖金135.82万元，30107绩效工资94.71万元，30108机关事业单位基本养老保险缴费62.23万元，30110职工基本医疗保险缴费27.38万元，30112其他社会保障缴费3.50万元，30113住房公积金46.85万元，30199其他工资福利支出0.60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商品和服务支出</w:t>
      </w:r>
      <w:r>
        <w:rPr>
          <w:rFonts w:ascii="仿宋" w:hAnsi="仿宋" w:eastAsia="仿宋" w:cs="仿宋"/>
          <w:color w:val="auto"/>
          <w:sz w:val="32"/>
          <w:u w:color="auto"/>
        </w:rPr>
        <w:t>48.85万元，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564.09%</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主要原因是：年中经费结算调整预算科目及金额。</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30201办公费15.00万元，30205水费3.14万元，30206电费3.80万元，30207邮电费3.12万元，30209物业管理费0.29万元，30211差旅费0.49万元，30213维修（护）费14.35万元，30228工会经费8.66万元。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对个人和家庭的补助</w:t>
      </w:r>
      <w:r>
        <w:rPr>
          <w:rFonts w:ascii="仿宋" w:hAnsi="仿宋" w:eastAsia="仿宋" w:cs="仿宋"/>
          <w:color w:val="auto"/>
          <w:sz w:val="32"/>
          <w:u w:color="auto"/>
        </w:rPr>
        <w:t>22.58万元，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610.27%</w:t>
      </w:r>
      <w:r>
        <w:rPr>
          <w:rFonts w:hint="default" w:ascii="仿宋_GB2312" w:hAnsi="微软雅黑" w:eastAsia="仿宋_GB2312" w:cs="仿宋_GB2312"/>
          <w:i w:val="0"/>
          <w:iCs w:val="0"/>
          <w:caps w:val="0"/>
          <w:color w:val="auto"/>
          <w:spacing w:val="0"/>
          <w:sz w:val="31"/>
          <w:szCs w:val="31"/>
          <w:highlight w:val="none"/>
          <w:shd w:val="clear" w:color="auto" w:fill="FFFFFF"/>
        </w:rPr>
        <w:t>，</w:t>
      </w:r>
      <w:r>
        <w:rPr>
          <w:rFonts w:hint="eastAsia" w:ascii="仿宋" w:hAnsi="仿宋" w:eastAsia="仿宋" w:cs="仿宋"/>
          <w:color w:val="auto"/>
          <w:sz w:val="32"/>
          <w:szCs w:val="32"/>
          <w:highlight w:val="none"/>
        </w:rPr>
        <w:t>（简要说明预决算差异）</w:t>
      </w:r>
      <w:r>
        <w:rPr>
          <w:rFonts w:hint="eastAsia" w:ascii="仿宋" w:hAnsi="仿宋" w:eastAsia="仿宋" w:cs="仿宋"/>
          <w:color w:val="auto"/>
          <w:kern w:val="2"/>
          <w:sz w:val="32"/>
          <w:szCs w:val="32"/>
          <w:highlight w:val="none"/>
          <w:lang w:val="en-US" w:eastAsia="zh-CN" w:bidi="ar"/>
        </w:rPr>
        <w:t>主要原因是：年中经费结算调整预算科目及金额。</w:t>
      </w:r>
      <w:r>
        <w:rPr>
          <w:rFonts w:hint="eastAsia" w:ascii="仿宋" w:hAnsi="仿宋" w:eastAsia="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30305生活补助18.30万元，30308助学金4.28万元。</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2806065"/>
            <wp:effectExtent l="4445" t="4445" r="16510" b="8890"/>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债务利息及费用支出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主要原因：无。</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color w:val="auto"/>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eastAsia" w:ascii="仿宋_GB2312" w:hAnsi="微软雅黑" w:eastAsia="仿宋_GB2312" w:cs="仿宋_GB2312"/>
          <w:i w:val="0"/>
          <w:iCs w:val="0"/>
          <w:caps w:val="0"/>
          <w:color w:val="auto"/>
          <w:spacing w:val="0"/>
          <w:sz w:val="31"/>
          <w:szCs w:val="31"/>
          <w:highlight w:val="none"/>
          <w:shd w:val="clear" w:color="auto" w:fill="FFFFFF"/>
          <w:lang w:eastAsia="zh-CN"/>
        </w:rPr>
        <w:t>。</w:t>
      </w:r>
      <w:r>
        <w:rPr>
          <w:rFonts w:hint="eastAsia" w:ascii="仿宋" w:hAnsi="仿宋" w:eastAsia="仿宋" w:cs="仿宋"/>
          <w:color w:val="auto"/>
          <w:sz w:val="32"/>
          <w:szCs w:val="32"/>
          <w:highlight w:val="none"/>
          <w:lang w:val="en-US" w:eastAsia="zh-CN"/>
        </w:rPr>
        <w:t>主要原因：无。</w:t>
      </w:r>
    </w:p>
    <w:p>
      <w:pPr>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其他支出</w:t>
      </w:r>
      <w:r>
        <w:rPr>
          <w:rFonts w:ascii="仿宋" w:hAnsi="仿宋" w:eastAsia="仿宋" w:cs="仿宋"/>
          <w:color w:val="auto"/>
          <w:sz w:val="32"/>
          <w:u w:color="auto"/>
        </w:rPr>
        <w:t>0.00万元，</w:t>
      </w:r>
      <w:r>
        <w:rPr>
          <w:rFonts w:hint="default" w:ascii="仿宋_GB2312" w:hAnsi="微软雅黑" w:eastAsia="仿宋_GB2312" w:cs="仿宋_GB2312"/>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主要原因：无。</w:t>
      </w:r>
    </w:p>
    <w:p>
      <w:pPr>
        <w:jc w:val="center"/>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环江毛南族自治县第五小学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五、2022年度国有资本经营预算支出决算情况</w:t>
      </w:r>
    </w:p>
    <w:p>
      <w:pPr>
        <w:ind w:firstLine="640" w:firstLineChars="200"/>
        <w:jc w:val="left"/>
        <w:rPr>
          <w:rFonts w:hint="eastAsia" w:ascii="仿宋" w:hAnsi="仿宋" w:eastAsia="仿宋_GB2312" w:cs="仿宋"/>
          <w:color w:val="auto"/>
          <w:sz w:val="32"/>
          <w:szCs w:val="32"/>
          <w:highlight w:val="none"/>
          <w:lang w:eastAsia="zh-CN"/>
        </w:rPr>
      </w:pPr>
      <w:bookmarkStart w:id="4" w:name="PO_part3A5B1C1DiffReason1"/>
      <w:r>
        <w:rPr>
          <w:rFonts w:hint="eastAsia" w:ascii="仿宋_GB2312" w:hAnsi="Times New Roman" w:eastAsia="仿宋_GB2312" w:cs="Times New Roman"/>
          <w:color w:val="auto"/>
          <w:sz w:val="32"/>
          <w:szCs w:val="32"/>
        </w:rPr>
        <w:t>环江毛南族自治县第五小学</w:t>
      </w:r>
      <w:r>
        <w:rPr>
          <w:rFonts w:ascii="仿宋_GB2312" w:hAnsi="仿宋_GB2312" w:eastAsia="仿宋_GB2312" w:cs="仿宋_GB2312"/>
          <w:color w:val="auto"/>
          <w:sz w:val="32"/>
          <w:u w:color="auto"/>
        </w:rPr>
        <w:t>没有国有资本经营预算收入，也没有国有资本经营</w:t>
      </w:r>
      <w:r>
        <w:rPr>
          <w:rFonts w:hint="eastAsia" w:ascii="仿宋_GB2312" w:hAnsi="仿宋_GB2312" w:eastAsia="仿宋_GB2312" w:cs="仿宋_GB2312"/>
          <w:color w:val="auto"/>
          <w:sz w:val="32"/>
          <w:u w:color="auto"/>
          <w:lang w:val="en-US" w:eastAsia="zh-CN"/>
        </w:rPr>
        <w:t>资金</w:t>
      </w:r>
      <w:r>
        <w:rPr>
          <w:rFonts w:hint="eastAsia" w:ascii="仿宋_GB2312" w:hAnsi="Times New Roman" w:eastAsia="仿宋_GB2312" w:cs="Times New Roman"/>
          <w:color w:val="auto"/>
          <w:sz w:val="32"/>
          <w:szCs w:val="32"/>
        </w:rPr>
        <w:t>安排的支出</w:t>
      </w:r>
      <w:bookmarkEnd w:id="4"/>
      <w:r>
        <w:rPr>
          <w:rFonts w:hint="eastAsia" w:ascii="仿宋_GB2312" w:hAnsi="Times New Roman" w:eastAsia="仿宋_GB2312" w:cs="Times New Roman"/>
          <w:color w:val="auto"/>
          <w:sz w:val="32"/>
          <w:szCs w:val="32"/>
          <w:lang w:eastAsia="zh-CN"/>
        </w:rPr>
        <w:t>。</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六、财政拨款“三公”经费支出决算情况说明</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ascii="仿宋_GB2312" w:hAnsi="仿宋_GB2312" w:eastAsia="仿宋_GB2312" w:cs="仿宋_GB2312"/>
          <w:color w:val="auto"/>
          <w:sz w:val="32"/>
          <w:u w:color="auto"/>
        </w:rPr>
        <w:t>没有</w:t>
      </w:r>
      <w:r>
        <w:rPr>
          <w:rFonts w:hint="eastAsia" w:ascii="仿宋_GB2312" w:hAnsi="仿宋_GB2312" w:eastAsia="仿宋_GB2312" w:cs="仿宋_GB2312"/>
          <w:color w:val="auto"/>
          <w:sz w:val="32"/>
          <w:u w:color="auto"/>
          <w:lang w:eastAsia="zh-CN"/>
        </w:rPr>
        <w:t>“</w:t>
      </w:r>
      <w:r>
        <w:rPr>
          <w:rFonts w:hint="eastAsia" w:ascii="仿宋_GB2312" w:hAnsi="仿宋_GB2312" w:eastAsia="仿宋_GB2312" w:cs="仿宋_GB2312"/>
          <w:color w:val="auto"/>
          <w:sz w:val="32"/>
          <w:u w:color="auto"/>
          <w:lang w:val="en-US" w:eastAsia="zh-CN"/>
        </w:rPr>
        <w:t>三公经费”</w:t>
      </w:r>
      <w:r>
        <w:rPr>
          <w:rFonts w:ascii="仿宋_GB2312" w:hAnsi="仿宋_GB2312" w:eastAsia="仿宋_GB2312" w:cs="仿宋_GB2312"/>
          <w:color w:val="auto"/>
          <w:sz w:val="32"/>
          <w:u w:color="auto"/>
        </w:rPr>
        <w:t>预算收入，也没有</w:t>
      </w:r>
      <w:r>
        <w:rPr>
          <w:rFonts w:hint="eastAsia" w:ascii="仿宋_GB2312" w:hAnsi="仿宋_GB2312" w:eastAsia="仿宋_GB2312" w:cs="仿宋_GB2312"/>
          <w:color w:val="auto"/>
          <w:sz w:val="32"/>
          <w:u w:color="auto"/>
          <w:lang w:eastAsia="zh-CN"/>
        </w:rPr>
        <w:t>“</w:t>
      </w:r>
      <w:r>
        <w:rPr>
          <w:rFonts w:hint="eastAsia" w:ascii="仿宋_GB2312" w:hAnsi="仿宋_GB2312" w:eastAsia="仿宋_GB2312" w:cs="仿宋_GB2312"/>
          <w:color w:val="auto"/>
          <w:sz w:val="32"/>
          <w:u w:color="auto"/>
          <w:lang w:val="en-US" w:eastAsia="zh-CN"/>
        </w:rPr>
        <w:t>三公经费”</w:t>
      </w:r>
      <w:r>
        <w:rPr>
          <w:rFonts w:hint="eastAsia" w:ascii="仿宋_GB2312" w:hAnsi="Times New Roman" w:eastAsia="仿宋_GB2312" w:cs="Times New Roman"/>
          <w:color w:val="auto"/>
          <w:sz w:val="32"/>
          <w:szCs w:val="32"/>
        </w:rPr>
        <w:t>安排的支出</w:t>
      </w:r>
      <w:r>
        <w:rPr>
          <w:rFonts w:hint="eastAsia" w:ascii="仿宋_GB2312" w:hAnsi="Times New Roman" w:eastAsia="仿宋_GB2312" w:cs="Times New Roman"/>
          <w:color w:val="auto"/>
          <w:sz w:val="32"/>
          <w:szCs w:val="32"/>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原因是：无。</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val="en-US" w:eastAsia="zh-CN"/>
          <w14:textFill>
            <w14:solidFill>
              <w14:schemeClr w14:val="tx1"/>
            </w14:solidFill>
          </w14:textFill>
        </w:rPr>
        <w:t>无。</w:t>
      </w:r>
      <w:r>
        <w:rPr>
          <w:rFonts w:hint="eastAsia" w:ascii="仿宋" w:hAnsi="仿宋" w:eastAsia="仿宋" w:cs="仿宋"/>
          <w:sz w:val="32"/>
          <w:szCs w:val="32"/>
          <w:highlight w:val="none"/>
        </w:rPr>
        <w:t>2022年，</w:t>
      </w:r>
      <w:r>
        <w:rPr>
          <w:rFonts w:hint="eastAsia" w:ascii="仿宋" w:hAnsi="仿宋" w:eastAsia="仿宋" w:cs="仿宋"/>
          <w:sz w:val="32"/>
          <w:u w:color="auto"/>
          <w:lang w:val="en-US" w:eastAsia="zh-CN"/>
        </w:rPr>
        <w:t>本部门</w:t>
      </w:r>
      <w:r>
        <w:rPr>
          <w:rFonts w:hint="eastAsia" w:ascii="仿宋" w:hAnsi="仿宋" w:eastAsia="仿宋" w:cs="仿宋"/>
          <w:sz w:val="32"/>
          <w:szCs w:val="32"/>
          <w:highlight w:val="none"/>
        </w:rPr>
        <w:t>及</w:t>
      </w:r>
      <w:r>
        <w:rPr>
          <w:rFonts w:hint="eastAsia" w:ascii="仿宋" w:hAnsi="仿宋" w:eastAsia="仿宋" w:cs="仿宋"/>
          <w:color w:val="000000" w:themeColor="text1"/>
          <w:sz w:val="32"/>
          <w:szCs w:val="32"/>
          <w:highlight w:val="none"/>
          <w:lang w:val="en-US" w:eastAsia="zh-CN"/>
          <w14:textFill>
            <w14:solidFill>
              <w14:schemeClr w14:val="tx1"/>
            </w14:solidFill>
          </w14:textFill>
        </w:rPr>
        <w:t>0个</w:t>
      </w:r>
      <w:r>
        <w:rPr>
          <w:rFonts w:hint="eastAsia" w:ascii="仿宋" w:hAnsi="仿宋" w:eastAsia="仿宋" w:cs="仿宋"/>
          <w:color w:val="000000" w:themeColor="text1"/>
          <w:sz w:val="32"/>
          <w:szCs w:val="32"/>
          <w:highlight w:val="none"/>
          <w14:textFill>
            <w14:solidFill>
              <w14:schemeClr w14:val="tx1"/>
            </w14:solidFill>
          </w14:textFill>
        </w:rPr>
        <w:t>所属</w:t>
      </w:r>
      <w:r>
        <w:rPr>
          <w:rFonts w:hint="eastAsia" w:ascii="仿宋" w:hAnsi="仿宋" w:eastAsia="仿宋" w:cs="仿宋"/>
          <w:sz w:val="32"/>
          <w:szCs w:val="32"/>
          <w:highlight w:val="none"/>
        </w:rPr>
        <w:t>单位开支财政拨款的公务用车保有量为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平均每辆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hint="eastAsia" w:ascii="仿宋_GB2312" w:hAnsi="Times New Roman" w:eastAsia="仿宋_GB2312" w:cs="Times New Roman"/>
          <w:color w:val="auto"/>
          <w:sz w:val="32"/>
          <w:szCs w:val="32"/>
          <w:lang w:eastAsia="zh-CN"/>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七、其他重要事项情况说明</w:t>
      </w:r>
    </w:p>
    <w:p>
      <w:pPr>
        <w:ind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本部门2022年度机关运行经费支出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w:t>
      </w:r>
      <w:r>
        <w:rPr>
          <w:rFonts w:hint="eastAsia" w:ascii="仿宋" w:hAnsi="仿宋" w:eastAsia="仿宋" w:cs="仿宋"/>
          <w:color w:val="auto"/>
          <w:sz w:val="32"/>
          <w:szCs w:val="32"/>
          <w:highlight w:val="none"/>
          <w:lang w:val="en-US" w:eastAsia="zh-CN"/>
        </w:rPr>
        <w:t>0.00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本部门</w:t>
      </w:r>
      <w:bookmarkStart w:id="5" w:name="_GoBack"/>
      <w:bookmarkEnd w:id="5"/>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机关运行经费支出</w:t>
      </w:r>
      <w:r>
        <w:rPr>
          <w:rFonts w:hint="eastAsia" w:ascii="仿宋" w:hAnsi="仿宋" w:eastAsia="仿宋" w:cs="仿宋"/>
          <w:color w:val="auto"/>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本部门2022年度政府采购支出总额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万元，其中：政府采购货物支出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万元、政府采购工程支出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万元、政府采购服务支出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万元。授予中小企业合同金额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万元，占政府采购支出总额的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，其中：授予小微企业合同金额</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万元，占授予中小企业合同金额的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（三）国有资产占用情况说明</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截至2022年12月31日，本部门共有车辆</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辆，其中：副部（省）级领导干部用车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辆、机要通信用车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辆、应急保障用车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辆、执法执勤用车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辆、特种专业技术用车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辆、其他用车</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辆；单位价值50万元以上通用设备</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台（套）；单位价值</w:t>
      </w:r>
      <w:r>
        <w:rPr>
          <w:rFonts w:hint="eastAsia" w:ascii="仿宋" w:hAnsi="仿宋" w:eastAsia="仿宋" w:cs="仿宋"/>
          <w:color w:val="auto"/>
          <w:sz w:val="32"/>
          <w:szCs w:val="32"/>
          <w:highlight w:val="none"/>
          <w:lang w:val="en-US" w:eastAsia="zh-CN"/>
        </w:rPr>
        <w:t>100万</w:t>
      </w:r>
      <w:r>
        <w:rPr>
          <w:rFonts w:hint="eastAsia" w:ascii="仿宋" w:hAnsi="仿宋" w:eastAsia="仿宋" w:cs="仿宋"/>
          <w:color w:val="auto"/>
          <w:sz w:val="32"/>
          <w:szCs w:val="32"/>
          <w:highlight w:val="none"/>
        </w:rPr>
        <w:t>元以上专用设备台（套）。</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个，</w:t>
      </w:r>
      <w:r>
        <w:rPr>
          <w:rFonts w:hint="eastAsia" w:ascii="仿宋" w:hAnsi="仿宋" w:eastAsia="仿宋" w:cs="仿宋"/>
          <w:color w:val="auto"/>
          <w:sz w:val="32"/>
          <w:szCs w:val="32"/>
          <w:lang w:val="en-US" w:eastAsia="zh-CN"/>
        </w:rPr>
        <w:t>三等项目1个，</w:t>
      </w:r>
      <w:r>
        <w:rPr>
          <w:rFonts w:hint="eastAsia" w:ascii="仿宋" w:hAnsi="仿宋" w:eastAsia="仿宋" w:cs="仿宋"/>
          <w:color w:val="auto"/>
          <w:sz w:val="32"/>
          <w:szCs w:val="32"/>
        </w:rPr>
        <w:t>共涉及资金</w:t>
      </w:r>
      <w:r>
        <w:rPr>
          <w:rFonts w:hint="eastAsia" w:ascii="仿宋" w:hAnsi="仿宋" w:eastAsia="仿宋" w:cs="仿宋"/>
          <w:color w:val="auto"/>
          <w:sz w:val="32"/>
          <w:szCs w:val="32"/>
          <w:lang w:val="en-US" w:eastAsia="zh-CN"/>
        </w:rPr>
        <w:t>391.79</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55.04</w:t>
      </w:r>
      <w:r>
        <w:rPr>
          <w:rFonts w:hint="eastAsia" w:ascii="仿宋" w:hAnsi="仿宋" w:eastAsia="仿宋" w:cs="仿宋"/>
          <w:color w:val="auto"/>
          <w:sz w:val="32"/>
          <w:szCs w:val="32"/>
        </w:rPr>
        <w:t>%。</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部门决算中项目绩效自评结果。</w:t>
      </w:r>
    </w:p>
    <w:p>
      <w:pPr>
        <w:numPr>
          <w:ilvl w:val="0"/>
          <w:numId w:val="0"/>
        </w:numPr>
        <w:ind w:firstLine="640" w:firstLineChars="200"/>
        <w:jc w:val="left"/>
        <w:rPr>
          <w:rFonts w:hint="eastAsia" w:ascii="仿宋" w:hAnsi="仿宋" w:eastAsia="仿宋" w:cs="仿宋"/>
          <w:b w:val="0"/>
          <w:bCs/>
          <w:sz w:val="32"/>
          <w:szCs w:val="32"/>
          <w:lang w:val="en-US" w:eastAsia="zh-CN"/>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我校对11个项目进行</w:t>
      </w:r>
      <w:r>
        <w:rPr>
          <w:rFonts w:hint="eastAsia" w:ascii="仿宋" w:hAnsi="仿宋" w:eastAsia="仿宋" w:cs="仿宋"/>
          <w:b w:val="0"/>
          <w:bCs/>
          <w:sz w:val="32"/>
          <w:szCs w:val="32"/>
        </w:rPr>
        <w:t>自评</w:t>
      </w:r>
      <w:r>
        <w:rPr>
          <w:rFonts w:hint="eastAsia" w:ascii="仿宋" w:hAnsi="仿宋" w:eastAsia="仿宋" w:cs="仿宋"/>
          <w:b w:val="0"/>
          <w:bCs/>
          <w:sz w:val="32"/>
          <w:szCs w:val="32"/>
          <w:lang w:eastAsia="zh-CN"/>
        </w:rPr>
        <w:t>，</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有5个，95.80分1个，95.10分1个，90分1个，82.86分1个，82.58分1个，72.52分1个。</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3.发现的主要问题及原因。</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学校的相关制度还不够健全，</w:t>
      </w:r>
      <w:r>
        <w:rPr>
          <w:rFonts w:hint="eastAsia" w:ascii="仿宋" w:hAnsi="仿宋" w:eastAsia="仿宋" w:cs="仿宋"/>
          <w:sz w:val="32"/>
          <w:szCs w:val="32"/>
        </w:rPr>
        <w:t>报账材料整理比较慢，不能及时支付</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在项目实施方面还需要不断完善。</w:t>
      </w:r>
    </w:p>
    <w:p>
      <w:pPr>
        <w:numPr>
          <w:ilvl w:val="0"/>
          <w:numId w:val="0"/>
        </w:num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4.下一步改进的措施。</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000000" w:themeColor="text1"/>
          <w:sz w:val="32"/>
          <w:szCs w:val="32"/>
          <w:lang w:val="en-US" w:eastAsia="zh-CN"/>
          <w14:textFill>
            <w14:solidFill>
              <w14:schemeClr w14:val="tx1"/>
            </w14:solidFill>
          </w14:textFill>
        </w:rPr>
        <w:t>组织制定完善相关</w:t>
      </w:r>
      <w:r>
        <w:rPr>
          <w:rFonts w:hint="eastAsia" w:ascii="仿宋" w:hAnsi="仿宋" w:eastAsia="仿宋" w:cs="仿宋"/>
          <w:sz w:val="32"/>
          <w:szCs w:val="32"/>
        </w:rPr>
        <w:t>管理制度</w:t>
      </w:r>
      <w:r>
        <w:rPr>
          <w:rFonts w:hint="eastAsia" w:ascii="仿宋" w:hAnsi="仿宋" w:eastAsia="仿宋" w:cs="仿宋"/>
          <w:sz w:val="32"/>
          <w:szCs w:val="32"/>
          <w:lang w:eastAsia="zh-CN"/>
        </w:rPr>
        <w:t>，</w:t>
      </w:r>
      <w:r>
        <w:rPr>
          <w:rFonts w:hint="eastAsia" w:ascii="仿宋" w:hAnsi="仿宋" w:eastAsia="仿宋" w:cs="仿宋"/>
          <w:sz w:val="32"/>
          <w:szCs w:val="32"/>
        </w:rPr>
        <w:t>完善项目实施</w:t>
      </w:r>
      <w:r>
        <w:rPr>
          <w:rFonts w:hint="eastAsia" w:ascii="仿宋" w:hAnsi="仿宋" w:eastAsia="仿宋" w:cs="仿宋"/>
          <w:sz w:val="32"/>
          <w:szCs w:val="32"/>
          <w:lang w:val="en-US" w:eastAsia="zh-CN"/>
        </w:rPr>
        <w:t>方案</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项目完成后，及时收集</w:t>
      </w:r>
      <w:r>
        <w:rPr>
          <w:rFonts w:hint="eastAsia" w:ascii="仿宋" w:hAnsi="仿宋" w:eastAsia="仿宋" w:cs="仿宋"/>
          <w:sz w:val="32"/>
          <w:szCs w:val="32"/>
        </w:rPr>
        <w:t>报账材料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及时支付</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auto"/>
          <w:sz w:val="32"/>
          <w:szCs w:val="32"/>
          <w:lang w:val="en-US" w:eastAsia="zh-CN"/>
        </w:rPr>
        <w:t>通过这次自评，进一步提高了我单位的绩效管理水平，更加认识了绩效对部门综合管理提升的重要性，自评结果将用于2022年及以后年度编制部门预算的重要参考和日常管理的标靶，吸取经验，改进工作，让工作与绩效目标匹配，让成果与工作推进互动。</w:t>
      </w:r>
    </w:p>
    <w:p>
      <w:pPr>
        <w:numPr>
          <w:ilvl w:val="0"/>
          <w:numId w:val="0"/>
        </w:numPr>
        <w:jc w:val="left"/>
        <w:rPr>
          <w:rFonts w:hint="default" w:ascii="仿宋" w:hAnsi="仿宋" w:eastAsia="仿宋" w:cs="仿宋"/>
          <w:color w:val="auto"/>
          <w:sz w:val="32"/>
          <w:szCs w:val="32"/>
          <w:lang w:val="en-US" w:eastAsia="zh-CN"/>
        </w:rPr>
      </w:pPr>
    </w:p>
    <w:p>
      <w:pPr>
        <w:jc w:val="center"/>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一、财政拨款收入：指</w:t>
      </w:r>
      <w:r>
        <w:rPr>
          <w:rFonts w:ascii="仿宋" w:hAnsi="仿宋" w:eastAsia="仿宋" w:cs="仿宋"/>
          <w:color w:val="auto"/>
          <w:sz w:val="32"/>
          <w:u w:color="auto"/>
        </w:rPr>
        <w:t>环江毛南族自治县财政部门当年拨付的资金。</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二、事业收入：指事业单位开展专业业务活动及辅助活动所取得的收入。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四、其他收入：指除上述“财政拨款收入”“事业收入”“经营收入”等以外的收入。</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六、年初结转和结余：指以前年度尚未完成、结转到本年 按有关规定继续使用的资金</w:t>
      </w:r>
      <w:r>
        <w:rPr>
          <w:rFonts w:hint="eastAsia" w:ascii="仿宋" w:hAnsi="仿宋" w:eastAsia="仿宋" w:cs="仿宋"/>
          <w:color w:val="auto"/>
          <w:sz w:val="32"/>
          <w:szCs w:val="32"/>
          <w:highlight w:val="none"/>
          <w:lang w:eastAsia="zh-CN"/>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十二、“三公”经费：纳入</w:t>
      </w:r>
      <w:r>
        <w:rPr>
          <w:rFonts w:ascii="仿宋" w:hAnsi="仿宋" w:eastAsia="仿宋" w:cs="仿宋"/>
          <w:color w:val="auto"/>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134" w:right="1134" w:bottom="1417" w:left="1134" w:header="851" w:footer="992" w:gutter="0"/>
      <w:cols w:space="0" w:num="1"/>
      <w:rtlGutter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CBF64D0A"/>
    <w:multiLevelType w:val="singleLevel"/>
    <w:tmpl w:val="CBF64D0A"/>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xMjdkYjc1ZjBlMjY1ODlmYWQ5MjExZmZhY2MyZj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39BF"/>
    <w:rsid w:val="00AA78EE"/>
    <w:rsid w:val="00AB53E1"/>
    <w:rsid w:val="00AE5F66"/>
    <w:rsid w:val="00B07A0B"/>
    <w:rsid w:val="00B22F28"/>
    <w:rsid w:val="00B37453"/>
    <w:rsid w:val="00B45479"/>
    <w:rsid w:val="00B60171"/>
    <w:rsid w:val="00B837AC"/>
    <w:rsid w:val="00BB4FB8"/>
    <w:rsid w:val="00BD315D"/>
    <w:rsid w:val="00C3279E"/>
    <w:rsid w:val="00C34857"/>
    <w:rsid w:val="00CA2E26"/>
    <w:rsid w:val="00CB4C70"/>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7C4CFB"/>
    <w:rsid w:val="020C171D"/>
    <w:rsid w:val="0216715F"/>
    <w:rsid w:val="02E0291A"/>
    <w:rsid w:val="039D7B38"/>
    <w:rsid w:val="045F21E3"/>
    <w:rsid w:val="04E54546"/>
    <w:rsid w:val="05992762"/>
    <w:rsid w:val="07B0770E"/>
    <w:rsid w:val="0942143F"/>
    <w:rsid w:val="0D100297"/>
    <w:rsid w:val="0D202B45"/>
    <w:rsid w:val="0DA64DE5"/>
    <w:rsid w:val="0F8D4C87"/>
    <w:rsid w:val="10505FAA"/>
    <w:rsid w:val="105F7E7E"/>
    <w:rsid w:val="10FB40F0"/>
    <w:rsid w:val="11E56B5B"/>
    <w:rsid w:val="125C77AB"/>
    <w:rsid w:val="12A33009"/>
    <w:rsid w:val="14CB726E"/>
    <w:rsid w:val="17E92249"/>
    <w:rsid w:val="18D304F1"/>
    <w:rsid w:val="19996254"/>
    <w:rsid w:val="19DD25E4"/>
    <w:rsid w:val="19F32577"/>
    <w:rsid w:val="19F45B80"/>
    <w:rsid w:val="1B0C078D"/>
    <w:rsid w:val="1B2B31E2"/>
    <w:rsid w:val="1B4C295A"/>
    <w:rsid w:val="1B973C63"/>
    <w:rsid w:val="1BA1001E"/>
    <w:rsid w:val="1D317259"/>
    <w:rsid w:val="1E664F5B"/>
    <w:rsid w:val="1EB34BE1"/>
    <w:rsid w:val="215E639F"/>
    <w:rsid w:val="218477E9"/>
    <w:rsid w:val="2186530F"/>
    <w:rsid w:val="21A22199"/>
    <w:rsid w:val="21EC3183"/>
    <w:rsid w:val="225E72CD"/>
    <w:rsid w:val="235A6A54"/>
    <w:rsid w:val="246E2F77"/>
    <w:rsid w:val="254B4E2B"/>
    <w:rsid w:val="25590DF8"/>
    <w:rsid w:val="283D7C94"/>
    <w:rsid w:val="29480E03"/>
    <w:rsid w:val="2983634D"/>
    <w:rsid w:val="2BB02055"/>
    <w:rsid w:val="2C575A56"/>
    <w:rsid w:val="2E9C01F9"/>
    <w:rsid w:val="2E9C43C4"/>
    <w:rsid w:val="2F257714"/>
    <w:rsid w:val="2F3275E5"/>
    <w:rsid w:val="30AA08EF"/>
    <w:rsid w:val="30D23D1C"/>
    <w:rsid w:val="31221CF5"/>
    <w:rsid w:val="31400178"/>
    <w:rsid w:val="321E3342"/>
    <w:rsid w:val="32290665"/>
    <w:rsid w:val="327759C8"/>
    <w:rsid w:val="32EC37F0"/>
    <w:rsid w:val="33185FE3"/>
    <w:rsid w:val="34EE2E36"/>
    <w:rsid w:val="36777241"/>
    <w:rsid w:val="371E78D5"/>
    <w:rsid w:val="37507DAA"/>
    <w:rsid w:val="38A951DB"/>
    <w:rsid w:val="38B31605"/>
    <w:rsid w:val="39003F4F"/>
    <w:rsid w:val="3C07002B"/>
    <w:rsid w:val="3D0D152A"/>
    <w:rsid w:val="3D4A5933"/>
    <w:rsid w:val="3DF62756"/>
    <w:rsid w:val="3F1B7587"/>
    <w:rsid w:val="41E57B4F"/>
    <w:rsid w:val="43217136"/>
    <w:rsid w:val="432F26F6"/>
    <w:rsid w:val="43880F63"/>
    <w:rsid w:val="43AC3821"/>
    <w:rsid w:val="441C5A6F"/>
    <w:rsid w:val="44C44FCC"/>
    <w:rsid w:val="44CC7369"/>
    <w:rsid w:val="44E421C9"/>
    <w:rsid w:val="457F5108"/>
    <w:rsid w:val="46951B6B"/>
    <w:rsid w:val="49A34401"/>
    <w:rsid w:val="4A3E30AB"/>
    <w:rsid w:val="4AC14DAC"/>
    <w:rsid w:val="4D154C85"/>
    <w:rsid w:val="4EB35ECE"/>
    <w:rsid w:val="4FFA4F97"/>
    <w:rsid w:val="508F4E24"/>
    <w:rsid w:val="51461E90"/>
    <w:rsid w:val="51463753"/>
    <w:rsid w:val="52553A93"/>
    <w:rsid w:val="53521F8B"/>
    <w:rsid w:val="53E22F47"/>
    <w:rsid w:val="54522FF8"/>
    <w:rsid w:val="55450629"/>
    <w:rsid w:val="56692963"/>
    <w:rsid w:val="568B0F48"/>
    <w:rsid w:val="5786217B"/>
    <w:rsid w:val="59337A15"/>
    <w:rsid w:val="59810274"/>
    <w:rsid w:val="5C3B671B"/>
    <w:rsid w:val="5CA96A00"/>
    <w:rsid w:val="5CF730BC"/>
    <w:rsid w:val="5DBE5856"/>
    <w:rsid w:val="5E5F0DCE"/>
    <w:rsid w:val="5E766130"/>
    <w:rsid w:val="5EB10F16"/>
    <w:rsid w:val="5EE83671"/>
    <w:rsid w:val="5FA40A7B"/>
    <w:rsid w:val="5FD56D29"/>
    <w:rsid w:val="5FEC7F3F"/>
    <w:rsid w:val="60F74BC3"/>
    <w:rsid w:val="617D3BF8"/>
    <w:rsid w:val="61841F6A"/>
    <w:rsid w:val="623007A9"/>
    <w:rsid w:val="637D7558"/>
    <w:rsid w:val="644F19AC"/>
    <w:rsid w:val="65AA4920"/>
    <w:rsid w:val="65E31D0B"/>
    <w:rsid w:val="67694F1E"/>
    <w:rsid w:val="69597934"/>
    <w:rsid w:val="6B0625EA"/>
    <w:rsid w:val="6B964DDC"/>
    <w:rsid w:val="6C783074"/>
    <w:rsid w:val="6D9E65C6"/>
    <w:rsid w:val="6DA81947"/>
    <w:rsid w:val="6EB66DE2"/>
    <w:rsid w:val="6ED3075F"/>
    <w:rsid w:val="6F2A2D4B"/>
    <w:rsid w:val="6F8A0C1E"/>
    <w:rsid w:val="703F45D4"/>
    <w:rsid w:val="715D6546"/>
    <w:rsid w:val="71BE069E"/>
    <w:rsid w:val="73953409"/>
    <w:rsid w:val="73E069A3"/>
    <w:rsid w:val="7431692A"/>
    <w:rsid w:val="755F40C0"/>
    <w:rsid w:val="760F4A49"/>
    <w:rsid w:val="77BFC92E"/>
    <w:rsid w:val="78104AA8"/>
    <w:rsid w:val="78E257C5"/>
    <w:rsid w:val="794B35BE"/>
    <w:rsid w:val="7B0A3A31"/>
    <w:rsid w:val="7B3360ED"/>
    <w:rsid w:val="7BDF037E"/>
    <w:rsid w:val="7BF50948"/>
    <w:rsid w:val="7CE66A78"/>
    <w:rsid w:val="7D23564C"/>
    <w:rsid w:val="7D5E062D"/>
    <w:rsid w:val="7DF76CD8"/>
    <w:rsid w:val="7F265690"/>
    <w:rsid w:val="7F695C26"/>
    <w:rsid w:val="7FC44AF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11"/>
    <w:basedOn w:val="8"/>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711.86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18.3</c:v>
                </c:pt>
                <c:pt idx="5">
                  <c:v>0</c:v>
                </c:pt>
                <c:pt idx="6">
                  <c:v>0</c:v>
                </c:pt>
                <c:pt idx="7">
                  <c:v>4.28</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511.7</c:v>
                </c:pt>
                <c:pt idx="2">
                  <c:v>65.83</c:v>
                </c:pt>
                <c:pt idx="3">
                  <c:v>35.68</c:v>
                </c:pt>
                <c:pt idx="4">
                  <c:v>168.57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8.66</c:v>
                </c:pt>
                <c:pt idx="1">
                  <c:v>496.04</c:v>
                </c:pt>
                <c:pt idx="2">
                  <c:v>62.23</c:v>
                </c:pt>
                <c:pt idx="3">
                  <c:v>46.85</c:v>
                </c:pt>
                <c:pt idx="4">
                  <c:v>98.09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8.66</c:v>
                </c:pt>
                <c:pt idx="1">
                  <c:v>8.66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2050202</c:v>
                </c:pt>
                <c:pt idx="1">
                  <c:v>2050299</c:v>
                </c:pt>
                <c:pt idx="2">
                  <c:v>205x</c:v>
                </c:pt>
              </c:strCache>
            </c:strRef>
          </c:cat>
          <c:val>
            <c:numRef>
              <c:f>Sheet1!$B$2:$B$4</c:f>
              <c:numCache>
                <c:formatCode>General</c:formatCode>
                <c:ptCount val="3"/>
                <c:pt idx="0">
                  <c:v>477.9</c:v>
                </c:pt>
                <c:pt idx="1">
                  <c:v>18.14</c:v>
                </c:pt>
                <c:pt idx="2">
                  <c:v>496.04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62.23</c:v>
                </c:pt>
                <c:pt idx="1">
                  <c:v>62.23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46.85</c:v>
                </c:pt>
                <c:pt idx="1">
                  <c:v>46.85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98.09</c:v>
                </c:pt>
                <c:pt idx="1">
                  <c:v>98.09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234.61</c:v>
                </c:pt>
                <c:pt idx="1">
                  <c:v>16.02</c:v>
                </c:pt>
                <c:pt idx="2">
                  <c:v>135.82</c:v>
                </c:pt>
                <c:pt idx="3">
                  <c:v>0</c:v>
                </c:pt>
                <c:pt idx="4">
                  <c:v>94.71</c:v>
                </c:pt>
                <c:pt idx="5">
                  <c:v>62.23</c:v>
                </c:pt>
                <c:pt idx="6">
                  <c:v>0</c:v>
                </c:pt>
                <c:pt idx="7">
                  <c:v>27.38</c:v>
                </c:pt>
                <c:pt idx="8">
                  <c:v>0</c:v>
                </c:pt>
                <c:pt idx="9">
                  <c:v>3.5</c:v>
                </c:pt>
                <c:pt idx="10">
                  <c:v>46.85</c:v>
                </c:pt>
                <c:pt idx="11">
                  <c:v>0</c:v>
                </c:pt>
                <c:pt idx="12">
                  <c:v>0.6</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15</c:v>
                </c:pt>
                <c:pt idx="1">
                  <c:v>0</c:v>
                </c:pt>
                <c:pt idx="2">
                  <c:v>0</c:v>
                </c:pt>
                <c:pt idx="3">
                  <c:v>0</c:v>
                </c:pt>
                <c:pt idx="4">
                  <c:v>3.14</c:v>
                </c:pt>
                <c:pt idx="5">
                  <c:v>3.8</c:v>
                </c:pt>
                <c:pt idx="6">
                  <c:v>3.12</c:v>
                </c:pt>
                <c:pt idx="7">
                  <c:v>0</c:v>
                </c:pt>
                <c:pt idx="8">
                  <c:v>0.29</c:v>
                </c:pt>
                <c:pt idx="9">
                  <c:v>0.49</c:v>
                </c:pt>
                <c:pt idx="10">
                  <c:v>0</c:v>
                </c:pt>
                <c:pt idx="11">
                  <c:v>14.35</c:v>
                </c:pt>
                <c:pt idx="12">
                  <c:v>0</c:v>
                </c:pt>
                <c:pt idx="13">
                  <c:v>0</c:v>
                </c:pt>
                <c:pt idx="14">
                  <c:v>0</c:v>
                </c:pt>
                <c:pt idx="15">
                  <c:v>0</c:v>
                </c:pt>
                <c:pt idx="16">
                  <c:v>0</c:v>
                </c:pt>
                <c:pt idx="17">
                  <c:v>0</c:v>
                </c:pt>
                <c:pt idx="18">
                  <c:v>0</c:v>
                </c:pt>
                <c:pt idx="19">
                  <c:v>0</c:v>
                </c:pt>
                <c:pt idx="20">
                  <c:v>0</c:v>
                </c:pt>
                <c:pt idx="21">
                  <c:v>8.66</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2023-08-17T18:06:00Z</dcterms:created>
  <dc:creator>C D D</dc:creator>
  <cp:lastModifiedBy>Administrator</cp:lastModifiedBy>
  <dcterms:modified xsi:type="dcterms:W3CDTF">2023-11-28T08:44:22Z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