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环江毛南族自治县第五幼儿园</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880" w:firstLineChars="800"/>
        <w:jc w:val="both"/>
        <w:rPr>
          <w:rFonts w:hint="default"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t>单位负责人：韦美莲</w:t>
      </w:r>
    </w:p>
    <w:p>
      <w:pPr>
        <w:jc w:val="center"/>
        <w:rPr>
          <w:rFonts w:hint="default"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rPr>
        <w:t>2023年</w:t>
      </w:r>
      <w:r>
        <w:rPr>
          <w:rFonts w:hint="eastAsia" w:ascii="黑体" w:hAnsi="黑体" w:eastAsia="黑体" w:cs="黑体"/>
          <w:b w:val="0"/>
          <w:bCs w:val="0"/>
          <w:sz w:val="36"/>
          <w:szCs w:val="36"/>
          <w:highlight w:val="none"/>
          <w:lang w:val="en-US" w:eastAsia="zh-CN"/>
        </w:rPr>
        <w:t>10</w:t>
      </w:r>
      <w:r>
        <w:rPr>
          <w:rFonts w:hint="eastAsia" w:ascii="黑体" w:hAnsi="黑体" w:eastAsia="黑体" w:cs="黑体"/>
          <w:b w:val="0"/>
          <w:bCs w:val="0"/>
          <w:sz w:val="36"/>
          <w:szCs w:val="36"/>
          <w:highlight w:val="none"/>
        </w:rPr>
        <w:t>月</w:t>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环江毛南族自治县第五幼儿园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环江毛南族自治县第五幼儿园</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环江毛南族自治县第五幼儿园</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b w:val="0"/>
          <w:bCs w:val="0"/>
          <w:sz w:val="32"/>
          <w:szCs w:val="32"/>
          <w:highlight w:val="none"/>
        </w:rPr>
      </w:pPr>
      <w:r>
        <w:rPr>
          <w:rFonts w:hint="eastAsia" w:ascii="黑体" w:hAnsi="黑体" w:eastAsia="黑体" w:cs="黑体"/>
          <w:b w:val="0"/>
          <w:bCs w:val="0"/>
          <w:sz w:val="32"/>
          <w:szCs w:val="32"/>
          <w:highlight w:val="none"/>
        </w:rPr>
        <w:t>第一部分：</w:t>
      </w:r>
      <w:r>
        <w:rPr>
          <w:rFonts w:ascii="黑体" w:hAnsi="黑体" w:eastAsia="黑体" w:cs="黑体"/>
          <w:b w:val="0"/>
          <w:bCs w:val="0"/>
          <w:sz w:val="32"/>
          <w:u w:color="auto"/>
        </w:rPr>
        <w:t>环江毛南族自治县第五幼儿园</w:t>
      </w:r>
      <w:r>
        <w:rPr>
          <w:rFonts w:hint="eastAsia" w:ascii="黑体" w:hAnsi="黑体" w:eastAsia="黑体" w:cs="黑体"/>
          <w:b w:val="0"/>
          <w:bCs w:val="0"/>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仿宋_GB2312" w:hAnsi="Times New Roman" w:eastAsia="仿宋_GB2312" w:cs="仿宋_GB2312"/>
          <w:kern w:val="0"/>
          <w:sz w:val="28"/>
          <w:szCs w:val="28"/>
        </w:rPr>
      </w:pPr>
      <w:r>
        <w:rPr>
          <w:rFonts w:hint="eastAsia" w:ascii="仿宋_GB2312" w:hAnsi="Times New Roman" w:eastAsia="仿宋_GB2312" w:cs="仿宋_GB2312"/>
          <w:kern w:val="0"/>
          <w:sz w:val="28"/>
          <w:szCs w:val="28"/>
        </w:rPr>
        <w:t>（一）贯彻执行党和国家的教育方针、政策和法律法规；拟订全县教育改革与发展规划并组织实施。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（二）编制本县教育事业发展规划并检查实施情况，向自治县人民政府和上级教育部门作出报告。</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（三）督促检查全县贯彻执行教育方针、政策、法令、法规和上级的各项规定；评估指导全县教育教学工作。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（四）负责推进义务教育均衡发展和促进教育公平，负责义务教育的宏观指导与协调。</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（五）负责本校教师队伍建设，包括校长岗位培训、后备干部队伍建设、教师学历教育、继续教育等。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（六）负责组织本校做好中考考务工作、招生录取工作和学籍管理工作。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（七）按照中央关于全面推进素质教育要求，负责教育教学管理、教育教学改革及教育教学科学研究工作，检查指导全县实施素质教育工作，并组织推广先进的教育教学经验。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（九）检查指导全县开展电化教育和信息化教学工作。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（十）负责本校教师初级专业技术职务资格的评审，中、高级专业技术职务资格的申报工作。按照管理权限对教师进行考核、聘任、奖惩、晋升等工作。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（十一）负责监督审计本校教育经费和教育基建经费拨付及教育附加费和教育费附加的征收、管理与使用工作。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（十二）负责本校教学教育常规管理评估工作，如德育、体育、卫生、艺术、安全工作以及团组织和少先队工作。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（十三）指导本校的教育督导工作，组织和指导对中等及中等以下教育，扫除青壮年文盲工作的督导检查和评估工作，指导基础教育发展水平、质量的监测工作。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（十四）检查指导基础教育阶段民办教育、高中阶段民办教育办学工作。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（十五）负责本校学生资助管理工作。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（十六）负责语言文字和指导推广普通话工作。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   （十七）完成自治县人民政府交办的其他工作。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460" w:lineRule="exact"/>
        <w:ind w:firstLine="934" w:firstLineChars="292"/>
        <w:rPr>
          <w:rFonts w:hint="eastAsia" w:ascii="仿宋_GB2312" w:hAnsi="宋体" w:eastAsia="仿宋_GB2312" w:cs="宋体"/>
          <w:sz w:val="32"/>
          <w:szCs w:val="32"/>
          <w:lang w:eastAsia="zh-CN"/>
        </w:rPr>
        <w:sectPr>
          <w:pgSz w:w="11906" w:h="16838"/>
          <w:pgMar w:top="1803" w:right="1440" w:bottom="1803"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eastAsia="仿宋_GB2312"/>
          <w:kern w:val="0"/>
          <w:sz w:val="32"/>
          <w:szCs w:val="32"/>
        </w:rPr>
        <w:t>本园有</w:t>
      </w:r>
      <w:r>
        <w:rPr>
          <w:rFonts w:hint="eastAsia" w:ascii="仿宋_GB2312" w:eastAsia="仿宋_GB2312"/>
          <w:kern w:val="0"/>
          <w:sz w:val="32"/>
          <w:szCs w:val="32"/>
          <w:lang w:val="en-US" w:eastAsia="zh-CN"/>
        </w:rPr>
        <w:t>六</w:t>
      </w:r>
      <w:r>
        <w:rPr>
          <w:rFonts w:hint="eastAsia" w:ascii="仿宋_GB2312" w:eastAsia="仿宋_GB2312"/>
          <w:kern w:val="0"/>
          <w:sz w:val="32"/>
          <w:szCs w:val="32"/>
        </w:rPr>
        <w:t>个内设机构，分别为：园长室、行政办公室、工会、资助办、</w:t>
      </w:r>
      <w:r>
        <w:rPr>
          <w:rFonts w:hint="eastAsia" w:ascii="仿宋_GB2312" w:eastAsia="仿宋_GB2312"/>
          <w:kern w:val="0"/>
          <w:sz w:val="32"/>
          <w:szCs w:val="32"/>
          <w:lang w:val="en-US" w:eastAsia="zh-CN"/>
        </w:rPr>
        <w:t>教研室</w:t>
      </w:r>
      <w:r>
        <w:rPr>
          <w:rFonts w:hint="eastAsia" w:ascii="仿宋_GB2312" w:eastAsia="仿宋_GB2312"/>
          <w:kern w:val="0"/>
          <w:sz w:val="32"/>
          <w:szCs w:val="32"/>
        </w:rPr>
        <w:t>、政教处。</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年全园总编制人数</w:t>
      </w:r>
      <w:r>
        <w:rPr>
          <w:rFonts w:hint="eastAsia" w:ascii="仿宋_GB2312" w:hAnsi="宋体" w:eastAsia="仿宋_GB2312" w:cs="宋体"/>
          <w:sz w:val="32"/>
          <w:szCs w:val="32"/>
          <w:lang w:val="en-US" w:eastAsia="zh-CN"/>
        </w:rPr>
        <w:t>26</w:t>
      </w:r>
      <w:r>
        <w:rPr>
          <w:rFonts w:hint="eastAsia" w:ascii="仿宋_GB2312" w:hAnsi="宋体" w:eastAsia="仿宋_GB2312" w:cs="宋体"/>
          <w:sz w:val="32"/>
          <w:szCs w:val="32"/>
        </w:rPr>
        <w:t>人，其中事业编制数</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人，</w:t>
      </w:r>
      <w:r>
        <w:rPr>
          <w:rFonts w:hint="eastAsia" w:ascii="仿宋_GB2312" w:eastAsia="仿宋_GB2312"/>
          <w:sz w:val="32"/>
          <w:szCs w:val="32"/>
        </w:rPr>
        <w:t>教师控制数</w:t>
      </w:r>
      <w:r>
        <w:rPr>
          <w:rFonts w:hint="eastAsia" w:ascii="仿宋_GB2312" w:eastAsia="仿宋_GB2312"/>
          <w:sz w:val="32"/>
          <w:szCs w:val="32"/>
          <w:lang w:val="en-US" w:eastAsia="zh-CN"/>
        </w:rPr>
        <w:t>19</w:t>
      </w:r>
      <w:r>
        <w:rPr>
          <w:rFonts w:hint="eastAsia" w:ascii="仿宋_GB2312" w:eastAsia="仿宋_GB2312"/>
          <w:sz w:val="32"/>
          <w:szCs w:val="32"/>
        </w:rPr>
        <w:t>人；</w:t>
      </w:r>
      <w:r>
        <w:rPr>
          <w:rFonts w:hint="eastAsia" w:ascii="仿宋_GB2312" w:hAnsi="宋体" w:eastAsia="仿宋_GB2312" w:cs="宋体"/>
          <w:sz w:val="32"/>
          <w:szCs w:val="32"/>
        </w:rPr>
        <w:t>实有在职人数</w:t>
      </w:r>
      <w:r>
        <w:rPr>
          <w:rFonts w:hint="eastAsia" w:ascii="仿宋_GB2312" w:hAnsi="宋体" w:eastAsia="仿宋_GB2312" w:cs="宋体"/>
          <w:sz w:val="32"/>
          <w:szCs w:val="32"/>
          <w:lang w:val="en-US" w:eastAsia="zh-CN"/>
        </w:rPr>
        <w:t>95</w:t>
      </w:r>
      <w:r>
        <w:rPr>
          <w:rFonts w:hint="eastAsia" w:ascii="仿宋_GB2312" w:hAnsi="宋体" w:eastAsia="仿宋_GB2312" w:cs="宋体"/>
          <w:sz w:val="32"/>
          <w:szCs w:val="32"/>
        </w:rPr>
        <w:t>人，其</w:t>
      </w:r>
      <w:r>
        <w:rPr>
          <w:rFonts w:hint="eastAsia" w:ascii="仿宋_GB2312" w:hAnsi="宋体" w:eastAsia="仿宋_GB2312" w:cs="宋体"/>
          <w:sz w:val="32"/>
          <w:szCs w:val="32"/>
          <w:lang w:eastAsia="zh-CN"/>
        </w:rPr>
        <w:t>中</w:t>
      </w:r>
      <w:r>
        <w:rPr>
          <w:rFonts w:hint="eastAsia" w:ascii="仿宋_GB2312" w:hAnsi="宋体" w:eastAsia="仿宋_GB2312" w:cs="宋体"/>
          <w:sz w:val="32"/>
          <w:szCs w:val="32"/>
        </w:rPr>
        <w:t>事业在职</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人，</w:t>
      </w:r>
      <w:r>
        <w:rPr>
          <w:rFonts w:hint="eastAsia" w:ascii="仿宋_GB2312" w:eastAsia="仿宋_GB2312"/>
          <w:sz w:val="32"/>
          <w:szCs w:val="32"/>
        </w:rPr>
        <w:t>教师控制数</w:t>
      </w:r>
      <w:r>
        <w:rPr>
          <w:rFonts w:hint="eastAsia" w:ascii="仿宋_GB2312" w:eastAsia="仿宋_GB2312"/>
          <w:sz w:val="32"/>
          <w:szCs w:val="32"/>
          <w:lang w:val="en-US" w:eastAsia="zh-CN"/>
        </w:rPr>
        <w:t>19</w:t>
      </w:r>
      <w:r>
        <w:rPr>
          <w:rFonts w:hint="eastAsia" w:ascii="仿宋_GB2312" w:eastAsia="仿宋_GB2312"/>
          <w:sz w:val="32"/>
          <w:szCs w:val="32"/>
        </w:rPr>
        <w:t>人</w:t>
      </w:r>
      <w:r>
        <w:rPr>
          <w:rFonts w:hint="eastAsia" w:ascii="仿宋_GB2312" w:hAnsi="宋体" w:eastAsia="仿宋_GB2312" w:cs="宋体"/>
          <w:sz w:val="32"/>
          <w:szCs w:val="32"/>
        </w:rPr>
        <w:t>；自聘人员</w:t>
      </w:r>
      <w:r>
        <w:rPr>
          <w:rFonts w:hint="eastAsia" w:ascii="仿宋_GB2312" w:hAnsi="宋体" w:eastAsia="仿宋_GB2312" w:cs="宋体"/>
          <w:sz w:val="32"/>
          <w:szCs w:val="32"/>
          <w:lang w:val="en-US" w:eastAsia="zh-CN"/>
        </w:rPr>
        <w:t>66</w:t>
      </w:r>
      <w:r>
        <w:rPr>
          <w:rFonts w:hint="eastAsia" w:ascii="仿宋_GB2312" w:hAnsi="宋体" w:eastAsia="仿宋_GB2312" w:cs="宋体"/>
          <w:sz w:val="32"/>
          <w:szCs w:val="32"/>
        </w:rPr>
        <w:t>人，学校专职保安人员</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人</w:t>
      </w:r>
      <w:r>
        <w:rPr>
          <w:rFonts w:hint="eastAsia" w:ascii="仿宋_GB2312" w:hAnsi="宋体" w:eastAsia="仿宋_GB2312" w:cs="宋体"/>
          <w:sz w:val="32"/>
          <w:szCs w:val="32"/>
          <w:lang w:eastAsia="zh-CN"/>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环江毛南族自治县第五幼儿园</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广西河池市环江毛南族自治县第五幼儿园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505.30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457.95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505.30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505.30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505.30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505.30</w:t>
            </w:r>
          </w:p>
        </w:tc>
      </w:tr>
    </w:tbl>
    <w:tbl>
      <w:tblPr>
        <w:tblStyle w:val="6"/>
        <w:tblpPr w:leftFromText="180" w:rightFromText="180" w:vertAnchor="text" w:horzAnchor="page" w:tblpX="1542" w:tblpY="1231"/>
        <w:tblOverlap w:val="never"/>
        <w:tblW w:w="13960" w:type="dxa"/>
        <w:tblInd w:w="0"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广西河池市环江毛南族自治县第五幼儿园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505.30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505.30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457.95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457.95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457.95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457.95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广西河池市环江毛南族自治县第五幼儿园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505.30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160.25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345.05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457.95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345.05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457.95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345.05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216.25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广西河池市环江毛南族自治县第五幼儿园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505.30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457.95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457.95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14.40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20.74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505.30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505.30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505.30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505.30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505.30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505.30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广西河池市环江毛南族自治县第五幼儿园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505.30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160.25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345.05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457.95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345.05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457.95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345.05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128.80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216.25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广西河池市环江毛南族自治县第五幼儿园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157.97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157.97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2.28</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广西河池市环江毛南族自治县第五幼儿园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本单位</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广西河池市环江毛南族自治县第五幼儿园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本单位</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21"/>
                <w:szCs w:val="21"/>
                <w:lang w:val="en-US" w:eastAsia="zh-CN"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广西河池市环江毛南族自治县第五幼儿园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w:t>
            </w:r>
            <w:r>
              <w:rPr>
                <w:rFonts w:hint="eastAsia" w:ascii="宋体" w:hAnsi="宋体" w:eastAsia="宋体" w:cs="宋体"/>
                <w:i w:val="0"/>
                <w:iCs w:val="0"/>
                <w:color w:val="auto"/>
                <w:kern w:val="0"/>
                <w:sz w:val="22"/>
                <w:szCs w:val="22"/>
                <w:u w:val="none"/>
                <w:lang w:val="en-US" w:eastAsia="zh-CN" w:bidi="ar"/>
              </w:rPr>
              <w:t>其中，预算数为“三公”经费全年预算数，反映按规定程序调整后的预算数；决算数是包括当年财政拨款和以前年度结转资金安排的实际支出。</w:t>
            </w:r>
            <w:r>
              <w:rPr>
                <w:rFonts w:hint="eastAsia" w:ascii="宋体" w:hAnsi="宋体" w:eastAsia="宋体" w:cs="宋体"/>
                <w:color w:val="auto"/>
                <w:kern w:val="2"/>
                <w:sz w:val="21"/>
                <w:szCs w:val="21"/>
                <w:lang w:val="en-US" w:eastAsia="zh-CN" w:bidi="ar"/>
              </w:rPr>
              <w:t>本单位</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 xml:space="preserve">年度没有一般公共预算财政拨款“三公”经费收入，也没有一般公共预算财政拨款“三公”经费安排的支出，故本表无数据。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环江毛南族自治县第五幼儿园</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（一）本部门2022年度总收入</w:t>
      </w:r>
      <w:r>
        <w:rPr>
          <w:rFonts w:hint="eastAsia" w:ascii="仿宋_GB2312" w:hAnsi="仿宋_GB2312" w:eastAsia="仿宋_GB2312" w:cs="仿宋_GB2312"/>
          <w:sz w:val="32"/>
          <w:u w:color="auto"/>
          <w:lang w:val="en-US" w:eastAsia="zh-CN"/>
        </w:rPr>
        <w:t>505.3</w:t>
      </w:r>
      <w:r>
        <w:rPr>
          <w:rFonts w:hint="eastAsia" w:ascii="仿宋_GB2312" w:hAnsi="仿宋_GB2312" w:eastAsia="仿宋_GB2312" w:cs="仿宋_GB2312"/>
          <w:sz w:val="32"/>
          <w:szCs w:val="32"/>
          <w:highlight w:val="none"/>
        </w:rPr>
        <w:t>万元，较2021年度决算数</w:t>
      </w:r>
      <w:r>
        <w:rPr>
          <w:rFonts w:hint="eastAsia" w:ascii="仿宋_GB2312" w:hAnsi="仿宋_GB2312" w:eastAsia="仿宋_GB2312" w:cs="仿宋_GB2312"/>
          <w:sz w:val="32"/>
          <w:szCs w:val="32"/>
          <w:highlight w:val="none"/>
          <w:lang w:val="en-US" w:eastAsia="zh-CN"/>
        </w:rPr>
        <w:t>增加</w:t>
      </w:r>
      <w:r>
        <w:rPr>
          <w:rFonts w:ascii="仿宋" w:hAnsi="仿宋" w:eastAsia="仿宋" w:cs="仿宋"/>
          <w:sz w:val="32"/>
          <w:u w:color="auto"/>
        </w:rPr>
        <w:t>99.70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u w:color="auto"/>
          <w:lang w:val="en-US" w:eastAsia="zh-CN"/>
        </w:rPr>
        <w:t>增加</w:t>
      </w:r>
      <w:r>
        <w:rPr>
          <w:rFonts w:ascii="仿宋" w:hAnsi="仿宋" w:eastAsia="仿宋" w:cs="仿宋"/>
          <w:sz w:val="32"/>
          <w:u w:color="auto"/>
        </w:rPr>
        <w:t>24.58</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rPr>
        <w:t>，收入具体情况如下。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1.一般公共预算财政拨款收入</w:t>
      </w:r>
      <w:r>
        <w:rPr>
          <w:rFonts w:hint="eastAsia" w:ascii="仿宋_GB2312" w:hAnsi="仿宋_GB2312" w:eastAsia="仿宋_GB2312" w:cs="仿宋_GB2312"/>
          <w:sz w:val="32"/>
          <w:u w:color="auto"/>
          <w:lang w:val="en-US" w:eastAsia="zh-CN"/>
        </w:rPr>
        <w:t>505.3</w:t>
      </w:r>
      <w:r>
        <w:rPr>
          <w:rFonts w:hint="eastAsia" w:ascii="仿宋_GB2312" w:hAnsi="仿宋_GB2312" w:eastAsia="仿宋_GB2312" w:cs="仿宋_GB2312"/>
          <w:kern w:val="2"/>
          <w:sz w:val="32"/>
          <w:szCs w:val="32"/>
          <w:highlight w:val="none"/>
          <w:lang w:val="en-US" w:eastAsia="zh-CN" w:bidi="ar"/>
        </w:rPr>
        <w:t>万元，</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rPr>
        <w:t>本级财政当年拨付的资金。较202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年度决算数增加</w:t>
      </w:r>
      <w:r>
        <w:rPr>
          <w:rFonts w:hint="eastAsia" w:ascii="仿宋_GB2312" w:hAnsi="仿宋_GB2312" w:eastAsia="仿宋_GB2312" w:cs="仿宋_GB2312"/>
          <w:kern w:val="0"/>
          <w:sz w:val="32"/>
          <w:szCs w:val="32"/>
          <w:lang w:val="en-US" w:eastAsia="zh-CN"/>
        </w:rPr>
        <w:t>105.47</w:t>
      </w:r>
      <w:r>
        <w:rPr>
          <w:rFonts w:hint="eastAsia" w:ascii="仿宋_GB2312" w:hAnsi="仿宋_GB2312" w:eastAsia="仿宋_GB2312" w:cs="仿宋_GB2312"/>
          <w:kern w:val="0"/>
          <w:sz w:val="32"/>
          <w:szCs w:val="32"/>
        </w:rPr>
        <w:t xml:space="preserve"> 万元，</w:t>
      </w:r>
      <w:r>
        <w:rPr>
          <w:rFonts w:hint="eastAsia" w:ascii="仿宋_GB2312" w:hAnsi="仿宋_GB2312" w:eastAsia="仿宋_GB2312" w:cs="仿宋_GB2312"/>
          <w:kern w:val="2"/>
          <w:sz w:val="32"/>
          <w:szCs w:val="32"/>
          <w:highlight w:val="none"/>
          <w:lang w:val="en-US" w:eastAsia="zh-CN" w:bidi="ar"/>
        </w:rPr>
        <w:t>增长 26.38%，主要原因是人员增加。</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2.政府性基金预算财政拨款收入 0万元，本校无此类收入。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3.国有资本经营预算财政拨款收入 0万元，本校无此类收入。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4.事业收入 0万元，为事业单位开展业务活动取得的收入。主要原因是2022年部门决算事业收入放到一般公共预算财政拨款收入。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5.经营收入 0 万元，本校无此类收入。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6.其他收入 0万元，本校无此类收入。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7.使用非财政拨款结余 0万元，本校无此类收入</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8.上年结转和结余0 万元，本年无结转和结余。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numPr>
          <w:ilvl w:val="0"/>
          <w:numId w:val="1"/>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本部门202</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年度总支出</w:t>
      </w:r>
      <w:r>
        <w:rPr>
          <w:rFonts w:hint="eastAsia" w:ascii="Times New Roman" w:hAnsi="Times New Roman" w:eastAsia="仿宋_GB2312" w:cs="Times New Roman"/>
          <w:kern w:val="0"/>
          <w:sz w:val="32"/>
          <w:szCs w:val="32"/>
          <w:lang w:val="en-US" w:eastAsia="zh-CN"/>
        </w:rPr>
        <w:t>505.3</w:t>
      </w:r>
      <w:r>
        <w:rPr>
          <w:rFonts w:hint="default" w:ascii="Times New Roman" w:hAnsi="Times New Roman" w:eastAsia="仿宋_GB2312" w:cs="Times New Roman"/>
          <w:kern w:val="0"/>
          <w:sz w:val="32"/>
          <w:szCs w:val="32"/>
        </w:rPr>
        <w:t>万元，其中本年支出</w:t>
      </w:r>
      <w:r>
        <w:rPr>
          <w:rFonts w:hint="eastAsia" w:ascii="Times New Roman" w:hAnsi="Times New Roman" w:eastAsia="仿宋_GB2312" w:cs="Times New Roman"/>
          <w:kern w:val="0"/>
          <w:sz w:val="32"/>
          <w:szCs w:val="32"/>
          <w:lang w:val="en-US" w:eastAsia="zh-CN"/>
        </w:rPr>
        <w:t>505.3</w:t>
      </w:r>
      <w:r>
        <w:rPr>
          <w:rFonts w:hint="default" w:ascii="Times New Roman" w:hAnsi="Times New Roman" w:eastAsia="仿宋_GB2312" w:cs="Times New Roman"/>
          <w:kern w:val="0"/>
          <w:sz w:val="32"/>
          <w:szCs w:val="32"/>
        </w:rPr>
        <w:t xml:space="preserve"> 万元, 较202</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年度决算数增加</w:t>
      </w:r>
      <w:r>
        <w:rPr>
          <w:rFonts w:ascii="仿宋" w:hAnsi="仿宋" w:eastAsia="仿宋" w:cs="仿宋"/>
          <w:sz w:val="32"/>
          <w:u w:color="auto"/>
        </w:rPr>
        <w:t>99.70</w:t>
      </w:r>
      <w:r>
        <w:rPr>
          <w:rFonts w:hint="default" w:ascii="Times New Roman" w:hAnsi="Times New Roman" w:eastAsia="仿宋_GB2312" w:cs="Times New Roman"/>
          <w:kern w:val="0"/>
          <w:sz w:val="32"/>
          <w:szCs w:val="32"/>
        </w:rPr>
        <w:t>万元，增长</w:t>
      </w:r>
      <w:r>
        <w:rPr>
          <w:rFonts w:ascii="仿宋" w:hAnsi="仿宋" w:eastAsia="仿宋" w:cs="仿宋"/>
          <w:sz w:val="32"/>
          <w:u w:color="auto"/>
        </w:rPr>
        <w:t>24.58</w:t>
      </w:r>
      <w:r>
        <w:rPr>
          <w:rFonts w:hint="default" w:ascii="Times New Roman" w:hAnsi="Times New Roman" w:eastAsia="仿宋_GB2312" w:cs="Times New Roman"/>
          <w:kern w:val="0"/>
          <w:sz w:val="32"/>
          <w:szCs w:val="32"/>
        </w:rPr>
        <w:t>%。支出具体情况如下：</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一般公共服务支出（201类）年初预算为2.28万元，支出决算为2.28万元，完成年初预算的100.00%。预决算存无差异。</w:t>
      </w:r>
    </w:p>
    <w:p>
      <w:pPr>
        <w:spacing w:line="460" w:lineRule="exact"/>
        <w:ind w:firstLine="640" w:firstLineChars="200"/>
        <w:rPr>
          <w:rFonts w:hint="default" w:ascii="仿宋_GB2312" w:eastAsia="仿宋"/>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.教育支出</w:t>
      </w:r>
      <w:r>
        <w:rPr>
          <w:rFonts w:hint="eastAsia" w:ascii="仿宋_GB2312" w:eastAsia="仿宋_GB2312"/>
          <w:color w:val="000000" w:themeColor="text1"/>
          <w:sz w:val="32"/>
          <w:szCs w:val="32"/>
          <w:lang w:val="en-US" w:eastAsia="zh-CN"/>
          <w14:textFill>
            <w14:solidFill>
              <w14:schemeClr w14:val="tx1"/>
            </w14:solidFill>
          </w14:textFill>
        </w:rPr>
        <w:t>457.95</w:t>
      </w:r>
      <w:r>
        <w:rPr>
          <w:rFonts w:hint="eastAsia" w:ascii="仿宋_GB2312" w:eastAsia="仿宋_GB2312"/>
          <w:color w:val="000000" w:themeColor="text1"/>
          <w:sz w:val="32"/>
          <w:szCs w:val="32"/>
          <w14:textFill>
            <w14:solidFill>
              <w14:schemeClr w14:val="tx1"/>
            </w14:solidFill>
          </w14:textFill>
        </w:rPr>
        <w:t>万元，主要用于教师基本工资和津补贴标准等安排的人员经费支出，正常运转的办公费、印刷费、水电费、培训费、差旅费、会议费等日常公用经费支出。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增加72.01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增长18.66%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主要原因：人员增加。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.社会保障支出</w:t>
      </w:r>
      <w:r>
        <w:rPr>
          <w:rFonts w:hint="eastAsia" w:ascii="仿宋_GB2312" w:eastAsia="仿宋_GB2312"/>
          <w:color w:val="000000" w:themeColor="text1"/>
          <w:sz w:val="32"/>
          <w:szCs w:val="32"/>
          <w:lang w:val="en-US" w:eastAsia="zh-CN"/>
          <w14:textFill>
            <w14:solidFill>
              <w14:schemeClr w14:val="tx1"/>
            </w14:solidFill>
          </w14:textFill>
        </w:rPr>
        <w:t>14.4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_GB2312" w:eastAsia="仿宋_GB2312" w:cs="仿宋_GB2312"/>
          <w:kern w:val="0"/>
          <w:sz w:val="28"/>
          <w:szCs w:val="28"/>
          <w:highlight w:val="none"/>
          <w:lang w:val="en-US" w:eastAsia="zh-CN"/>
        </w:rPr>
        <w:t>主要用于缴纳教职工“五险”。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6.4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80.00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.住房公积金</w:t>
      </w:r>
      <w:r>
        <w:rPr>
          <w:rFonts w:hint="eastAsia" w:ascii="仿宋_GB2312" w:eastAsia="仿宋_GB2312"/>
          <w:color w:val="000000" w:themeColor="text1"/>
          <w:sz w:val="32"/>
          <w:szCs w:val="32"/>
          <w:lang w:val="en-US" w:eastAsia="zh-CN"/>
          <w14:textFill>
            <w14:solidFill>
              <w14:schemeClr w14:val="tx1"/>
            </w14:solidFill>
          </w14:textFill>
        </w:rPr>
        <w:t>9.94</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val="en-US" w:eastAsia="zh-CN"/>
          <w14:textFill>
            <w14:solidFill>
              <w14:schemeClr w14:val="tx1"/>
            </w14:solidFill>
          </w14:textFill>
        </w:rPr>
        <w:t>缴纳教职工</w:t>
      </w:r>
      <w:r>
        <w:rPr>
          <w:rFonts w:hint="eastAsia" w:ascii="仿宋_GB2312" w:eastAsia="仿宋_GB2312"/>
          <w:color w:val="000000" w:themeColor="text1"/>
          <w:sz w:val="32"/>
          <w:szCs w:val="32"/>
          <w14:textFill>
            <w14:solidFill>
              <w14:schemeClr w14:val="tx1"/>
            </w14:solidFill>
          </w14:textFill>
        </w:rPr>
        <w:t>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增加5.66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132.24%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其他支出20.74万元，</w:t>
      </w:r>
      <w:r>
        <w:rPr>
          <w:rFonts w:hint="eastAsia" w:ascii="华文仿宋" w:hAnsi="华文仿宋" w:eastAsia="华文仿宋" w:cs="华文仿宋"/>
          <w:kern w:val="0"/>
          <w:sz w:val="32"/>
          <w:szCs w:val="32"/>
        </w:rPr>
        <w:t>主要是202</w:t>
      </w:r>
      <w:r>
        <w:rPr>
          <w:rFonts w:hint="eastAsia" w:ascii="华文仿宋" w:hAnsi="华文仿宋" w:eastAsia="华文仿宋" w:cs="华文仿宋"/>
          <w:kern w:val="0"/>
          <w:sz w:val="32"/>
          <w:szCs w:val="32"/>
          <w:lang w:val="en-US" w:eastAsia="zh-CN"/>
        </w:rPr>
        <w:t>2</w:t>
      </w:r>
      <w:r>
        <w:rPr>
          <w:rFonts w:hint="eastAsia" w:ascii="华文仿宋" w:hAnsi="华文仿宋" w:eastAsia="华文仿宋" w:cs="华文仿宋"/>
          <w:kern w:val="0"/>
          <w:sz w:val="32"/>
          <w:szCs w:val="32"/>
        </w:rPr>
        <w:t>年绩效考评奖励金。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增加13.36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181.03%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2022年度一般公共预算财政拨款支出</w:t>
      </w:r>
      <w:r>
        <w:rPr>
          <w:rFonts w:hint="eastAsia" w:ascii="仿宋_GB2312" w:hAnsi="仿宋_GB2312" w:eastAsia="仿宋_GB2312" w:cs="仿宋_GB2312"/>
          <w:sz w:val="32"/>
          <w:u w:color="auto"/>
          <w:lang w:val="en-US" w:eastAsia="zh-CN"/>
        </w:rPr>
        <w:t>505.3</w:t>
      </w:r>
      <w:r>
        <w:rPr>
          <w:rFonts w:hint="eastAsia" w:ascii="仿宋_GB2312" w:hAnsi="仿宋_GB2312" w:eastAsia="仿宋_GB2312" w:cs="仿宋_GB2312"/>
          <w:sz w:val="32"/>
          <w:szCs w:val="32"/>
          <w:highlight w:val="none"/>
        </w:rPr>
        <w:t>万元，较2021年度决算数</w:t>
      </w:r>
      <w:r>
        <w:rPr>
          <w:rFonts w:hint="eastAsia" w:ascii="仿宋_GB2312" w:hAnsi="仿宋_GB2312" w:eastAsia="仿宋_GB2312" w:cs="仿宋_GB2312"/>
          <w:sz w:val="32"/>
          <w:u w:color="auto"/>
          <w:lang w:val="en-US" w:eastAsia="zh-CN"/>
        </w:rPr>
        <w:t>增加99.7</w:t>
      </w:r>
      <w:r>
        <w:rPr>
          <w:rFonts w:hint="eastAsia" w:ascii="仿宋_GB2312" w:hAnsi="仿宋_GB2312" w:eastAsia="仿宋_GB2312" w:cs="仿宋_GB2312"/>
          <w:sz w:val="32"/>
          <w:szCs w:val="32"/>
          <w:highlight w:val="none"/>
        </w:rPr>
        <w:t>万元，</w:t>
      </w:r>
      <w:r>
        <w:rPr>
          <w:rFonts w:ascii="仿宋" w:hAnsi="仿宋" w:eastAsia="仿宋" w:cs="仿宋"/>
          <w:sz w:val="32"/>
          <w:u w:color="auto"/>
        </w:rPr>
        <w:t>增长24.58%</w:t>
      </w:r>
      <w:r>
        <w:rPr>
          <w:rFonts w:hint="eastAsia" w:ascii="仿宋_GB2312" w:hAnsi="仿宋_GB2312" w:eastAsia="仿宋_GB2312" w:cs="仿宋_GB2312"/>
          <w:sz w:val="32"/>
          <w:szCs w:val="32"/>
          <w:highlight w:val="none"/>
        </w:rPr>
        <w:t>。其中：基本支出</w:t>
      </w:r>
      <w:r>
        <w:rPr>
          <w:rFonts w:hint="eastAsia" w:ascii="仿宋_GB2312" w:hAnsi="仿宋_GB2312" w:eastAsia="仿宋_GB2312" w:cs="仿宋_GB2312"/>
          <w:sz w:val="32"/>
          <w:u w:color="auto"/>
        </w:rPr>
        <w:t>160.25</w:t>
      </w:r>
      <w:r>
        <w:rPr>
          <w:rFonts w:hint="eastAsia" w:ascii="仿宋_GB2312" w:hAnsi="仿宋_GB2312" w:eastAsia="仿宋_GB2312" w:cs="仿宋_GB2312"/>
          <w:sz w:val="32"/>
          <w:szCs w:val="32"/>
          <w:highlight w:val="none"/>
        </w:rPr>
        <w:t>万元，项目支出</w:t>
      </w:r>
      <w:r>
        <w:rPr>
          <w:rFonts w:hint="eastAsia" w:ascii="仿宋_GB2312" w:hAnsi="仿宋_GB2312" w:eastAsia="仿宋_GB2312" w:cs="仿宋_GB2312"/>
          <w:sz w:val="32"/>
          <w:u w:color="auto"/>
        </w:rPr>
        <w:t>345.05</w:t>
      </w:r>
      <w:r>
        <w:rPr>
          <w:rFonts w:hint="eastAsia" w:ascii="仿宋_GB2312" w:hAnsi="仿宋_GB2312" w:eastAsia="仿宋_GB2312" w:cs="仿宋_GB2312"/>
          <w:sz w:val="32"/>
          <w:szCs w:val="32"/>
          <w:highlight w:val="none"/>
        </w:rPr>
        <w:t>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2022 年度一般公共预算财政拨款支出年初预算为</w:t>
      </w:r>
      <w:r>
        <w:rPr>
          <w:rFonts w:hint="eastAsia" w:ascii="仿宋_GB2312" w:hAnsi="仿宋_GB2312" w:eastAsia="仿宋_GB2312" w:cs="仿宋_GB2312"/>
          <w:sz w:val="32"/>
          <w:szCs w:val="32"/>
          <w:lang w:val="en-US" w:eastAsia="zh-CN"/>
        </w:rPr>
        <w:t>329.63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u w:color="auto"/>
          <w:lang w:val="en-US" w:eastAsia="zh-CN"/>
        </w:rPr>
        <w:t>505.3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u w:color="auto"/>
          <w:lang w:val="en-US" w:eastAsia="zh-CN"/>
        </w:rPr>
        <w:t>153.29</w:t>
      </w:r>
      <w:r>
        <w:rPr>
          <w:rFonts w:hint="eastAsia" w:ascii="仿宋_GB2312" w:hAnsi="仿宋_GB2312" w:eastAsia="仿宋_GB2312" w:cs="仿宋_GB2312"/>
          <w:sz w:val="32"/>
          <w:u w:color="auto"/>
        </w:rPr>
        <w:t>%</w:t>
      </w:r>
      <w:r>
        <w:rPr>
          <w:rFonts w:hint="eastAsia" w:ascii="仿宋_GB2312" w:hAnsi="仿宋_GB2312" w:eastAsia="仿宋_GB2312" w:cs="仿宋_GB2312"/>
          <w:sz w:val="32"/>
          <w:szCs w:val="32"/>
          <w:highlight w:val="none"/>
        </w:rPr>
        <w:t>。</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bookmarkStart w:id="3" w:name="OLE_LINK2"/>
      <w:bookmarkEnd w:id="3"/>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2.28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2.28</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教育支出</w:t>
      </w:r>
      <w:r>
        <w:rPr>
          <w:rFonts w:hint="eastAsia" w:ascii="仿宋_GB2312" w:hAnsi="仿宋_GB2312" w:eastAsia="仿宋_GB2312" w:cs="仿宋_GB2312"/>
          <w:sz w:val="32"/>
          <w:u w:color="auto"/>
        </w:rPr>
        <w:t>（205</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295.47</w:t>
      </w:r>
      <w:r>
        <w:rPr>
          <w:rFonts w:hint="eastAsia" w:ascii="仿宋_GB2312" w:hAnsi="仿宋_GB2312" w:eastAsia="仿宋_GB2312" w:cs="仿宋_GB2312"/>
          <w:sz w:val="32"/>
          <w:szCs w:val="32"/>
          <w:highlight w:val="none"/>
        </w:rPr>
        <w:t>万元，支出决算为457.95万元，完成年初预算的</w:t>
      </w:r>
      <w:r>
        <w:rPr>
          <w:rFonts w:hint="eastAsia" w:ascii="仿宋_GB2312" w:hAnsi="仿宋_GB2312" w:eastAsia="仿宋_GB2312" w:cs="仿宋_GB2312"/>
          <w:sz w:val="32"/>
          <w:szCs w:val="32"/>
          <w:highlight w:val="none"/>
          <w:lang w:val="en-US" w:eastAsia="zh-CN"/>
        </w:rPr>
        <w:t>154.99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年中人员增加。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295.46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241.70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81.80%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教职工五险、工资福利支出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216.25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教职工五险、工资福利支出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295.46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457.95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_GB2312" w:hAnsi="仿宋_GB2312" w:eastAsia="仿宋_GB2312" w:cs="仿宋_GB2312"/>
          <w:color w:val="FF0000"/>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sz w:val="32"/>
          <w:u w:color="auto"/>
        </w:rPr>
        <w:t>（208</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18.22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79.03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kern w:val="2"/>
          <w:sz w:val="32"/>
          <w:szCs w:val="32"/>
          <w:highlight w:val="none"/>
          <w:lang w:val="en-US" w:eastAsia="zh-CN" w:bidi="ar"/>
        </w:rPr>
        <w:t>年初预算做多了。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职工养老保险缴费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预算数做多了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63800"/>
            <wp:effectExtent l="4445" t="4445" r="16510"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_GB2312" w:hAnsi="仿宋_GB2312" w:eastAsia="仿宋_GB2312" w:cs="仿宋_GB2312"/>
          <w:color w:val="FF0000"/>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住房保障支出</w:t>
      </w:r>
      <w:r>
        <w:rPr>
          <w:rFonts w:hint="eastAsia" w:ascii="仿宋_GB2312" w:hAnsi="仿宋_GB2312" w:eastAsia="仿宋_GB2312" w:cs="仿宋_GB2312"/>
          <w:sz w:val="32"/>
          <w:u w:color="auto"/>
        </w:rPr>
        <w:t>（221</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13.66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9.94</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72.77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kern w:val="2"/>
          <w:sz w:val="32"/>
          <w:szCs w:val="32"/>
          <w:highlight w:val="none"/>
          <w:lang w:val="en-US" w:eastAsia="zh-CN" w:bidi="ar"/>
        </w:rPr>
        <w:t>年初预算做多了。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72.77%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教职工住房公积金缴费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年初数做多了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6275"/>
            <wp:effectExtent l="4445" t="4445" r="16510" b="1778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ascii="仿宋_GB2312" w:hAnsi="仿宋_GB2312" w:eastAsia="仿宋_GB2312" w:cs="仿宋_GB2312"/>
          <w:sz w:val="32"/>
          <w:szCs w:val="32"/>
          <w:highlight w:val="none"/>
          <w:lang w:val="en-US" w:eastAsia="zh-CN"/>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sz w:val="32"/>
          <w:szCs w:val="32"/>
          <w:highlight w:val="none"/>
          <w:lang w:val="en-US" w:eastAsia="zh-CN"/>
        </w:rPr>
        <w:t>（五）其他</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u w:color="auto"/>
        </w:rPr>
        <w:t>（2</w:t>
      </w:r>
      <w:r>
        <w:rPr>
          <w:rFonts w:hint="eastAsia" w:ascii="仿宋_GB2312" w:hAnsi="仿宋_GB2312" w:eastAsia="仿宋_GB2312" w:cs="仿宋_GB2312"/>
          <w:sz w:val="32"/>
          <w:u w:color="auto"/>
          <w:lang w:val="en-US" w:eastAsia="zh-CN"/>
        </w:rPr>
        <w:t>29</w:t>
      </w:r>
      <w:r>
        <w:rPr>
          <w:rFonts w:hint="eastAsia" w:ascii="仿宋_GB2312" w:hAnsi="仿宋_GB2312" w:eastAsia="仿宋_GB2312" w:cs="仿宋_GB2312"/>
          <w:sz w:val="32"/>
          <w:szCs w:val="32"/>
          <w:highlight w:val="none"/>
        </w:rPr>
        <w:t>类）年初预算为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20.74</w:t>
      </w:r>
      <w:r>
        <w:rPr>
          <w:rFonts w:hint="eastAsia" w:ascii="仿宋_GB2312" w:hAnsi="仿宋_GB2312" w:eastAsia="仿宋_GB2312" w:cs="仿宋_GB2312"/>
          <w:sz w:val="32"/>
          <w:szCs w:val="32"/>
          <w:highlight w:val="none"/>
        </w:rPr>
        <w:t>万元，完成年初预算的</w:t>
      </w:r>
      <w:r>
        <w:rPr>
          <w:rFonts w:hint="eastAsia" w:ascii="仿宋" w:hAnsi="仿宋" w:eastAsia="仿宋"/>
          <w:sz w:val="32"/>
          <w:szCs w:val="32"/>
          <w:highlight w:val="none"/>
          <w:lang w:val="en-US" w:eastAsia="zh-CN"/>
        </w:rPr>
        <w:t>100.00</w:t>
      </w:r>
      <w:r>
        <w:rPr>
          <w:rFonts w:ascii="仿宋" w:hAnsi="仿宋" w:eastAsia="仿宋"/>
          <w:sz w:val="32"/>
          <w:szCs w:val="32"/>
          <w:highlight w:val="none"/>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auto"/>
          <w:kern w:val="2"/>
          <w:sz w:val="32"/>
          <w:szCs w:val="32"/>
          <w:highlight w:val="none"/>
          <w:lang w:val="en-US" w:eastAsia="zh-CN" w:bidi="ar"/>
        </w:rPr>
        <w:t>年初没有预算。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年初没做预算，年中人员增加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环江毛南族自治县第五幼儿园2022年度一般公共预算财政拨款基本支出</w:t>
      </w:r>
      <w:r>
        <w:rPr>
          <w:rFonts w:ascii="仿宋" w:hAnsi="仿宋" w:eastAsia="仿宋" w:cs="仿宋"/>
          <w:sz w:val="32"/>
          <w:u w:color="auto"/>
        </w:rPr>
        <w:t>160.25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157.97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2.28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ascii="仿宋" w:hAnsi="仿宋" w:eastAsia="仿宋" w:cs="仿宋"/>
          <w:sz w:val="32"/>
          <w:u w:color="auto"/>
        </w:rPr>
        <w:t>157.97万元，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114.55%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主要原因是：人员增加。</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62.25万元，30102津贴补贴4.67万元，30103奖金32.23万元，30107绩效工资26.93万元，30108机关事业单位基本养老保险缴费14.40万元，30110职工基本医疗保险缴费6.74万元，30112其他社会保障缴费0.81万元，30113住房公积金9.94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53665"/>
            <wp:effectExtent l="4445" t="4445" r="16510" b="889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2.28万元，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跟年初预算无差异。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30228工会经费2.28万元。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378075"/>
            <wp:effectExtent l="5080" t="4445" r="15875"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640" w:firstLineChars="200"/>
        <w:jc w:val="left"/>
        <w:rPr>
          <w:rFonts w:hint="default" w:ascii="仿宋" w:hAnsi="仿宋" w:eastAsia="仿宋" w:cs="仿宋"/>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对个人和家庭的补助</w:t>
      </w:r>
      <w:r>
        <w:rPr>
          <w:rFonts w:hint="eastAsia" w:ascii="仿宋_GB2312" w:hAnsi="仿宋_GB2312" w:eastAsia="仿宋_GB2312" w:cs="仿宋_GB2312"/>
          <w:sz w:val="32"/>
          <w:szCs w:val="32"/>
          <w:u w:color="auto"/>
          <w:lang w:val="en-US" w:eastAsia="zh-CN"/>
        </w:rPr>
        <w:t>0</w:t>
      </w:r>
      <w:r>
        <w:rPr>
          <w:rFonts w:hint="eastAsia" w:ascii="仿宋_GB2312" w:hAnsi="仿宋_GB2312" w:eastAsia="仿宋_GB2312" w:cs="仿宋_GB2312"/>
          <w:sz w:val="32"/>
          <w:szCs w:val="32"/>
          <w:u w:color="auto"/>
        </w:rPr>
        <w:t>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主要原因是：无退休人员。</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债务利息及费用支出</w:t>
      </w:r>
      <w:r>
        <w:rPr>
          <w:rFonts w:hint="eastAsia" w:ascii="仿宋_GB2312" w:hAnsi="仿宋_GB2312" w:eastAsia="仿宋_GB2312" w:cs="仿宋_GB2312"/>
          <w:sz w:val="32"/>
          <w:szCs w:val="32"/>
          <w:u w:color="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主要原因是：本单位无此类支出。</w:t>
      </w:r>
    </w:p>
    <w:p>
      <w:pPr>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资本性支出</w:t>
      </w:r>
      <w:r>
        <w:rPr>
          <w:rFonts w:hint="eastAsia" w:ascii="仿宋_GB2312" w:hAnsi="仿宋_GB2312" w:eastAsia="仿宋_GB2312" w:cs="仿宋_GB2312"/>
          <w:sz w:val="32"/>
          <w:szCs w:val="32"/>
          <w:u w:color="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主要原因是：本单位无此类支出。</w:t>
      </w:r>
    </w:p>
    <w:p>
      <w:pPr>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727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其他支出</w:t>
      </w:r>
      <w:r>
        <w:rPr>
          <w:rFonts w:hint="eastAsia" w:ascii="仿宋_GB2312" w:hAnsi="仿宋_GB2312" w:eastAsia="仿宋_GB2312" w:cs="仿宋_GB2312"/>
          <w:sz w:val="32"/>
          <w:szCs w:val="32"/>
          <w:u w:color="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rPr>
        <w:t>完成年初预算的</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主要原因是：本单位无此类支出。</w:t>
      </w:r>
    </w:p>
    <w:p>
      <w:pPr>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2022年度政府性基金支出0.00万元，较2021年度决算数增加0.00万元，增长0%其中：基本支出0.00万元，项目支出0.00万元。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2022年度政府性基金支出年初预算为0.00万元，支出决算为0.00万元，完成年初预算的0%。</w:t>
      </w:r>
    </w:p>
    <w:p>
      <w:pPr>
        <w:ind w:firstLine="640" w:firstLineChars="200"/>
        <w:jc w:val="lef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环江毛南族自治县第五幼儿园</w:t>
      </w:r>
      <w:r>
        <w:rPr>
          <w:rFonts w:hint="eastAsia"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仿宋_GB2312" w:eastAsia="仿宋_GB2312" w:cs="仿宋_GB2312"/>
          <w:color w:val="000000" w:themeColor="text1"/>
          <w:sz w:val="32"/>
          <w:u w:color="auto"/>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2022年度国有资本经营预算支出0.00万元。其中：基本支出0.00万元，项目支出0.00万元。</w:t>
      </w:r>
    </w:p>
    <w:p>
      <w:pPr>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环江毛南族自治县第五幼儿园</w:t>
      </w:r>
      <w:r>
        <w:rPr>
          <w:rFonts w:hint="eastAsia" w:ascii="仿宋_GB2312" w:hAnsi="仿宋_GB2312" w:eastAsia="仿宋_GB2312" w:cs="仿宋_GB2312"/>
          <w:sz w:val="32"/>
          <w:szCs w:val="32"/>
          <w:highlight w:val="none"/>
        </w:rPr>
        <w:t>2022 年度国有资本经营预算支出年初预算为0.00万元，支出决算为0.00万元，完成年初预算的0%。</w:t>
      </w:r>
    </w:p>
    <w:p>
      <w:pPr>
        <w:ind w:firstLine="640" w:firstLineChars="200"/>
        <w:jc w:val="lef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bookmarkStart w:id="4" w:name="PO_part3A5B1C1DiffReason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环江毛南族自治县第五幼儿园</w:t>
      </w:r>
      <w:r>
        <w:rPr>
          <w:rFonts w:hint="eastAsia"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仿宋_GB2312" w:eastAsia="仿宋_GB2312" w:cs="仿宋_GB2312"/>
          <w:color w:val="000000" w:themeColor="text1"/>
          <w:sz w:val="32"/>
          <w:szCs w:val="32"/>
          <w14:textFill>
            <w14:solidFill>
              <w14:schemeClr w14:val="tx1"/>
            </w14:solidFill>
          </w14:textFill>
        </w:rPr>
        <w:t>安排的支出</w:t>
      </w:r>
      <w:bookmarkEnd w:id="4"/>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ind w:firstLine="640" w:firstLineChars="200"/>
        <w:jc w:val="left"/>
        <w:rPr>
          <w:rFonts w:hint="eastAsia" w:ascii="仿宋_GB2312" w:hAnsi="仿宋_GB2312" w:eastAsia="仿宋_GB2312" w:cs="仿宋_GB2312"/>
          <w:color w:val="FF0000"/>
          <w:kern w:val="2"/>
          <w:sz w:val="32"/>
          <w:szCs w:val="32"/>
          <w:highlight w:val="none"/>
          <w:lang w:val="en-US" w:eastAsia="zh-CN" w:bidi="ar"/>
        </w:rPr>
      </w:pPr>
      <w:r>
        <w:rPr>
          <w:rFonts w:hint="eastAsia" w:ascii="仿宋_GB2312" w:hAnsi="仿宋_GB2312" w:eastAsia="仿宋_GB2312" w:cs="仿宋_GB2312"/>
          <w:sz w:val="32"/>
          <w:szCs w:val="32"/>
          <w:highlight w:val="none"/>
        </w:rPr>
        <w:t>2022年度一般公共预算财政拨款安排的“三公”经费支出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%，比上年增加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主要原因是：本单位无此类支出。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本</w:t>
      </w:r>
      <w:r>
        <w:rPr>
          <w:rFonts w:hint="eastAsia" w:ascii="仿宋_GB2312" w:hAnsi="仿宋_GB2312" w:eastAsia="仿宋_GB2312" w:cs="仿宋_GB2312"/>
          <w:b w:val="0"/>
          <w:bCs w:val="0"/>
          <w:kern w:val="0"/>
          <w:sz w:val="32"/>
          <w:szCs w:val="32"/>
          <w:lang w:val="en-US" w:eastAsia="zh-CN"/>
        </w:rPr>
        <w:t>单位</w:t>
      </w:r>
      <w:r>
        <w:rPr>
          <w:rFonts w:hint="eastAsia" w:ascii="仿宋_GB2312" w:hAnsi="仿宋_GB2312" w:eastAsia="仿宋_GB2312" w:cs="仿宋_GB2312"/>
          <w:b w:val="0"/>
          <w:bCs w:val="0"/>
          <w:kern w:val="0"/>
          <w:sz w:val="32"/>
          <w:szCs w:val="32"/>
        </w:rPr>
        <w:t>无机关运行经费支出</w:t>
      </w:r>
      <w:r>
        <w:rPr>
          <w:rFonts w:hint="eastAsia" w:ascii="仿宋_GB2312" w:hAnsi="仿宋_GB2312" w:eastAsia="仿宋_GB2312" w:cs="仿宋_GB2312"/>
          <w:b w:val="0"/>
          <w:bCs w:val="0"/>
          <w:kern w:val="0"/>
          <w:sz w:val="32"/>
          <w:szCs w:val="32"/>
          <w:lang w:eastAsia="zh-CN"/>
        </w:rPr>
        <w:t>。</w:t>
      </w:r>
    </w:p>
    <w:p>
      <w:pPr>
        <w:keepNext w:val="0"/>
        <w:keepLines w:val="0"/>
        <w:pageBreakBefore w:val="0"/>
        <w:widowControl/>
        <w:kinsoku/>
        <w:wordWrap/>
        <w:overflowPunct/>
        <w:topLinePunct w:val="0"/>
        <w:bidi w:val="0"/>
        <w:snapToGrid/>
        <w:spacing w:line="560" w:lineRule="exact"/>
        <w:ind w:firstLine="64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（二）政府采购支出情况说明。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_GB2312" w:hAnsi="仿宋_GB2312" w:eastAsia="仿宋_GB2312" w:cs="仿宋_GB2312"/>
          <w:b w:val="0"/>
          <w:bCs w:val="0"/>
          <w:i w:val="0"/>
          <w:iCs w:val="0"/>
          <w:kern w:val="0"/>
          <w:sz w:val="32"/>
          <w:szCs w:val="32"/>
          <w:lang w:eastAsia="zh-CN"/>
        </w:rPr>
      </w:pPr>
      <w:r>
        <w:rPr>
          <w:rFonts w:hint="eastAsia" w:ascii="仿宋_GB2312" w:hAnsi="仿宋_GB2312" w:eastAsia="仿宋_GB2312" w:cs="仿宋_GB2312"/>
          <w:b w:val="0"/>
          <w:bCs w:val="0"/>
          <w:i w:val="0"/>
          <w:iCs w:val="0"/>
          <w:kern w:val="0"/>
          <w:sz w:val="32"/>
          <w:szCs w:val="32"/>
        </w:rPr>
        <w:t>本</w:t>
      </w:r>
      <w:r>
        <w:rPr>
          <w:rFonts w:hint="eastAsia" w:ascii="仿宋_GB2312" w:hAnsi="仿宋_GB2312" w:eastAsia="仿宋_GB2312" w:cs="仿宋_GB2312"/>
          <w:b w:val="0"/>
          <w:bCs w:val="0"/>
          <w:i w:val="0"/>
          <w:iCs w:val="0"/>
          <w:kern w:val="0"/>
          <w:sz w:val="32"/>
          <w:szCs w:val="32"/>
          <w:lang w:val="en-US" w:eastAsia="zh-CN"/>
        </w:rPr>
        <w:t>单位</w:t>
      </w:r>
      <w:r>
        <w:rPr>
          <w:rFonts w:hint="eastAsia" w:ascii="仿宋_GB2312" w:hAnsi="仿宋_GB2312" w:eastAsia="仿宋_GB2312" w:cs="仿宋_GB2312"/>
          <w:b w:val="0"/>
          <w:bCs w:val="0"/>
          <w:i w:val="0"/>
          <w:iCs w:val="0"/>
          <w:kern w:val="0"/>
          <w:sz w:val="32"/>
          <w:szCs w:val="32"/>
        </w:rPr>
        <w:t>无政府采购支出</w:t>
      </w:r>
      <w:r>
        <w:rPr>
          <w:rFonts w:hint="eastAsia" w:ascii="仿宋_GB2312" w:hAnsi="仿宋_GB2312" w:eastAsia="仿宋_GB2312" w:cs="仿宋_GB2312"/>
          <w:b w:val="0"/>
          <w:bCs w:val="0"/>
          <w:i w:val="0"/>
          <w:iCs w:val="0"/>
          <w:kern w:val="0"/>
          <w:sz w:val="32"/>
          <w:szCs w:val="32"/>
          <w:lang w:eastAsia="zh-CN"/>
        </w:rPr>
        <w:t>。</w:t>
      </w:r>
    </w:p>
    <w:p>
      <w:pPr>
        <w:keepNext w:val="0"/>
        <w:keepLines w:val="0"/>
        <w:pageBreakBefore w:val="0"/>
        <w:widowControl/>
        <w:kinsoku/>
        <w:wordWrap/>
        <w:overflowPunct/>
        <w:topLinePunct w:val="0"/>
        <w:bidi w:val="0"/>
        <w:snapToGrid/>
        <w:spacing w:line="560" w:lineRule="exact"/>
        <w:ind w:firstLine="64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1.绩效管理工作开展情况。</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根据财政预算管理要求，本部门组织对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度一般公共预算项目支出全面开展绩效自评。其中，一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个，共涉及资金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419.06</w:t>
      </w:r>
      <w:r>
        <w:rPr>
          <w:rFonts w:hint="eastAsia" w:ascii="仿宋_GB2312" w:hAnsi="仿宋_GB2312" w:eastAsia="仿宋_GB2312" w:cs="仿宋_GB2312"/>
          <w:color w:val="000000" w:themeColor="text1"/>
          <w:sz w:val="32"/>
          <w:szCs w:val="32"/>
          <w14:textFill>
            <w14:solidFill>
              <w14:schemeClr w14:val="tx1"/>
            </w14:solidFill>
          </w14:textFill>
        </w:rPr>
        <w:t>万元，占一般公共预算项目支出总额的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82.33</w:t>
      </w: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个政府性基金预算项目支出开展绩效自评，共涉及资金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万元，占政府性基金预算项目支出总额的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14:textFill>
            <w14:solidFill>
              <w14:schemeClr w14:val="tx1"/>
            </w14:solidFill>
          </w14:textFill>
        </w:rPr>
        <w:t>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个国有资本经营预算项目支出开展绩效自评，共涉及资金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万元，占国有资本经营预算项目支出总额的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个项目进行了部门评价，涉及一般公共预算支出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419.06</w:t>
      </w:r>
      <w:r>
        <w:rPr>
          <w:rFonts w:hint="eastAsia" w:ascii="仿宋_GB2312" w:hAnsi="仿宋_GB2312" w:eastAsia="仿宋_GB2312" w:cs="仿宋_GB2312"/>
          <w:color w:val="000000" w:themeColor="text1"/>
          <w:sz w:val="32"/>
          <w:szCs w:val="32"/>
          <w14:textFill>
            <w14:solidFill>
              <w14:schemeClr w14:val="tx1"/>
            </w14:solidFill>
          </w14:textFill>
        </w:rPr>
        <w:t>万元，政府性基金预算支出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万元，国有资本经营预算支出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万元。从评价情况来看，该项目目标明确，组织管理到位，执行项目有力，资金管理规范，综合评价结果为优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组织对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单位开展整体支出绩效评价试点，涉及一般公共预算支出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419.06</w:t>
      </w:r>
      <w:r>
        <w:rPr>
          <w:rFonts w:hint="eastAsia" w:ascii="仿宋_GB2312" w:hAnsi="仿宋_GB2312" w:eastAsia="仿宋_GB2312" w:cs="仿宋_GB2312"/>
          <w:color w:val="000000" w:themeColor="text1"/>
          <w:sz w:val="32"/>
          <w:szCs w:val="32"/>
          <w14:textFill>
            <w14:solidFill>
              <w14:schemeClr w14:val="tx1"/>
            </w14:solidFill>
          </w14:textFill>
        </w:rPr>
        <w:t>万元，政府性基金预算支出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color w:val="000000" w:themeColor="text1"/>
          <w:sz w:val="32"/>
          <w:szCs w:val="32"/>
          <w:lang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14:textFill>
            <w14:solidFill>
              <w14:schemeClr w14:val="tx1"/>
            </w14:solidFill>
          </w14:textFill>
        </w:rPr>
        <w:t>项目目标明确，组织管理到位，执行项目有力，资金管理规范，</w:t>
      </w:r>
      <w:r>
        <w:rPr>
          <w:rFonts w:hint="eastAsia" w:ascii="仿宋_GB2312" w:hAnsi="仿宋_GB2312" w:eastAsia="仿宋_GB2312" w:cs="仿宋_GB2312"/>
          <w:color w:val="000000" w:themeColor="text1"/>
          <w:sz w:val="32"/>
          <w:szCs w:val="32"/>
          <w:lang w:eastAsia="zh-CN"/>
          <w14:textFill>
            <w14:solidFill>
              <w14:schemeClr w14:val="tx1"/>
            </w14:solidFill>
          </w14:textFill>
        </w:rPr>
        <w:t>进一步提高了我单位的绩效管理水平，更加认识到了绩效管理对部门综合管理提升的重要性，自评结果将用于2022年及以后年度编制部门预算的重要参考和日常管理的标靶，吸取经验，改进工作，让工作与绩效目标匹配，让成果与工作推进互动，以经得起上级、服务对象及社会大众的肯定和满意为准绳，继续开展财政部门预算的绩效评价工作。</w:t>
      </w:r>
    </w:p>
    <w:p>
      <w:pPr>
        <w:ind w:firstLine="640" w:firstLineChars="20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根据年初设定的绩效目标，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学前教育免除保教费县本级补助资金</w:t>
      </w:r>
      <w:r>
        <w:rPr>
          <w:rFonts w:hint="eastAsia" w:ascii="仿宋_GB2312" w:hAnsi="仿宋_GB2312" w:eastAsia="仿宋_GB2312" w:cs="仿宋_GB2312"/>
          <w:color w:val="000000" w:themeColor="text1"/>
          <w:sz w:val="32"/>
          <w:szCs w:val="32"/>
          <w14:textFill>
            <w14:solidFill>
              <w14:schemeClr w14:val="tx1"/>
            </w14:solidFill>
          </w14:textFill>
        </w:rPr>
        <w:t>项目自评得分为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95.25</w:t>
      </w:r>
      <w:r>
        <w:rPr>
          <w:rFonts w:hint="eastAsia" w:ascii="仿宋_GB2312" w:hAnsi="仿宋_GB2312" w:eastAsia="仿宋_GB2312" w:cs="仿宋_GB2312"/>
          <w:color w:val="000000" w:themeColor="text1"/>
          <w:sz w:val="32"/>
          <w:szCs w:val="32"/>
          <w14:textFill>
            <w14:solidFill>
              <w14:schemeClr w14:val="tx1"/>
            </w14:solidFill>
          </w14:textFill>
        </w:rPr>
        <w:t>分。发现的主要问题及原因：一是学校报账材料整理比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较</w:t>
      </w:r>
      <w:r>
        <w:rPr>
          <w:rFonts w:hint="eastAsia" w:ascii="仿宋_GB2312" w:hAnsi="仿宋_GB2312" w:eastAsia="仿宋_GB2312" w:cs="仿宋_GB2312"/>
          <w:color w:val="000000" w:themeColor="text1"/>
          <w:sz w:val="32"/>
          <w:szCs w:val="32"/>
          <w14:textFill>
            <w14:solidFill>
              <w14:schemeClr w14:val="tx1"/>
            </w14:solidFill>
          </w14:textFill>
        </w:rPr>
        <w:t>慢。下一步改进措施：一是</w:t>
      </w:r>
      <w:r>
        <w:rPr>
          <w:rFonts w:hint="eastAsia" w:ascii="仿宋_GB2312" w:hAnsi="仿宋_GB2312" w:eastAsia="仿宋_GB2312" w:cs="仿宋_GB2312"/>
          <w:color w:val="000000" w:themeColor="text1"/>
          <w:sz w:val="32"/>
          <w:szCs w:val="32"/>
          <w:lang w:eastAsia="zh-CN"/>
          <w14:textFill>
            <w14:solidFill>
              <w14:schemeClr w14:val="tx1"/>
            </w14:solidFill>
          </w14:textFill>
        </w:rPr>
        <w:t>及时整理报账材料</w:t>
      </w:r>
      <w:r>
        <w:rPr>
          <w:rFonts w:hint="eastAsia" w:ascii="仿宋_GB2312" w:hAnsi="仿宋_GB2312" w:eastAsia="仿宋_GB2312" w:cs="仿宋_GB2312"/>
          <w:color w:val="000000" w:themeColor="text1"/>
          <w:sz w:val="32"/>
          <w:szCs w:val="32"/>
          <w14:textFill>
            <w14:solidFill>
              <w14:schemeClr w14:val="tx1"/>
            </w14:solidFill>
          </w14:textFill>
        </w:rPr>
        <w:t>；二是与财政沟通第二年</w:t>
      </w:r>
      <w:r>
        <w:rPr>
          <w:rFonts w:hint="eastAsia" w:ascii="仿宋_GB2312" w:hAnsi="仿宋_GB2312" w:eastAsia="仿宋_GB2312" w:cs="仿宋_GB2312"/>
          <w:color w:val="000000" w:themeColor="text1"/>
          <w:sz w:val="32"/>
          <w:szCs w:val="32"/>
          <w:lang w:eastAsia="zh-CN"/>
          <w14:textFill>
            <w14:solidFill>
              <w14:schemeClr w14:val="tx1"/>
            </w14:solidFill>
          </w14:textFill>
        </w:rPr>
        <w:t>继续</w:t>
      </w:r>
      <w:r>
        <w:rPr>
          <w:rFonts w:hint="eastAsia" w:ascii="仿宋_GB2312" w:hAnsi="仿宋_GB2312" w:eastAsia="仿宋_GB2312" w:cs="仿宋_GB2312"/>
          <w:color w:val="000000" w:themeColor="text1"/>
          <w:sz w:val="32"/>
          <w:szCs w:val="32"/>
          <w14:textFill>
            <w14:solidFill>
              <w14:schemeClr w14:val="tx1"/>
            </w14:solidFill>
          </w14:textFill>
        </w:rPr>
        <w:t>支付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该项金额；三是完善项目相关管理制度，并依照制度办事，为项目的实施提供有效的保障。</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kern w:val="0"/>
          <w:sz w:val="32"/>
          <w:szCs w:val="32"/>
          <w:lang w:val="en-US" w:eastAsia="zh-CN"/>
        </w:rPr>
      </w:pPr>
      <w:bookmarkStart w:id="5" w:name="_GoBack"/>
      <w:bookmarkEnd w:id="5"/>
    </w:p>
    <w:p>
      <w:pPr>
        <w:ind w:firstLine="640" w:firstLineChars="200"/>
        <w:jc w:val="lef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DC4DE"/>
    <w:multiLevelType w:val="singleLevel"/>
    <w:tmpl w:val="D5FDC4DE"/>
    <w:lvl w:ilvl="0" w:tentative="0">
      <w:start w:val="2"/>
      <w:numFmt w:val="chineseCounting"/>
      <w:suff w:val="nothing"/>
      <w:lvlText w:val="（%1）"/>
      <w:lvlJc w:val="left"/>
      <w:rPr>
        <w:rFonts w:hint="eastAsia"/>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lYmI0MzVlNzA3NzY1NzM4OGEyOWQ0ZmJjYzVlZW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64B055C"/>
    <w:rsid w:val="07346A6A"/>
    <w:rsid w:val="07B0770E"/>
    <w:rsid w:val="0942143F"/>
    <w:rsid w:val="09F81DA7"/>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C416F17"/>
    <w:rsid w:val="1D317259"/>
    <w:rsid w:val="1E664F5B"/>
    <w:rsid w:val="1EB34BE1"/>
    <w:rsid w:val="215E639F"/>
    <w:rsid w:val="21EC3183"/>
    <w:rsid w:val="225E72CD"/>
    <w:rsid w:val="226638C2"/>
    <w:rsid w:val="22DF479B"/>
    <w:rsid w:val="23EB299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3AD316B"/>
    <w:rsid w:val="34EE2E36"/>
    <w:rsid w:val="36777241"/>
    <w:rsid w:val="371E78D5"/>
    <w:rsid w:val="38A951DB"/>
    <w:rsid w:val="38B31605"/>
    <w:rsid w:val="39003F4F"/>
    <w:rsid w:val="3C07002B"/>
    <w:rsid w:val="3D0D152A"/>
    <w:rsid w:val="3DB5509D"/>
    <w:rsid w:val="3DF62756"/>
    <w:rsid w:val="3F1B7587"/>
    <w:rsid w:val="41E57B4F"/>
    <w:rsid w:val="425860D8"/>
    <w:rsid w:val="432F26F6"/>
    <w:rsid w:val="43880F63"/>
    <w:rsid w:val="441C5A6F"/>
    <w:rsid w:val="44C44FCC"/>
    <w:rsid w:val="44CC7369"/>
    <w:rsid w:val="457F5108"/>
    <w:rsid w:val="46951B6B"/>
    <w:rsid w:val="49A34401"/>
    <w:rsid w:val="4A3E30AB"/>
    <w:rsid w:val="4ABD1C07"/>
    <w:rsid w:val="4AC14DAC"/>
    <w:rsid w:val="4AD87998"/>
    <w:rsid w:val="4D154C85"/>
    <w:rsid w:val="4EB35ECE"/>
    <w:rsid w:val="508F4E24"/>
    <w:rsid w:val="51461E90"/>
    <w:rsid w:val="51463753"/>
    <w:rsid w:val="52553A93"/>
    <w:rsid w:val="53047338"/>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 w:val="7FD5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505.3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385.94</c:v>
                </c:pt>
                <c:pt idx="2">
                  <c:v>8</c:v>
                </c:pt>
                <c:pt idx="3">
                  <c:v>4.28</c:v>
                </c:pt>
                <c:pt idx="4">
                  <c:v>7.38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2.28</c:v>
                </c:pt>
                <c:pt idx="1">
                  <c:v>457.95</c:v>
                </c:pt>
                <c:pt idx="2">
                  <c:v>14.4</c:v>
                </c:pt>
                <c:pt idx="3">
                  <c:v>9.94</c:v>
                </c:pt>
                <c:pt idx="4">
                  <c:v>20.74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2.28</c:v>
                </c:pt>
                <c:pt idx="1">
                  <c:v>2.28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241.7</c:v>
                </c:pt>
                <c:pt idx="1">
                  <c:v>216.25</c:v>
                </c:pt>
                <c:pt idx="2">
                  <c:v>457.95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14.4</c:v>
                </c:pt>
                <c:pt idx="1">
                  <c:v>14.4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9.94</c:v>
                </c:pt>
                <c:pt idx="1">
                  <c:v>9.94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20.74</c:v>
                </c:pt>
                <c:pt idx="1">
                  <c:v>20.74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62.25</c:v>
                </c:pt>
                <c:pt idx="1">
                  <c:v>4.67</c:v>
                </c:pt>
                <c:pt idx="2">
                  <c:v>32.23</c:v>
                </c:pt>
                <c:pt idx="3">
                  <c:v>0</c:v>
                </c:pt>
                <c:pt idx="4">
                  <c:v>26.93</c:v>
                </c:pt>
                <c:pt idx="5">
                  <c:v>14.4</c:v>
                </c:pt>
                <c:pt idx="6">
                  <c:v>0</c:v>
                </c:pt>
                <c:pt idx="7">
                  <c:v>6.74</c:v>
                </c:pt>
                <c:pt idx="8">
                  <c:v>0</c:v>
                </c:pt>
                <c:pt idx="9">
                  <c:v>0.81</c:v>
                </c:pt>
                <c:pt idx="10">
                  <c:v>9.94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2.28</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2023-11-28T09:12:56Z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9A0399573A1143DBAA2E35B24A28C0F3_13</vt:lpwstr>
  </property>
</Properties>
</file>