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hint="eastAsia" w:ascii="黑体" w:hAnsi="黑体" w:eastAsia="黑体" w:cs="黑体"/>
          <w:b/>
          <w:bCs/>
          <w:sz w:val="52"/>
          <w:szCs w:val="52"/>
        </w:rPr>
      </w:pPr>
      <w:r>
        <w:rPr>
          <w:rFonts w:hint="eastAsia" w:ascii="黑体" w:hAnsi="黑体" w:eastAsia="黑体" w:cs="黑体"/>
          <w:b/>
          <w:bCs/>
          <w:sz w:val="52"/>
          <w:szCs w:val="52"/>
        </w:rPr>
        <w:t>环江毛南族自治县第六幼儿园</w:t>
      </w:r>
    </w:p>
    <w:p>
      <w:pPr>
        <w:jc w:val="center"/>
        <w:rPr>
          <w:rFonts w:ascii="黑体" w:hAnsi="黑体" w:eastAsia="黑体" w:cs="黑体"/>
          <w:b/>
          <w:bCs/>
          <w:sz w:val="52"/>
          <w:szCs w:val="52"/>
        </w:rPr>
      </w:pPr>
      <w:r>
        <w:rPr>
          <w:rFonts w:hint="eastAsia" w:ascii="黑体" w:hAnsi="黑体" w:eastAsia="黑体" w:cs="黑体"/>
          <w:b/>
          <w:bCs/>
          <w:sz w:val="52"/>
          <w:szCs w:val="52"/>
        </w:rPr>
        <w:t>2022年度部门决算</w:t>
      </w:r>
    </w:p>
    <w:p>
      <w:pPr>
        <w:jc w:val="cente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ind w:firstLine="2880" w:firstLineChars="800"/>
        <w:jc w:val="both"/>
        <w:rPr>
          <w:rFonts w:hint="default" w:ascii="黑体" w:hAnsi="黑体" w:eastAsia="黑体" w:cs="仿宋"/>
          <w:sz w:val="36"/>
          <w:szCs w:val="36"/>
          <w:lang w:val="en-US" w:eastAsia="zh-CN"/>
        </w:rPr>
      </w:pPr>
      <w:r>
        <w:rPr>
          <w:rFonts w:hint="eastAsia" w:ascii="黑体" w:hAnsi="黑体" w:eastAsia="黑体" w:cs="仿宋"/>
          <w:sz w:val="36"/>
          <w:szCs w:val="36"/>
        </w:rPr>
        <w:t>单位负责人：</w:t>
      </w:r>
      <w:r>
        <w:rPr>
          <w:rFonts w:hint="eastAsia" w:ascii="黑体" w:hAnsi="黑体" w:eastAsia="黑体" w:cs="仿宋"/>
          <w:sz w:val="36"/>
          <w:szCs w:val="36"/>
          <w:lang w:val="en-US" w:eastAsia="zh-CN"/>
        </w:rPr>
        <w:t>王冬梅</w:t>
      </w: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rPr>
        <w:t>2023年10月</w:t>
      </w:r>
    </w:p>
    <w:p>
      <w:pPr>
        <w:rPr>
          <w:rFonts w:ascii="仿宋" w:hAnsi="仿宋" w:eastAsia="仿宋" w:cs="仿宋"/>
          <w:sz w:val="32"/>
          <w:szCs w:val="32"/>
        </w:rPr>
      </w:pPr>
      <w:r>
        <w:rPr>
          <w:rFonts w:ascii="仿宋" w:hAnsi="仿宋" w:eastAsia="仿宋" w:cs="仿宋"/>
          <w:sz w:val="32"/>
          <w:szCs w:val="32"/>
        </w:rPr>
        <w:br w:type="page"/>
      </w: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hint="eastAsia" w:ascii="黑体" w:hAnsi="黑体" w:eastAsia="黑体" w:cs="黑体"/>
          <w:sz w:val="32"/>
          <w:szCs w:val="32"/>
        </w:rPr>
      </w:pPr>
      <w:r>
        <w:rPr>
          <w:rFonts w:hint="eastAsia" w:ascii="黑体" w:hAnsi="黑体" w:eastAsia="黑体" w:cs="黑体"/>
          <w:sz w:val="32"/>
          <w:szCs w:val="32"/>
        </w:rPr>
        <w:t>第一部分：</w:t>
      </w:r>
      <w:r>
        <w:rPr>
          <w:rFonts w:ascii="黑体" w:hAnsi="黑体" w:eastAsia="黑体" w:cs="黑体"/>
          <w:sz w:val="32"/>
        </w:rPr>
        <w:t>环江毛南族自治县第六幼儿园</w:t>
      </w:r>
      <w:r>
        <w:rPr>
          <w:rFonts w:hint="eastAsia" w:ascii="黑体" w:hAnsi="黑体" w:eastAsia="黑体" w:cs="黑体"/>
          <w:sz w:val="32"/>
          <w:szCs w:val="32"/>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hint="eastAsia" w:ascii="黑体" w:hAnsi="黑体" w:eastAsia="黑体" w:cs="黑体"/>
          <w:sz w:val="32"/>
          <w:szCs w:val="32"/>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环江毛南族自治县第六幼儿园</w:t>
      </w:r>
      <w:r>
        <w:rPr>
          <w:rFonts w:hint="eastAsia" w:ascii="黑体" w:hAnsi="黑体" w:eastAsia="黑体" w:cs="黑体"/>
          <w:sz w:val="32"/>
          <w:szCs w:val="32"/>
        </w:rPr>
        <w:t>2022年度部门决算报表</w:t>
      </w:r>
    </w:p>
    <w:p>
      <w:pPr>
        <w:rPr>
          <w:rFonts w:ascii="仿宋_GB2312" w:eastAsia="仿宋_GB2312"/>
          <w:sz w:val="32"/>
          <w:szCs w:val="32"/>
        </w:rPr>
      </w:pPr>
      <w:r>
        <w:rPr>
          <w:rFonts w:hint="eastAsia" w:ascii="仿宋_GB2312" w:eastAsia="仿宋_GB2312"/>
          <w:sz w:val="32"/>
          <w:szCs w:val="32"/>
        </w:rPr>
        <w:t>表一：收入支出决算总表</w:t>
      </w:r>
    </w:p>
    <w:p>
      <w:pPr>
        <w:rPr>
          <w:rFonts w:ascii="仿宋_GB2312" w:eastAsia="仿宋_GB2312"/>
          <w:sz w:val="32"/>
          <w:szCs w:val="32"/>
        </w:rPr>
      </w:pPr>
      <w:r>
        <w:rPr>
          <w:rFonts w:hint="eastAsia" w:ascii="仿宋_GB2312" w:eastAsia="仿宋_GB2312"/>
          <w:sz w:val="32"/>
          <w:szCs w:val="32"/>
        </w:rPr>
        <w:t>表二：收入决算表</w:t>
      </w:r>
    </w:p>
    <w:p>
      <w:pPr>
        <w:rPr>
          <w:rFonts w:ascii="仿宋_GB2312" w:eastAsia="仿宋_GB2312"/>
          <w:sz w:val="32"/>
          <w:szCs w:val="32"/>
        </w:rPr>
      </w:pPr>
      <w:r>
        <w:rPr>
          <w:rFonts w:hint="eastAsia" w:ascii="仿宋_GB2312" w:eastAsia="仿宋_GB2312"/>
          <w:sz w:val="32"/>
          <w:szCs w:val="32"/>
        </w:rPr>
        <w:t>表三：支出决算表</w:t>
      </w:r>
    </w:p>
    <w:p>
      <w:pPr>
        <w:rPr>
          <w:rFonts w:ascii="仿宋_GB2312" w:eastAsia="仿宋_GB2312"/>
          <w:sz w:val="32"/>
          <w:szCs w:val="32"/>
        </w:rPr>
      </w:pPr>
      <w:r>
        <w:rPr>
          <w:rFonts w:hint="eastAsia" w:ascii="仿宋_GB2312" w:eastAsia="仿宋_GB2312"/>
          <w:sz w:val="32"/>
          <w:szCs w:val="32"/>
        </w:rPr>
        <w:t>表四：财政拨款收入支出决算总表</w:t>
      </w:r>
    </w:p>
    <w:p>
      <w:pPr>
        <w:rPr>
          <w:rFonts w:ascii="仿宋_GB2312" w:eastAsia="仿宋_GB2312"/>
          <w:sz w:val="32"/>
          <w:szCs w:val="32"/>
        </w:rPr>
      </w:pPr>
      <w:r>
        <w:rPr>
          <w:rFonts w:hint="eastAsia" w:ascii="仿宋_GB2312" w:eastAsia="仿宋_GB2312"/>
          <w:sz w:val="32"/>
          <w:szCs w:val="32"/>
        </w:rPr>
        <w:t>表五：一般公共预算财政拨款支出决算表</w:t>
      </w:r>
    </w:p>
    <w:p>
      <w:pPr>
        <w:rPr>
          <w:rFonts w:ascii="仿宋_GB2312" w:eastAsia="仿宋_GB2312"/>
          <w:sz w:val="32"/>
          <w:szCs w:val="32"/>
        </w:rPr>
      </w:pPr>
      <w:r>
        <w:rPr>
          <w:rFonts w:hint="eastAsia" w:ascii="仿宋_GB2312" w:eastAsia="仿宋_GB2312"/>
          <w:sz w:val="32"/>
          <w:szCs w:val="32"/>
        </w:rPr>
        <w:t>表六：一般公共预算财政拨款基本支出决算明细表</w:t>
      </w:r>
    </w:p>
    <w:p>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rPr>
          <w:rFonts w:ascii="仿宋_GB2312" w:eastAsia="仿宋_GB2312"/>
          <w:sz w:val="32"/>
          <w:szCs w:val="32"/>
        </w:rPr>
      </w:pPr>
      <w:r>
        <w:rPr>
          <w:rFonts w:hint="eastAsia" w:ascii="仿宋_GB2312" w:eastAsia="仿宋_GB2312"/>
          <w:sz w:val="32"/>
          <w:szCs w:val="32"/>
        </w:rPr>
        <w:t>表九：财政拨款“三公”经费支出决算表</w:t>
      </w:r>
    </w:p>
    <w:p>
      <w:pPr>
        <w:jc w:val="left"/>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环江毛南族自治县第六幼儿园</w:t>
      </w:r>
      <w:r>
        <w:rPr>
          <w:rFonts w:hint="eastAsia" w:ascii="黑体" w:hAnsi="黑体" w:eastAsia="黑体" w:cs="黑体"/>
          <w:sz w:val="32"/>
          <w:szCs w:val="32"/>
        </w:rPr>
        <w:t>2022年度部门决算情况说明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2022</w:t>
      </w:r>
      <w:r>
        <w:rPr>
          <w:rFonts w:hint="eastAsia" w:ascii="仿宋_GB2312" w:eastAsia="仿宋_GB2312" w:cs="仿宋_GB2312"/>
          <w:kern w:val="0"/>
          <w:sz w:val="32"/>
          <w:szCs w:val="32"/>
        </w:rPr>
        <w:t>年度收入支出决算总体情况。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2022</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三、2022年度一般公共预算财政拨款基本支出决算情况说明。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2022</w:t>
      </w:r>
      <w:r>
        <w:rPr>
          <w:rFonts w:hint="eastAsia" w:ascii="仿宋_GB2312" w:eastAsia="仿宋_GB2312" w:cs="仿宋_GB2312"/>
          <w:kern w:val="0"/>
          <w:sz w:val="32"/>
          <w:szCs w:val="32"/>
        </w:rPr>
        <w:t>年度政府性基金支出决算情况。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五、2022年度国有资本经营预算支出决算情况。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仿宋" w:hAnsi="仿宋" w:eastAsia="仿宋" w:cs="仿宋"/>
          <w:sz w:val="32"/>
          <w:szCs w:val="32"/>
        </w:rPr>
      </w:pPr>
      <w:r>
        <w:rPr>
          <w:rFonts w:hint="eastAsia" w:ascii="黑体" w:hAnsi="黑体" w:eastAsia="黑体" w:cs="黑体"/>
          <w:b/>
          <w:bCs/>
          <w:sz w:val="32"/>
          <w:szCs w:val="32"/>
        </w:rPr>
        <w:t>第一部分：</w:t>
      </w:r>
      <w:r>
        <w:rPr>
          <w:rFonts w:ascii="黑体" w:hAnsi="黑体" w:eastAsia="黑体" w:cs="黑体"/>
          <w:b/>
          <w:sz w:val="32"/>
        </w:rPr>
        <w:t>环江毛南族自治县第六幼儿园</w:t>
      </w:r>
      <w:r>
        <w:rPr>
          <w:rFonts w:hint="eastAsia" w:ascii="黑体" w:hAnsi="黑体" w:eastAsia="黑体" w:cs="黑体"/>
          <w:b/>
          <w:bCs/>
          <w:sz w:val="32"/>
          <w:szCs w:val="32"/>
        </w:rPr>
        <w:t>概况</w:t>
      </w:r>
    </w:p>
    <w:p>
      <w:pPr>
        <w:numPr>
          <w:ilvl w:val="0"/>
          <w:numId w:val="1"/>
        </w:numPr>
        <w:jc w:val="left"/>
        <w:rPr>
          <w:rFonts w:ascii="黑体" w:hAnsi="黑体" w:eastAsia="黑体" w:cs="黑体"/>
          <w:sz w:val="32"/>
          <w:szCs w:val="32"/>
        </w:rPr>
      </w:pPr>
      <w:r>
        <w:rPr>
          <w:rFonts w:hint="eastAsia" w:ascii="黑体" w:hAnsi="黑体" w:eastAsia="黑体" w:cs="黑体"/>
          <w:sz w:val="32"/>
          <w:szCs w:val="32"/>
        </w:rPr>
        <w:t>主要职能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（一）贯彻执行党和国家的教育方针、政策和法律法规；拟订全园教育改革与发展规划并组织实施。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（二）编制本园教育事业发展规划并检查实施情况，向自治县人民政府和上级教育部门作出报告。</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（三）督促检查全园贯彻执行教育方针、政策、法令、法规和上级的各项规定；评估指导全园教育教学工作。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（四）负责推进幼儿教育均衡发展和促进教育公平。</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（五）负责全园人才队伍和教师队伍建设，包括园长岗位培训、后备干部队伍建设、教师学历教育、继续教育等。</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（六）负责组织全园做好学籍管理工作。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（七）按照中央关于全面推进素质教育要求，负责教育教学管理、教育教学改革及教育教学科学研究工作，检查指导全园实施素质教育工作，并组织推广先进的教育教学经验。</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（八）检查指导学校教育教学设备的装备、管理和使用工作。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（九）检查指导全园开展电化教育和信息化教学工作。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（十）负责全园教师初级专业技术职务资格的评审，中、高级专业技术职务资格的申报工作。按照管理权限对教师进行考核、聘任、奖惩、晋升等工作。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（十一）负责监督审计全园教育经费和教育基建经费拨付及教育附加费和教育费附加的征收、管理与使用工作。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（十二）负责指导全园学生资助管理工作。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（十三）负责语言文字和指导推广普通话工作。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（十四）完成上级部门交办的其他工作。</w:t>
      </w:r>
    </w:p>
    <w:p>
      <w:pPr>
        <w:jc w:val="left"/>
        <w:rPr>
          <w:rFonts w:ascii="黑体" w:hAnsi="黑体" w:eastAsia="黑体" w:cs="黑体"/>
          <w:sz w:val="32"/>
          <w:szCs w:val="32"/>
        </w:rPr>
      </w:pPr>
      <w:r>
        <w:rPr>
          <w:rFonts w:hint="eastAsia" w:ascii="黑体" w:hAnsi="黑体" w:eastAsia="黑体" w:cs="黑体"/>
          <w:sz w:val="32"/>
          <w:szCs w:val="32"/>
        </w:rPr>
        <w:t>二、部门决算单位构成</w:t>
      </w:r>
    </w:p>
    <w:p>
      <w:pPr>
        <w:spacing w:line="460" w:lineRule="exact"/>
        <w:ind w:firstLine="562" w:firstLineChars="200"/>
        <w:rPr>
          <w:rFonts w:ascii="宋体" w:hAnsi="宋体" w:cs="宋体"/>
          <w:b/>
          <w:bCs/>
          <w:color w:val="333333"/>
          <w:sz w:val="28"/>
          <w:szCs w:val="28"/>
        </w:rPr>
      </w:pPr>
      <w:r>
        <w:rPr>
          <w:rFonts w:hint="eastAsia" w:ascii="宋体" w:hAnsi="宋体" w:cs="宋体"/>
          <w:b/>
          <w:bCs/>
          <w:color w:val="333333"/>
          <w:sz w:val="28"/>
          <w:szCs w:val="28"/>
        </w:rPr>
        <w:t>1</w:t>
      </w:r>
      <w:r>
        <w:rPr>
          <w:rFonts w:ascii="宋体" w:hAnsi="宋体" w:cs="宋体"/>
          <w:b/>
          <w:bCs/>
          <w:color w:val="333333"/>
          <w:sz w:val="28"/>
          <w:szCs w:val="28"/>
        </w:rPr>
        <w:t>.</w:t>
      </w:r>
      <w:r>
        <w:rPr>
          <w:rFonts w:hint="eastAsia" w:ascii="宋体" w:hAnsi="宋体" w:cs="宋体"/>
          <w:b/>
          <w:bCs/>
          <w:color w:val="333333"/>
          <w:sz w:val="28"/>
          <w:szCs w:val="28"/>
        </w:rPr>
        <w:t>内设机构情况</w:t>
      </w:r>
    </w:p>
    <w:p>
      <w:pPr>
        <w:spacing w:line="560" w:lineRule="exact"/>
        <w:ind w:firstLine="640" w:firstLineChars="200"/>
        <w:rPr>
          <w:rFonts w:ascii="Times New Roman" w:hAnsi="Times New Roman" w:eastAsia="仿宋_GB2312" w:cs="Times New Roman"/>
          <w:sz w:val="32"/>
          <w:szCs w:val="32"/>
        </w:rPr>
      </w:pPr>
      <w:r>
        <w:rPr>
          <w:rFonts w:hint="eastAsia" w:ascii="仿宋" w:hAnsi="仿宋" w:eastAsia="仿宋" w:cs="仿宋"/>
          <w:color w:val="000000" w:themeColor="text1"/>
          <w:sz w:val="32"/>
          <w:szCs w:val="32"/>
          <w14:textFill>
            <w14:solidFill>
              <w14:schemeClr w14:val="tx1"/>
            </w14:solidFill>
          </w14:textFill>
        </w:rPr>
        <w:t>我部门没有下属单位，按照部门决算编报要求，单独编制本部门决算。</w:t>
      </w:r>
      <w:r>
        <w:rPr>
          <w:rFonts w:hint="eastAsia" w:ascii="Times New Roman" w:hAnsi="Times New Roman" w:eastAsia="仿宋_GB2312" w:cs="Times New Roman"/>
          <w:color w:val="000000" w:themeColor="text1"/>
          <w:sz w:val="32"/>
          <w:szCs w:val="32"/>
          <w14:textFill>
            <w14:solidFill>
              <w14:schemeClr w14:val="tx1"/>
            </w14:solidFill>
          </w14:textFill>
        </w:rPr>
        <w:t>第六幼儿园有四个内设机构，分别为：行政</w:t>
      </w:r>
      <w:r>
        <w:rPr>
          <w:rFonts w:hint="eastAsia" w:ascii="Times New Roman" w:hAnsi="Times New Roman" w:eastAsia="仿宋_GB2312" w:cs="Times New Roman"/>
          <w:sz w:val="32"/>
          <w:szCs w:val="32"/>
        </w:rPr>
        <w:t>办公室、保教室、财务室、安全办。</w:t>
      </w:r>
    </w:p>
    <w:p>
      <w:pPr>
        <w:spacing w:line="460" w:lineRule="exact"/>
        <w:ind w:firstLine="620" w:firstLineChars="193"/>
        <w:rPr>
          <w:rFonts w:ascii="仿宋_GB2312" w:eastAsia="仿宋_GB2312" w:cs="仿宋_GB2312"/>
          <w:kern w:val="0"/>
          <w:sz w:val="32"/>
          <w:szCs w:val="32"/>
        </w:rPr>
      </w:pPr>
      <w:r>
        <w:rPr>
          <w:rFonts w:ascii="仿宋_GB2312" w:eastAsia="仿宋_GB2312" w:cs="仿宋_GB2312"/>
          <w:b/>
          <w:bCs/>
          <w:kern w:val="0"/>
          <w:sz w:val="32"/>
          <w:szCs w:val="32"/>
        </w:rPr>
        <w:t>2.人员编制实有情况</w:t>
      </w:r>
    </w:p>
    <w:p>
      <w:pPr>
        <w:spacing w:line="460" w:lineRule="exact"/>
        <w:ind w:firstLine="617" w:firstLineChars="193"/>
        <w:rPr>
          <w:rFonts w:ascii="仿宋_GB2312" w:eastAsia="仿宋_GB2312" w:cs="仿宋_GB2312"/>
          <w:kern w:val="0"/>
          <w:sz w:val="32"/>
          <w:szCs w:val="32"/>
        </w:rPr>
      </w:pPr>
      <w:r>
        <w:rPr>
          <w:rFonts w:hint="eastAsia" w:ascii="仿宋_GB2312" w:eastAsia="仿宋_GB2312" w:cs="仿宋_GB2312"/>
          <w:kern w:val="0"/>
          <w:sz w:val="32"/>
          <w:szCs w:val="32"/>
        </w:rPr>
        <w:t>我单位编制人数2人，年末实有人数2人。</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5"/>
        <w:rPr>
          <w:rFonts w:ascii="Times New Roman" w:hAnsi="Times New Roman" w:eastAsia="仿宋_GB2312" w:cs="Times New Roman"/>
          <w:sz w:val="32"/>
          <w:szCs w:val="32"/>
        </w:rPr>
      </w:pPr>
    </w:p>
    <w:p>
      <w:pPr>
        <w:ind w:firstLine="640" w:firstLineChars="200"/>
        <w:jc w:val="left"/>
        <w:rPr>
          <w:rFonts w:ascii="仿宋" w:hAnsi="仿宋" w:eastAsia="仿宋" w:cs="仿宋"/>
          <w:color w:val="FF0000"/>
          <w:sz w:val="32"/>
          <w:szCs w:val="32"/>
        </w:rPr>
      </w:pPr>
    </w:p>
    <w:p>
      <w:pPr>
        <w:jc w:val="center"/>
        <w:rPr>
          <w:rFonts w:ascii="仿宋" w:hAnsi="仿宋" w:eastAsia="仿宋" w:cs="仿宋"/>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ind w:firstLine="2560" w:firstLineChars="800"/>
        <w:jc w:val="both"/>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环江毛南族自治县第六幼儿园</w:t>
      </w:r>
      <w:r>
        <w:rPr>
          <w:rFonts w:hint="eastAsia" w:ascii="黑体" w:hAnsi="黑体" w:eastAsia="黑体" w:cs="黑体"/>
          <w:sz w:val="32"/>
          <w:szCs w:val="32"/>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表一：收入支出决算总表</w:t>
            </w:r>
          </w:p>
          <w:p>
            <w:pPr>
              <w:jc w:val="left"/>
              <w:rPr>
                <w:rFonts w:ascii="仿宋" w:hAnsi="仿宋" w:eastAsia="仿宋" w:cs="仿宋"/>
                <w:sz w:val="24"/>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3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6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2669"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r>
    </w:tbl>
    <w:p>
      <w:pPr>
        <w:rPr>
          <w:rFonts w:ascii="宋体" w:hAnsi="宋体" w:eastAsia="宋体" w:cs="宋体"/>
          <w:color w:val="000000"/>
          <w:kern w:val="0"/>
          <w:sz w:val="30"/>
          <w:szCs w:val="30"/>
          <w:lang w:bidi="ar"/>
        </w:rPr>
      </w:pPr>
      <w:r>
        <w:rPr>
          <w:rFonts w:hint="eastAsia" w:ascii="宋体" w:hAnsi="宋体" w:eastAsia="宋体" w:cs="宋体"/>
          <w:color w:val="000000"/>
          <w:kern w:val="0"/>
          <w:sz w:val="30"/>
          <w:szCs w:val="30"/>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表二：收入决算表</w:t>
            </w:r>
          </w:p>
          <w:p>
            <w:pPr>
              <w:jc w:val="left"/>
              <w:rPr>
                <w:rFonts w:ascii="仿宋" w:hAnsi="仿宋" w:eastAsia="仿宋" w:cs="仿宋"/>
                <w:sz w:val="24"/>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2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6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09"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1373"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67"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8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709"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15.20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15.20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注：本表反映部门本年度取得的各项收入情况。</w:t>
            </w:r>
          </w:p>
        </w:tc>
      </w:tr>
    </w:tbl>
    <w:p>
      <w:pPr>
        <w:jc w:val="cente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表三：支出决算表</w:t>
      </w:r>
    </w:p>
    <w:p>
      <w:pPr>
        <w:jc w:val="left"/>
        <w:rPr>
          <w:rFonts w:ascii="仿宋" w:hAnsi="仿宋" w:eastAsia="仿宋" w:cs="仿宋"/>
          <w:sz w:val="24"/>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2"/>
                <w:szCs w:val="32"/>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3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303"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22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2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60"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4"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02" w:type="dxa"/>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1653"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654"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702" w:type="dxa"/>
            <w:tcBorders>
              <w:top w:val="nil"/>
              <w:left w:val="nil"/>
              <w:bottom w:val="single" w:color="auto" w:sz="4" w:space="0"/>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15.20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15.20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ascii="宋体" w:hAnsi="宋体" w:eastAsia="宋体" w:cs="宋体"/>
                <w:b/>
                <w:bCs/>
                <w:color w:val="00000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注：本表反映部门本年度各项支出情况。</w:t>
            </w:r>
          </w:p>
        </w:tc>
      </w:tr>
    </w:tbl>
    <w:p>
      <w:pPr>
        <w:rPr>
          <w:rFonts w:ascii="仿宋" w:hAnsi="仿宋" w:eastAsia="仿宋" w:cs="仿宋"/>
          <w:sz w:val="24"/>
        </w:rPr>
      </w:pP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表四：财政拨款收入支出决算总表</w:t>
      </w:r>
    </w:p>
    <w:p>
      <w:pPr>
        <w:jc w:val="left"/>
        <w:rPr>
          <w:rFonts w:ascii="仿宋" w:hAnsi="仿宋" w:eastAsia="仿宋" w:cs="仿宋"/>
          <w:sz w:val="24"/>
        </w:rPr>
      </w:pPr>
    </w:p>
    <w:tbl>
      <w:tblPr>
        <w:tblStyle w:val="6"/>
        <w:tblW w:w="4966" w:type="pct"/>
        <w:tblInd w:w="0" w:type="dxa"/>
        <w:tblLayout w:type="fixed"/>
        <w:tblCellMar>
          <w:top w:w="0" w:type="dxa"/>
          <w:left w:w="108" w:type="dxa"/>
          <w:bottom w:w="0" w:type="dxa"/>
          <w:right w:w="108" w:type="dxa"/>
        </w:tblCellMar>
      </w:tblPr>
      <w:tblGrid>
        <w:gridCol w:w="2214"/>
        <w:gridCol w:w="786"/>
        <w:gridCol w:w="1306"/>
        <w:gridCol w:w="2359"/>
        <w:gridCol w:w="850"/>
        <w:gridCol w:w="1090"/>
        <w:gridCol w:w="1771"/>
        <w:gridCol w:w="1808"/>
        <w:gridCol w:w="1895"/>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6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2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4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72"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629"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40"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72" w:type="pct"/>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15.20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15.20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15.20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15.20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注：本表反映部门本年度一般公共预算财政拨款、政府性基金预算财政拨款和国有资本经营预算财政拨款的总收支和年末结转结余情况。</w:t>
            </w: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tc>
        <w:tc>
          <w:tcPr>
            <w:tcW w:w="672" w:type="pct"/>
            <w:tcBorders>
              <w:top w:val="single" w:color="auto" w:sz="4" w:space="0"/>
              <w:left w:val="nil"/>
              <w:bottom w:val="nil"/>
              <w:right w:val="nil"/>
            </w:tcBorders>
            <w:shd w:val="clear" w:color="auto" w:fill="auto"/>
            <w:noWrap/>
            <w:vAlign w:val="center"/>
          </w:tcPr>
          <w:p>
            <w:pPr>
              <w:jc w:val="left"/>
              <w:rPr>
                <w:rFonts w:ascii="宋体" w:hAnsi="宋体" w:eastAsia="宋体" w:cs="宋体"/>
                <w:color w:val="000000"/>
                <w:sz w:val="20"/>
                <w:szCs w:val="20"/>
              </w:rPr>
            </w:pP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表五：一般公共预算财政拨款支出决算表</w:t>
      </w:r>
    </w:p>
    <w:p>
      <w:pPr>
        <w:jc w:val="left"/>
        <w:rPr>
          <w:rFonts w:ascii="仿宋" w:hAnsi="仿宋" w:eastAsia="仿宋" w:cs="仿宋"/>
          <w:sz w:val="24"/>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5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3107"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15.20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15.20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15.20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15.20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15.20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15.20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15.20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15.20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注：本表反映部门本年度一般公共预算财政拨款支出情况。</w:t>
            </w: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表六：一般公共预算财政拨款基本支出决算表</w:t>
      </w:r>
    </w:p>
    <w:p>
      <w:pPr>
        <w:jc w:val="left"/>
        <w:rPr>
          <w:rFonts w:ascii="仿宋" w:hAnsi="仿宋" w:eastAsia="仿宋" w:cs="仿宋"/>
          <w:sz w:val="24"/>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7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0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0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116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3456"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科目编码</w:t>
            </w:r>
          </w:p>
          <w:p>
            <w:pPr>
              <w:widowControl/>
              <w:jc w:val="center"/>
              <w:textAlignment w:val="center"/>
              <w:rPr>
                <w:rFonts w:ascii="宋体" w:hAnsi="宋体" w:eastAsia="宋体" w:cs="宋体"/>
                <w:color w:val="000000"/>
                <w:sz w:val="22"/>
                <w:szCs w:val="22"/>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注：本表反映部门本年度一般公共预算财政拨款基本支出明细情况。</w:t>
            </w:r>
          </w:p>
        </w:tc>
      </w:tr>
    </w:tbl>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因本单位2022年没有一般公共预算财政拨款基本经费资金收入，也没有一般公共预算财政拨款基本经费资金安排的支出，故本表无数据。</w:t>
      </w: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表七：政府性基金预算财政拨款收入支出决算表</w:t>
      </w:r>
    </w:p>
    <w:p>
      <w:pPr>
        <w:jc w:val="left"/>
        <w:rPr>
          <w:rFonts w:ascii="仿宋" w:hAnsi="仿宋" w:eastAsia="仿宋" w:cs="仿宋"/>
          <w:sz w:val="24"/>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30"/>
        <w:gridCol w:w="1948"/>
      </w:tblGrid>
      <w:tr>
        <w:tblPrEx>
          <w:tblCellMar>
            <w:top w:w="0" w:type="dxa"/>
            <w:left w:w="108" w:type="dxa"/>
            <w:bottom w:w="0" w:type="dxa"/>
            <w:right w:w="108" w:type="dxa"/>
          </w:tblCellMar>
        </w:tblPrEx>
        <w:trPr>
          <w:trHeight w:val="536" w:hRule="atLeast"/>
        </w:trPr>
        <w:tc>
          <w:tcPr>
            <w:tcW w:w="13982" w:type="dxa"/>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CellMar>
            <w:top w:w="0" w:type="dxa"/>
            <w:left w:w="108" w:type="dxa"/>
            <w:bottom w:w="0" w:type="dxa"/>
            <w:right w:w="108" w:type="dxa"/>
          </w:tblCellMar>
        </w:tblPrEx>
        <w:trPr>
          <w:trHeight w:val="268" w:hRule="atLeast"/>
        </w:trPr>
        <w:tc>
          <w:tcPr>
            <w:tcW w:w="8624"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168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本年收入</w:t>
            </w:r>
          </w:p>
        </w:tc>
        <w:tc>
          <w:tcPr>
            <w:tcW w:w="50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c>
          <w:tcPr>
            <w:tcW w:w="1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年末结转和结余</w:t>
            </w:r>
          </w:p>
        </w:tc>
      </w:tr>
      <w:tr>
        <w:tblPrEx>
          <w:tblCellMar>
            <w:top w:w="0" w:type="dxa"/>
            <w:left w:w="108" w:type="dxa"/>
            <w:bottom w:w="0" w:type="dxa"/>
            <w:right w:w="108" w:type="dxa"/>
          </w:tblCellMar>
        </w:tblPrEx>
        <w:trPr>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3982" w:type="dxa"/>
            <w:gridSpan w:val="10"/>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注：本表反映部门本年度政府性基金预算财政拨款收入、支出及结转和结余情况。</w:t>
            </w:r>
          </w:p>
          <w:p>
            <w:pPr>
              <w:ind w:firstLine="420" w:firstLineChars="200"/>
            </w:pPr>
            <w:r>
              <w:rPr>
                <w:rFonts w:hint="eastAsia" w:ascii="宋体" w:hAnsi="宋体" w:eastAsia="宋体" w:cs="宋体"/>
                <w:color w:val="000000" w:themeColor="text1"/>
                <w:szCs w:val="21"/>
                <w:lang w:bidi="ar"/>
                <w14:textFill>
                  <w14:solidFill>
                    <w14:schemeClr w14:val="tx1"/>
                  </w14:solidFill>
                </w14:textFill>
              </w:rPr>
              <w:t>本单位</w:t>
            </w:r>
            <w:r>
              <w:rPr>
                <w:rFonts w:ascii="Times New Roman" w:hAnsi="Times New Roman" w:eastAsia="宋体" w:cs="Times New Roman"/>
                <w:color w:val="000000" w:themeColor="text1"/>
                <w:szCs w:val="21"/>
                <w:lang w:bidi="ar"/>
                <w14:textFill>
                  <w14:solidFill>
                    <w14:schemeClr w14:val="tx1"/>
                  </w14:solidFill>
                </w14:textFill>
              </w:rPr>
              <w:t>2022</w:t>
            </w:r>
            <w:r>
              <w:rPr>
                <w:rFonts w:hint="eastAsia" w:ascii="宋体" w:hAnsi="宋体" w:eastAsia="宋体" w:cs="宋体"/>
                <w:color w:val="000000" w:themeColor="text1"/>
                <w:szCs w:val="21"/>
                <w:lang w:bidi="ar"/>
                <w14:textFill>
                  <w14:solidFill>
                    <w14:schemeClr w14:val="tx1"/>
                  </w14:solidFill>
                </w14:textFill>
              </w:rPr>
              <w:t>年度没有政府性基金预算财政拨款收入，也没有政府性基金预算财政拨款安排的支出，故本表无数据。</w:t>
            </w:r>
            <w:r>
              <w:rPr>
                <w:rFonts w:hint="eastAsia" w:ascii="Times New Roman" w:hAnsi="Times New Roman" w:eastAsia="宋体" w:cs="Times New Roman"/>
                <w:color w:val="000000"/>
                <w:szCs w:val="21"/>
                <w:lang w:bidi="ar"/>
              </w:rPr>
              <w:t xml:space="preserve"> </w:t>
            </w:r>
          </w:p>
          <w:p>
            <w:pPr>
              <w:widowControl/>
              <w:jc w:val="left"/>
              <w:textAlignment w:val="center"/>
              <w:rPr>
                <w:rFonts w:ascii="宋体" w:hAnsi="宋体" w:eastAsia="宋体" w:cs="宋体"/>
                <w:color w:val="000000"/>
                <w:kern w:val="0"/>
                <w:sz w:val="22"/>
                <w:szCs w:val="22"/>
                <w:lang w:bidi="ar"/>
              </w:rPr>
            </w:pP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表八：国有资本经营预算财政拨款支出决算表</w:t>
      </w:r>
    </w:p>
    <w:p>
      <w:pPr>
        <w:jc w:val="left"/>
        <w:rPr>
          <w:rFonts w:ascii="仿宋" w:hAnsi="仿宋" w:eastAsia="仿宋" w:cs="仿宋"/>
          <w:sz w:val="24"/>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9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bl>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注：本表反映部门本年度国有资本经营预算财政拨款支出情况。</w:t>
      </w:r>
    </w:p>
    <w:p>
      <w:pPr>
        <w:widowControl/>
        <w:ind w:firstLine="420" w:firstLineChars="200"/>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本单位</w:t>
      </w:r>
      <w:r>
        <w:rPr>
          <w:rFonts w:ascii="Times New Roman" w:hAnsi="Times New Roman" w:eastAsia="宋体" w:cs="Times New Roman"/>
          <w:color w:val="000000" w:themeColor="text1"/>
          <w:szCs w:val="21"/>
          <w:lang w:bidi="ar"/>
          <w14:textFill>
            <w14:solidFill>
              <w14:schemeClr w14:val="tx1"/>
            </w14:solidFill>
          </w14:textFill>
        </w:rPr>
        <w:t>2022</w:t>
      </w:r>
      <w:r>
        <w:rPr>
          <w:rFonts w:hint="eastAsia" w:ascii="宋体" w:hAnsi="宋体" w:eastAsia="宋体" w:cs="宋体"/>
          <w:color w:val="000000" w:themeColor="text1"/>
          <w:szCs w:val="21"/>
          <w:lang w:bidi="ar"/>
          <w14:textFill>
            <w14:solidFill>
              <w14:schemeClr w14:val="tx1"/>
            </w14:solidFill>
          </w14:textFill>
        </w:rPr>
        <w:t>年度没有国有资本经营预算财政拨款收入，也没有国有资本经营预算财政拨款安排的支出，故本表无数据。</w:t>
      </w:r>
    </w:p>
    <w:p>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表九：财政拨款“三公”经费支出决算表</w:t>
            </w:r>
          </w:p>
          <w:p>
            <w:pPr>
              <w:widowControl/>
              <w:jc w:val="center"/>
              <w:textAlignment w:val="bottom"/>
              <w:rPr>
                <w:rFonts w:ascii="宋体" w:hAnsi="宋体" w:eastAsia="宋体" w:cs="宋体"/>
                <w:color w:val="000000"/>
                <w:kern w:val="0"/>
                <w:sz w:val="30"/>
                <w:szCs w:val="30"/>
                <w:lang w:bidi="ar"/>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73"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环江毛南族自治县第六幼儿园</w:t>
            </w: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6"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4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6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6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p>
            <w:pPr>
              <w:widowControl/>
              <w:jc w:val="center"/>
              <w:textAlignment w:val="center"/>
              <w:rPr>
                <w:rFonts w:ascii="宋体" w:hAnsi="宋体" w:eastAsia="宋体" w:cs="宋体"/>
                <w:color w:val="000000"/>
                <w:sz w:val="22"/>
                <w:szCs w:val="22"/>
              </w:rPr>
            </w:pPr>
          </w:p>
        </w:tc>
        <w:tc>
          <w:tcPr>
            <w:tcW w:w="14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16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0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tcPr>
          <w:p>
            <w:pPr>
              <w:jc w:val="right"/>
            </w:pPr>
            <w:r>
              <w:t>0.00</w:t>
            </w:r>
          </w:p>
        </w:tc>
        <w:tc>
          <w:tcPr>
            <w:tcW w:w="1073" w:type="dxa"/>
            <w:tcBorders>
              <w:top w:val="nil"/>
              <w:left w:val="nil"/>
              <w:bottom w:val="single" w:color="000000" w:sz="4" w:space="0"/>
              <w:right w:val="single" w:color="000000" w:sz="4" w:space="0"/>
            </w:tcBorders>
            <w:shd w:val="clear" w:color="auto" w:fill="auto"/>
            <w:noWrap/>
          </w:tcPr>
          <w:p>
            <w:pPr>
              <w:jc w:val="right"/>
            </w:pPr>
            <w:r>
              <w:rPr>
                <w:rFonts w:hint="eastAsia"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ind w:firstLine="420" w:firstLineChars="20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themeColor="text1"/>
                <w:szCs w:val="21"/>
                <w:lang w:bidi="ar"/>
                <w14:textFill>
                  <w14:solidFill>
                    <w14:schemeClr w14:val="tx1"/>
                  </w14:solidFill>
                </w14:textFill>
              </w:rPr>
              <w:t>本单位</w:t>
            </w:r>
            <w:r>
              <w:rPr>
                <w:rFonts w:ascii="Times New Roman" w:hAnsi="Times New Roman" w:eastAsia="宋体" w:cs="Times New Roman"/>
                <w:color w:val="000000" w:themeColor="text1"/>
                <w:szCs w:val="21"/>
                <w:lang w:bidi="ar"/>
                <w14:textFill>
                  <w14:solidFill>
                    <w14:schemeClr w14:val="tx1"/>
                  </w14:solidFill>
                </w14:textFill>
              </w:rPr>
              <w:t>2022</w:t>
            </w:r>
            <w:r>
              <w:rPr>
                <w:rFonts w:hint="eastAsia" w:ascii="宋体" w:hAnsi="宋体" w:eastAsia="宋体" w:cs="宋体"/>
                <w:color w:val="000000" w:themeColor="text1"/>
                <w:szCs w:val="21"/>
                <w:lang w:bidi="ar"/>
                <w14:textFill>
                  <w14:solidFill>
                    <w14:schemeClr w14:val="tx1"/>
                  </w14:solidFill>
                </w14:textFill>
              </w:rPr>
              <w:t>年度没有财政拨款“三公”经费收入，也没有财政拨款“三公”经费安排的支出，故本表无数据。</w:t>
            </w:r>
            <w:r>
              <w:rPr>
                <w:rFonts w:hint="eastAsia" w:ascii="宋体" w:hAnsi="宋体" w:eastAsia="宋体" w:cs="宋体"/>
                <w:color w:val="FF0000"/>
                <w:szCs w:val="21"/>
                <w:lang w:bidi="ar"/>
              </w:rPr>
              <w:t xml:space="preserve"> </w:t>
            </w:r>
          </w:p>
        </w:tc>
      </w:tr>
    </w:tbl>
    <w:p>
      <w:pPr>
        <w:ind w:firstLine="420"/>
        <w:jc w:val="left"/>
        <w:rPr>
          <w:rFonts w:ascii="仿宋" w:hAnsi="仿宋" w:eastAsia="仿宋" w:cs="仿宋"/>
          <w:sz w:val="24"/>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rPr>
      </w:pPr>
    </w:p>
    <w:p>
      <w:pPr>
        <w:jc w:val="center"/>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环江毛南族自治县第六幼儿园</w:t>
      </w:r>
      <w:r>
        <w:rPr>
          <w:rFonts w:hint="eastAsia" w:ascii="黑体" w:hAnsi="黑体" w:eastAsia="黑体" w:cs="黑体"/>
          <w:sz w:val="32"/>
          <w:szCs w:val="32"/>
        </w:rPr>
        <w:t>2022年度部门决算情况说明</w:t>
      </w:r>
    </w:p>
    <w:p>
      <w:pPr>
        <w:jc w:val="left"/>
        <w:rPr>
          <w:rFonts w:ascii="黑体" w:hAnsi="黑体" w:eastAsia="黑体" w:cs="黑体"/>
          <w:sz w:val="32"/>
          <w:szCs w:val="32"/>
        </w:rPr>
      </w:pPr>
      <w:r>
        <w:rPr>
          <w:rFonts w:hint="eastAsia" w:ascii="黑体" w:hAnsi="黑体" w:eastAsia="黑体" w:cs="黑体"/>
          <w:sz w:val="32"/>
          <w:szCs w:val="32"/>
        </w:rPr>
        <w:t>一、2022年度收入支出决算总体情况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（一）本部门2022年度总收入</w:t>
      </w:r>
      <w:r>
        <w:rPr>
          <w:rFonts w:ascii="仿宋" w:hAnsi="仿宋" w:eastAsia="仿宋" w:cs="仿宋"/>
          <w:sz w:val="32"/>
        </w:rPr>
        <w:t>15.20</w:t>
      </w:r>
      <w:r>
        <w:rPr>
          <w:rFonts w:hint="eastAsia" w:ascii="仿宋" w:hAnsi="仿宋" w:eastAsia="仿宋" w:cs="仿宋"/>
          <w:sz w:val="32"/>
          <w:szCs w:val="32"/>
        </w:rPr>
        <w:t>万元，较2021年度决算数</w:t>
      </w:r>
      <w:r>
        <w:rPr>
          <w:rFonts w:ascii="仿宋" w:hAnsi="仿宋" w:eastAsia="仿宋" w:cs="仿宋"/>
          <w:sz w:val="32"/>
        </w:rPr>
        <w:t>增加15.20</w:t>
      </w:r>
      <w:r>
        <w:rPr>
          <w:rFonts w:hint="eastAsia" w:ascii="仿宋" w:hAnsi="仿宋" w:eastAsia="仿宋" w:cs="仿宋"/>
          <w:sz w:val="32"/>
          <w:szCs w:val="32"/>
        </w:rPr>
        <w:t>万元，</w:t>
      </w:r>
      <w:r>
        <w:rPr>
          <w:rFonts w:ascii="仿宋" w:hAnsi="仿宋" w:eastAsia="仿宋" w:cs="仿宋"/>
          <w:sz w:val="32"/>
        </w:rPr>
        <w:t>增长100%</w:t>
      </w:r>
      <w:r>
        <w:rPr>
          <w:rFonts w:hint="eastAsia" w:ascii="仿宋" w:hAnsi="仿宋" w:eastAsia="仿宋" w:cs="仿宋"/>
          <w:sz w:val="32"/>
          <w:szCs w:val="32"/>
        </w:rPr>
        <w:t>，其中本年收入</w:t>
      </w:r>
      <w:r>
        <w:rPr>
          <w:rFonts w:ascii="仿宋" w:hAnsi="仿宋" w:eastAsia="仿宋" w:cs="仿宋"/>
          <w:sz w:val="32"/>
        </w:rPr>
        <w:t>15.20</w:t>
      </w:r>
      <w:r>
        <w:rPr>
          <w:rFonts w:hint="eastAsia" w:ascii="仿宋" w:hAnsi="仿宋" w:eastAsia="仿宋" w:cs="仿宋"/>
          <w:sz w:val="32"/>
          <w:szCs w:val="32"/>
        </w:rPr>
        <w:t>万元。收入具体情况如下。</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lang w:bidi="ar"/>
        </w:rPr>
        <w:t>1.一般公共预算财政拨款收入</w:t>
      </w:r>
      <w:r>
        <w:rPr>
          <w:rFonts w:ascii="仿宋" w:hAnsi="仿宋" w:eastAsia="仿宋" w:cs="仿宋"/>
          <w:sz w:val="32"/>
        </w:rPr>
        <w:t>15.20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增加15.20</w:t>
      </w:r>
      <w:r>
        <w:rPr>
          <w:rFonts w:hint="eastAsia" w:ascii="仿宋" w:hAnsi="仿宋" w:eastAsia="仿宋" w:cs="仿宋"/>
          <w:sz w:val="32"/>
          <w:szCs w:val="32"/>
          <w:lang w:bidi="ar"/>
        </w:rPr>
        <w:t>万元，</w:t>
      </w:r>
      <w:r>
        <w:rPr>
          <w:rFonts w:ascii="仿宋" w:hAnsi="仿宋" w:eastAsia="仿宋" w:cs="仿宋"/>
          <w:sz w:val="32"/>
        </w:rPr>
        <w:t>增长100%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主要原因：本单位为2022年新增单位。</w:t>
      </w:r>
    </w:p>
    <w:p>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sz w:val="32"/>
          <w:szCs w:val="32"/>
          <w:lang w:bidi="ar"/>
        </w:rPr>
        <w:t>2.政府性基金预算财政拨款收入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主要原因：本单位2022年度没有政府性基金预算财政拨款收入，也没有政府性基金预算财政拨款安排的支出，故无数据。</w:t>
      </w:r>
    </w:p>
    <w:p>
      <w:pPr>
        <w:ind w:firstLine="640" w:firstLineChars="200"/>
        <w:jc w:val="left"/>
        <w:rPr>
          <w:rFonts w:ascii="仿宋" w:hAnsi="仿宋" w:eastAsia="仿宋" w:cs="仿宋"/>
          <w:color w:val="000000" w:themeColor="text1"/>
          <w:sz w:val="32"/>
          <w:szCs w:val="32"/>
          <w:lang w:bidi="ar"/>
          <w14:textFill>
            <w14:solidFill>
              <w14:schemeClr w14:val="tx1"/>
            </w14:solidFill>
          </w14:textFill>
        </w:rPr>
      </w:pPr>
      <w:r>
        <w:rPr>
          <w:rFonts w:hint="eastAsia" w:ascii="仿宋" w:hAnsi="仿宋" w:eastAsia="仿宋" w:cs="仿宋"/>
          <w:sz w:val="32"/>
          <w:szCs w:val="32"/>
          <w:lang w:bidi="ar"/>
        </w:rPr>
        <w:t>3.国有资本经营预算财政拨款收入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主要原因是：本单位2022年度没有国有资本经营预算财政拨款收入，也没有国有资本经营预算财政拨款安排的支出，故本表无数据。</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bidi="ar"/>
        </w:rPr>
        <w:t>4.上级补助收入</w:t>
      </w:r>
      <w:r>
        <w:rPr>
          <w:rFonts w:ascii="仿宋" w:hAnsi="仿宋" w:eastAsia="仿宋" w:cs="仿宋"/>
          <w:sz w:val="32"/>
        </w:rPr>
        <w:t>0.00</w:t>
      </w:r>
      <w:r>
        <w:rPr>
          <w:rFonts w:hint="eastAsia" w:ascii="仿宋" w:hAnsi="仿宋" w:eastAsia="仿宋" w:cs="仿宋"/>
          <w:sz w:val="32"/>
          <w:szCs w:val="32"/>
          <w:lang w:bidi="ar"/>
        </w:rPr>
        <w:t>万元，为上级部门当年拨付的资金。较2021年度决算数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主要原因是：本单位2022年度没有上级补助收入，也没有上级补助收入安排的支出，故无数据。</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5.事业收入</w:t>
      </w:r>
      <w:r>
        <w:rPr>
          <w:rFonts w:ascii="仿宋" w:hAnsi="仿宋" w:eastAsia="仿宋" w:cs="仿宋"/>
          <w:sz w:val="32"/>
        </w:rPr>
        <w:t>0.00</w:t>
      </w:r>
      <w:r>
        <w:rPr>
          <w:rFonts w:hint="eastAsia" w:ascii="仿宋" w:hAnsi="仿宋" w:eastAsia="仿宋" w:cs="仿宋"/>
          <w:sz w:val="32"/>
          <w:szCs w:val="32"/>
          <w:lang w:bidi="ar"/>
        </w:rPr>
        <w:t>万元，为事业单位开展业务活动取得的收入。较2021年度决算数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无事业收入</w:t>
      </w:r>
      <w:r>
        <w:rPr>
          <w:rFonts w:hint="eastAsia" w:ascii="仿宋" w:hAnsi="仿宋" w:eastAsia="仿宋" w:cs="仿宋"/>
          <w:color w:val="000000" w:themeColor="text1"/>
          <w:sz w:val="32"/>
          <w:szCs w:val="32"/>
          <w:lang w:bidi="ar"/>
          <w14:textFill>
            <w14:solidFill>
              <w14:schemeClr w14:val="tx1"/>
            </w14:solidFill>
          </w14:textFill>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6.经营收入0.00万,为事业单位在业务活动之外开展非独立核算经营活动取得的收入。较2021年度决算数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主要原因是：本单位没有经营性收入。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7.附属单位上缴收入</w:t>
      </w:r>
      <w:r>
        <w:rPr>
          <w:rFonts w:ascii="仿宋" w:hAnsi="仿宋" w:eastAsia="仿宋" w:cs="仿宋"/>
          <w:sz w:val="32"/>
        </w:rPr>
        <w:t>0.00</w:t>
      </w:r>
      <w:r>
        <w:rPr>
          <w:rFonts w:hint="eastAsia" w:ascii="仿宋" w:hAnsi="仿宋" w:eastAsia="仿宋" w:cs="仿宋"/>
          <w:sz w:val="32"/>
          <w:szCs w:val="32"/>
          <w:lang w:bidi="ar"/>
        </w:rPr>
        <w:t>万元。较2021年度决算数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主要原因是：本单位无附属单位上缴收入。</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bidi="ar"/>
        </w:rPr>
        <w:t>8.其他收入</w:t>
      </w:r>
      <w:r>
        <w:rPr>
          <w:rFonts w:ascii="仿宋" w:hAnsi="仿宋" w:eastAsia="仿宋" w:cs="仿宋"/>
          <w:sz w:val="32"/>
        </w:rPr>
        <w:t>0.00</w:t>
      </w:r>
      <w:r>
        <w:rPr>
          <w:rFonts w:hint="eastAsia" w:ascii="仿宋" w:hAnsi="仿宋" w:eastAsia="仿宋" w:cs="仿宋"/>
          <w:sz w:val="32"/>
          <w:szCs w:val="32"/>
          <w:lang w:bidi="ar"/>
        </w:rPr>
        <w:t>万元,为预算单位在“财政拨款收入”“事业收入”“经营收入”之外取得的收入。较2021年度决算数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主要原因是：本单位没有其他收入。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9.使用非财政拨款结余</w:t>
      </w:r>
      <w:r>
        <w:rPr>
          <w:rFonts w:ascii="仿宋" w:hAnsi="仿宋" w:eastAsia="仿宋" w:cs="仿宋"/>
          <w:sz w:val="32"/>
        </w:rPr>
        <w:t>0.00</w:t>
      </w:r>
      <w:r>
        <w:rPr>
          <w:rFonts w:hint="eastAsia" w:ascii="仿宋" w:hAnsi="仿宋" w:eastAsia="仿宋" w:cs="仿宋"/>
          <w:sz w:val="32"/>
          <w:szCs w:val="32"/>
          <w:lang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主要原因是：本单位没有非财政拨款结余。</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bidi="ar"/>
        </w:rPr>
        <w:t>10.上年结转和结余</w:t>
      </w:r>
      <w:r>
        <w:rPr>
          <w:rFonts w:ascii="仿宋" w:hAnsi="仿宋" w:eastAsia="仿宋" w:cs="仿宋"/>
          <w:sz w:val="32"/>
        </w:rPr>
        <w:t>0.00</w:t>
      </w:r>
      <w:r>
        <w:rPr>
          <w:rFonts w:hint="eastAsia" w:ascii="仿宋" w:hAnsi="仿宋" w:eastAsia="仿宋" w:cs="仿宋"/>
          <w:sz w:val="32"/>
          <w:szCs w:val="32"/>
          <w:lang w:bidi="ar"/>
        </w:rPr>
        <w:t>万元，为以前年度支出预算因客观条件变化未执行完毕、结转到本年度按有关规定继续使用的资金。较2021年度决算数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主要原因：部分项目已在本年执行完毕，不需要结转至下年继续执行。</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2638425"/>
            <wp:effectExtent l="4445" t="4445" r="20955"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（二）本部门2022年度总支出</w:t>
      </w:r>
      <w:r>
        <w:rPr>
          <w:rFonts w:ascii="仿宋" w:hAnsi="仿宋" w:eastAsia="仿宋" w:cs="仿宋"/>
          <w:sz w:val="32"/>
        </w:rPr>
        <w:t>15.20</w:t>
      </w:r>
      <w:r>
        <w:rPr>
          <w:rFonts w:hint="eastAsia" w:ascii="仿宋" w:hAnsi="仿宋" w:eastAsia="仿宋" w:cs="仿宋"/>
          <w:sz w:val="32"/>
          <w:szCs w:val="32"/>
        </w:rPr>
        <w:t>万元，其中本年支出</w:t>
      </w:r>
      <w:r>
        <w:rPr>
          <w:rFonts w:ascii="仿宋" w:hAnsi="仿宋" w:eastAsia="仿宋" w:cs="仿宋"/>
          <w:sz w:val="32"/>
        </w:rPr>
        <w:t>15.20</w:t>
      </w:r>
      <w:r>
        <w:rPr>
          <w:rFonts w:hint="eastAsia" w:ascii="仿宋" w:hAnsi="仿宋" w:eastAsia="仿宋" w:cs="仿宋"/>
          <w:sz w:val="32"/>
          <w:szCs w:val="32"/>
        </w:rPr>
        <w:t>万元，较2021年度决算数</w:t>
      </w:r>
      <w:r>
        <w:rPr>
          <w:rFonts w:ascii="仿宋" w:hAnsi="仿宋" w:eastAsia="仿宋" w:cs="仿宋"/>
          <w:sz w:val="32"/>
        </w:rPr>
        <w:t>增加15.20</w:t>
      </w:r>
      <w:r>
        <w:rPr>
          <w:rFonts w:hint="eastAsia" w:ascii="仿宋" w:hAnsi="仿宋" w:eastAsia="仿宋" w:cs="仿宋"/>
          <w:sz w:val="32"/>
          <w:szCs w:val="32"/>
        </w:rPr>
        <w:t>万元，</w:t>
      </w:r>
      <w:r>
        <w:rPr>
          <w:rFonts w:ascii="仿宋" w:hAnsi="仿宋" w:eastAsia="仿宋" w:cs="仿宋"/>
          <w:sz w:val="32"/>
        </w:rPr>
        <w:t>增长100%</w:t>
      </w:r>
      <w:r>
        <w:rPr>
          <w:rFonts w:hint="eastAsia" w:ascii="仿宋" w:hAnsi="仿宋" w:eastAsia="仿宋" w:cs="仿宋"/>
          <w:sz w:val="32"/>
          <w:szCs w:val="32"/>
        </w:rPr>
        <w:t>。支出具体情况如下：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rPr>
        <w:t>.</w:t>
      </w:r>
      <w:r>
        <w:rPr>
          <w:rFonts w:hint="eastAsia" w:ascii="仿宋" w:hAnsi="仿宋" w:eastAsia="仿宋" w:cs="仿宋"/>
          <w:sz w:val="32"/>
          <w:szCs w:val="32"/>
          <w:lang w:bidi="ar"/>
        </w:rPr>
        <w:t>教育支出</w:t>
      </w:r>
      <w:r>
        <w:rPr>
          <w:rFonts w:hint="eastAsia" w:ascii="仿宋" w:hAnsi="仿宋" w:eastAsia="仿宋" w:cs="仿宋"/>
          <w:sz w:val="32"/>
          <w:szCs w:val="32"/>
        </w:rPr>
        <w:t>（</w:t>
      </w:r>
      <w:r>
        <w:rPr>
          <w:rFonts w:hint="eastAsia" w:ascii="仿宋" w:hAnsi="仿宋" w:eastAsia="仿宋" w:cs="仿宋"/>
          <w:sz w:val="32"/>
          <w:szCs w:val="32"/>
          <w:lang w:bidi="ar"/>
        </w:rPr>
        <w:t>205</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15.20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hint="eastAsia" w:ascii="华文仿宋" w:hAnsi="华文仿宋" w:eastAsia="华文仿宋" w:cs="华文仿宋"/>
          <w:kern w:val="0"/>
          <w:sz w:val="32"/>
          <w:szCs w:val="32"/>
        </w:rPr>
        <w:t>全园聘用教师人员工资及为开展教育教学活动的支出</w:t>
      </w:r>
      <w:r>
        <w:rPr>
          <w:rFonts w:hint="eastAsia" w:ascii="仿宋" w:hAnsi="仿宋" w:eastAsia="仿宋" w:cs="仿宋"/>
          <w:sz w:val="32"/>
          <w:szCs w:val="32"/>
        </w:rPr>
        <w:t>。较2021年度决算数</w:t>
      </w:r>
      <w:r>
        <w:rPr>
          <w:rFonts w:hint="eastAsia" w:ascii="仿宋" w:hAnsi="仿宋" w:eastAsia="仿宋" w:cs="仿宋"/>
          <w:sz w:val="32"/>
          <w:szCs w:val="32"/>
          <w:lang w:bidi="ar"/>
        </w:rPr>
        <w:t>增加15.20</w:t>
      </w:r>
      <w:r>
        <w:rPr>
          <w:rFonts w:hint="eastAsia" w:ascii="仿宋" w:hAnsi="仿宋" w:eastAsia="仿宋" w:cs="仿宋"/>
          <w:sz w:val="32"/>
          <w:szCs w:val="32"/>
        </w:rPr>
        <w:t>万元，</w:t>
      </w:r>
      <w:r>
        <w:rPr>
          <w:rFonts w:hint="eastAsia" w:ascii="仿宋" w:hAnsi="仿宋" w:eastAsia="仿宋" w:cs="仿宋"/>
          <w:sz w:val="32"/>
          <w:szCs w:val="32"/>
          <w:lang w:bidi="ar"/>
        </w:rPr>
        <w:t>增长100%</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主要原因是：本单位为2022年新增单位。</w:t>
      </w:r>
    </w:p>
    <w:p>
      <w:pPr>
        <w:ind w:firstLine="620" w:firstLineChars="200"/>
        <w:jc w:val="left"/>
        <w:rPr>
          <w:rFonts w:ascii="仿宋" w:hAnsi="仿宋" w:eastAsia="仿宋_GB2312" w:cs="仿宋"/>
          <w:sz w:val="32"/>
          <w:szCs w:val="32"/>
          <w:lang w:bidi="ar"/>
        </w:rPr>
      </w:pPr>
      <w:r>
        <w:rPr>
          <w:rFonts w:ascii="仿宋_GB2312" w:hAnsi="微软雅黑" w:eastAsia="仿宋_GB2312" w:cs="仿宋_GB2312"/>
          <w:color w:val="000000"/>
          <w:sz w:val="31"/>
          <w:szCs w:val="31"/>
          <w:shd w:val="clear" w:color="auto" w:fill="FFFFFF"/>
        </w:rPr>
        <w:t>结余分配</w:t>
      </w:r>
      <w:r>
        <w:rPr>
          <w:rFonts w:hint="eastAsia" w:ascii="仿宋_GB2312" w:hAnsi="微软雅黑" w:eastAsia="仿宋_GB2312" w:cs="仿宋_GB2312"/>
          <w:color w:val="000000"/>
          <w:sz w:val="31"/>
          <w:szCs w:val="31"/>
          <w:shd w:val="clear" w:color="auto" w:fill="FFFFFF"/>
        </w:rPr>
        <w:t>0.00</w:t>
      </w:r>
      <w:r>
        <w:rPr>
          <w:rFonts w:ascii="仿宋_GB2312" w:hAnsi="微软雅黑" w:eastAsia="仿宋_GB2312" w:cs="仿宋_GB2312"/>
          <w:color w:val="000000"/>
          <w:sz w:val="31"/>
          <w:szCs w:val="31"/>
          <w:shd w:val="clear" w:color="auto" w:fill="FFFFFF"/>
        </w:rPr>
        <w:t>万元，为事业单位按规定提取的专用结余、缴纳所得税和转入非财政拨款结余等。较202</w:t>
      </w:r>
      <w:r>
        <w:rPr>
          <w:rFonts w:hint="eastAsia" w:ascii="仿宋_GB2312" w:hAnsi="微软雅黑" w:eastAsia="仿宋_GB2312" w:cs="仿宋_GB2312"/>
          <w:color w:val="000000"/>
          <w:sz w:val="31"/>
          <w:szCs w:val="31"/>
          <w:shd w:val="clear" w:color="auto" w:fill="FFFFFF"/>
        </w:rPr>
        <w:t>1</w:t>
      </w:r>
      <w:r>
        <w:rPr>
          <w:rFonts w:ascii="仿宋_GB2312" w:hAnsi="微软雅黑" w:eastAsia="仿宋_GB2312" w:cs="仿宋_GB2312"/>
          <w:color w:val="000000"/>
          <w:sz w:val="31"/>
          <w:szCs w:val="31"/>
          <w:shd w:val="clear" w:color="auto" w:fill="FFFFFF"/>
        </w:rPr>
        <w:t>年决算万元</w:t>
      </w:r>
      <w:r>
        <w:rPr>
          <w:rFonts w:hint="eastAsia" w:ascii="仿宋_GB2312" w:hAnsi="微软雅黑" w:eastAsia="仿宋_GB2312" w:cs="仿宋_GB2312"/>
          <w:color w:val="000000"/>
          <w:sz w:val="31"/>
          <w:szCs w:val="31"/>
          <w:shd w:val="clear" w:color="auto" w:fill="FFFFFF"/>
        </w:rPr>
        <w:t>,增加0.00</w:t>
      </w:r>
      <w:r>
        <w:rPr>
          <w:rFonts w:ascii="仿宋_GB2312" w:hAnsi="微软雅黑" w:eastAsia="仿宋_GB2312" w:cs="仿宋_GB2312"/>
          <w:color w:val="000000"/>
          <w:sz w:val="31"/>
          <w:szCs w:val="31"/>
          <w:shd w:val="clear" w:color="auto" w:fill="FFFFFF"/>
        </w:rPr>
        <w:t>万元，</w:t>
      </w:r>
      <w:r>
        <w:rPr>
          <w:rFonts w:hint="eastAsia" w:ascii="仿宋_GB2312" w:hAnsi="微软雅黑" w:eastAsia="仿宋_GB2312" w:cs="仿宋_GB2312"/>
          <w:color w:val="000000"/>
          <w:sz w:val="31"/>
          <w:szCs w:val="31"/>
          <w:shd w:val="clear" w:color="auto" w:fill="FFFFFF"/>
        </w:rPr>
        <w:t>增长0%</w:t>
      </w:r>
      <w:r>
        <w:rPr>
          <w:rFonts w:ascii="仿宋_GB2312" w:hAnsi="微软雅黑" w:eastAsia="仿宋_GB2312" w:cs="仿宋_GB2312"/>
          <w:color w:val="000000"/>
          <w:sz w:val="31"/>
          <w:szCs w:val="31"/>
          <w:shd w:val="clear" w:color="auto" w:fill="FFFFFF"/>
        </w:rPr>
        <w:t>，</w:t>
      </w:r>
      <w:r>
        <w:rPr>
          <w:rFonts w:ascii="仿宋_GB2312" w:hAnsi="微软雅黑" w:eastAsia="仿宋_GB2312" w:cs="仿宋_GB2312"/>
          <w:color w:val="000000" w:themeColor="text1"/>
          <w:sz w:val="31"/>
          <w:szCs w:val="31"/>
          <w:shd w:val="clear" w:color="auto" w:fill="FFFFFF"/>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：本部门2022年度没有</w:t>
      </w:r>
      <w:r>
        <w:rPr>
          <w:rFonts w:ascii="仿宋_GB2312" w:hAnsi="微软雅黑" w:eastAsia="仿宋_GB2312" w:cs="仿宋_GB2312"/>
          <w:color w:val="000000"/>
          <w:sz w:val="31"/>
          <w:szCs w:val="31"/>
          <w:shd w:val="clear" w:color="auto" w:fill="FFFFFF"/>
        </w:rPr>
        <w:t>专用结余、缴纳所得税和转入非财政拨款结余等</w:t>
      </w:r>
      <w:r>
        <w:rPr>
          <w:rFonts w:hint="eastAsia" w:ascii="仿宋" w:hAnsi="仿宋" w:eastAsia="仿宋" w:cs="仿宋"/>
          <w:color w:val="000000" w:themeColor="text1"/>
          <w:sz w:val="32"/>
          <w:szCs w:val="32"/>
          <w:lang w:bidi="ar"/>
          <w14:textFill>
            <w14:solidFill>
              <w14:schemeClr w14:val="tx1"/>
            </w14:solidFill>
          </w14:textFill>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年末结转和结余</w:t>
      </w:r>
      <w:r>
        <w:rPr>
          <w:rFonts w:ascii="仿宋" w:hAnsi="仿宋" w:eastAsia="仿宋" w:cs="仿宋"/>
          <w:sz w:val="32"/>
        </w:rPr>
        <w:t>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rPr>
        <w:t>。较2021年度决算数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主要原因是：本部门2022年度没有年末结转和结余资金。</w:t>
      </w:r>
    </w:p>
    <w:p>
      <w:pPr>
        <w:ind w:firstLine="640" w:firstLineChars="200"/>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二、2022 年度</w:t>
      </w:r>
      <w:bookmarkStart w:id="2" w:name="OLE_LINK1"/>
      <w:r>
        <w:rPr>
          <w:rFonts w:hint="eastAsia" w:ascii="黑体" w:hAnsi="黑体" w:eastAsia="黑体" w:cs="黑体"/>
          <w:sz w:val="32"/>
          <w:szCs w:val="32"/>
        </w:rPr>
        <w:t>一般公共预算财政拨款支出决算情况</w:t>
      </w:r>
      <w:bookmarkEnd w:id="2"/>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环江毛南族自治县第六幼儿园2022年度一般公共预算财政拨款支出</w:t>
      </w:r>
      <w:r>
        <w:rPr>
          <w:rFonts w:ascii="仿宋" w:hAnsi="仿宋" w:eastAsia="仿宋" w:cs="仿宋"/>
          <w:sz w:val="32"/>
        </w:rPr>
        <w:t>15.20</w:t>
      </w:r>
      <w:r>
        <w:rPr>
          <w:rFonts w:hint="eastAsia" w:ascii="仿宋" w:hAnsi="仿宋" w:eastAsia="仿宋" w:cs="仿宋"/>
          <w:sz w:val="32"/>
          <w:szCs w:val="32"/>
        </w:rPr>
        <w:t>万元，较2021年度决算数</w:t>
      </w:r>
      <w:r>
        <w:rPr>
          <w:rFonts w:ascii="仿宋" w:hAnsi="仿宋" w:eastAsia="仿宋" w:cs="仿宋"/>
          <w:sz w:val="32"/>
        </w:rPr>
        <w:t>增加15.20</w:t>
      </w:r>
      <w:r>
        <w:rPr>
          <w:rFonts w:hint="eastAsia" w:ascii="仿宋" w:hAnsi="仿宋" w:eastAsia="仿宋" w:cs="仿宋"/>
          <w:sz w:val="32"/>
          <w:szCs w:val="32"/>
        </w:rPr>
        <w:t>万元，</w:t>
      </w:r>
      <w:r>
        <w:rPr>
          <w:rFonts w:ascii="仿宋" w:hAnsi="仿宋" w:eastAsia="仿宋" w:cs="仿宋"/>
          <w:sz w:val="32"/>
        </w:rPr>
        <w:t>增长100%</w:t>
      </w:r>
      <w:r>
        <w:rPr>
          <w:rFonts w:hint="eastAsia" w:ascii="仿宋" w:hAnsi="仿宋" w:eastAsia="仿宋" w:cs="仿宋"/>
          <w:sz w:val="32"/>
          <w:szCs w:val="32"/>
        </w:rPr>
        <w:t>。其中：基本支出</w:t>
      </w:r>
      <w:r>
        <w:rPr>
          <w:rFonts w:ascii="仿宋" w:hAnsi="仿宋" w:eastAsia="仿宋" w:cs="仿宋"/>
          <w:sz w:val="32"/>
        </w:rPr>
        <w:t>0.00</w:t>
      </w:r>
      <w:r>
        <w:rPr>
          <w:rFonts w:hint="eastAsia" w:ascii="仿宋" w:hAnsi="仿宋" w:eastAsia="仿宋" w:cs="仿宋"/>
          <w:sz w:val="32"/>
          <w:szCs w:val="32"/>
        </w:rPr>
        <w:t>万元，项目支出</w:t>
      </w:r>
      <w:r>
        <w:rPr>
          <w:rFonts w:ascii="仿宋" w:hAnsi="仿宋" w:eastAsia="仿宋" w:cs="仿宋"/>
          <w:sz w:val="32"/>
        </w:rPr>
        <w:t>15.20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环江毛南族自治县第六幼儿园2022 年度一般公共预算财政拨款支出年初预算为0万元，支出决算为</w:t>
      </w:r>
      <w:r>
        <w:rPr>
          <w:rFonts w:ascii="仿宋" w:hAnsi="仿宋" w:eastAsia="仿宋" w:cs="仿宋"/>
          <w:sz w:val="32"/>
        </w:rPr>
        <w:t>15.20</w:t>
      </w:r>
      <w:r>
        <w:rPr>
          <w:rFonts w:hint="eastAsia" w:ascii="仿宋" w:hAnsi="仿宋" w:eastAsia="仿宋" w:cs="仿宋"/>
          <w:sz w:val="32"/>
          <w:szCs w:val="32"/>
        </w:rPr>
        <w:t>万元，完成年初预算的</w:t>
      </w:r>
      <w:r>
        <w:rPr>
          <w:rFonts w:ascii="仿宋" w:hAnsi="仿宋" w:eastAsia="仿宋" w:cs="仿宋"/>
          <w:sz w:val="32"/>
        </w:rPr>
        <w:t>100.00%</w:t>
      </w:r>
      <w:r>
        <w:rPr>
          <w:rFonts w:hint="eastAsia" w:ascii="仿宋" w:hAnsi="仿宋" w:eastAsia="仿宋" w:cs="仿宋"/>
          <w:sz w:val="32"/>
          <w:szCs w:val="32"/>
        </w:rPr>
        <w:t>。</w:t>
      </w:r>
    </w:p>
    <w:p>
      <w:pPr>
        <w:jc w:val="left"/>
        <w:rPr>
          <w:rFonts w:ascii="仿宋" w:hAnsi="仿宋" w:eastAsia="仿宋"/>
          <w:sz w:val="32"/>
          <w:szCs w:val="32"/>
        </w:rPr>
      </w:pPr>
      <w:bookmarkStart w:id="3" w:name="OLE_LINK2"/>
      <w:bookmarkEnd w:id="3"/>
      <w:r>
        <w:rPr>
          <w:rFonts w:hint="eastAsia" w:ascii="仿宋" w:hAnsi="仿宋" w:eastAsia="仿宋"/>
          <w:sz w:val="32"/>
          <w:szCs w:val="32"/>
        </w:rPr>
        <w:t xml:space="preserve"> </w:t>
      </w:r>
    </w:p>
    <w:p>
      <w:pPr>
        <w:numPr>
          <w:ilvl w:val="0"/>
          <w:numId w:val="2"/>
        </w:numPr>
        <w:jc w:val="left"/>
        <w:rPr>
          <w:rFonts w:eastAsia="仿宋"/>
          <w:color w:val="FF0000"/>
        </w:rPr>
      </w:pPr>
      <w:r>
        <w:rPr>
          <w:rFonts w:hint="eastAsia" w:ascii="仿宋" w:hAnsi="仿宋" w:eastAsia="仿宋"/>
          <w:sz w:val="32"/>
          <w:szCs w:val="32"/>
        </w:rPr>
        <w:t>教育支出</w:t>
      </w:r>
      <w:r>
        <w:rPr>
          <w:rFonts w:ascii="仿宋" w:hAnsi="仿宋" w:eastAsia="仿宋"/>
          <w:sz w:val="32"/>
        </w:rPr>
        <w:t>（205</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万元，支出决算为</w:t>
      </w:r>
      <w:r>
        <w:rPr>
          <w:rFonts w:ascii="仿宋" w:hAnsi="仿宋" w:eastAsia="仿宋"/>
          <w:sz w:val="32"/>
          <w:szCs w:val="32"/>
        </w:rPr>
        <w:t>15.20</w:t>
      </w:r>
      <w:r>
        <w:rPr>
          <w:rFonts w:hint="eastAsia" w:ascii="仿宋" w:hAnsi="仿宋" w:eastAsia="仿宋"/>
          <w:sz w:val="32"/>
          <w:szCs w:val="32"/>
        </w:rPr>
        <w:t>万元，完成年初预算的</w:t>
      </w:r>
      <w:r>
        <w:rPr>
          <w:rFonts w:ascii="仿宋" w:hAnsi="仿宋" w:eastAsia="仿宋"/>
          <w:sz w:val="32"/>
          <w:szCs w:val="32"/>
        </w:rPr>
        <w:t>100.00%</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sz w:val="32"/>
          <w:szCs w:val="32"/>
          <w:lang w:bidi="ar"/>
        </w:rPr>
        <w:t>无差异。</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15.20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聘用人员基本工资支出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15.20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仿宋" w:hAnsi="仿宋" w:eastAsia="仿宋" w:cs="仿宋"/>
          <w:sz w:val="32"/>
          <w:szCs w:val="32"/>
        </w:rPr>
      </w:pPr>
      <w:r>
        <w:rPr>
          <w:rFonts w:hint="eastAsia" w:ascii="黑体" w:hAnsi="黑体" w:eastAsia="黑体" w:cs="黑体"/>
          <w:sz w:val="32"/>
          <w:szCs w:val="32"/>
        </w:rPr>
        <w:t>三、2022年度一般公共预算财政拨款基本支出决算情况说明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环江毛南族自治县第六幼儿园2022年度一般公共预算财政拨款基本支出</w:t>
      </w:r>
      <w:r>
        <w:rPr>
          <w:rFonts w:ascii="仿宋" w:hAnsi="仿宋" w:eastAsia="仿宋" w:cs="仿宋"/>
          <w:sz w:val="32"/>
        </w:rPr>
        <w:t>0.00</w:t>
      </w:r>
      <w:r>
        <w:rPr>
          <w:rFonts w:hint="eastAsia" w:ascii="仿宋" w:hAnsi="仿宋" w:eastAsia="仿宋" w:cs="仿宋"/>
          <w:sz w:val="32"/>
          <w:szCs w:val="32"/>
        </w:rPr>
        <w:t>万元，</w:t>
      </w:r>
      <w:r>
        <w:rPr>
          <w:rFonts w:ascii="仿宋_GB2312" w:hAnsi="微软雅黑" w:eastAsia="仿宋_GB2312" w:cs="仿宋_GB2312"/>
          <w:color w:val="000000"/>
          <w:sz w:val="31"/>
          <w:szCs w:val="31"/>
          <w:shd w:val="clear" w:color="auto" w:fill="FFFFFF"/>
        </w:rPr>
        <w:t>其中：人员经费支出</w:t>
      </w:r>
      <w:r>
        <w:rPr>
          <w:rFonts w:hint="eastAsia" w:ascii="仿宋" w:hAnsi="仿宋" w:eastAsia="仿宋" w:cs="仿宋"/>
          <w:sz w:val="32"/>
          <w:szCs w:val="32"/>
        </w:rPr>
        <w:t>0.00</w:t>
      </w:r>
      <w:r>
        <w:rPr>
          <w:rFonts w:ascii="仿宋_GB2312" w:hAnsi="微软雅黑" w:eastAsia="仿宋_GB2312" w:cs="仿宋_GB2312"/>
          <w:color w:val="000000"/>
          <w:sz w:val="31"/>
          <w:szCs w:val="31"/>
          <w:shd w:val="clear" w:color="auto" w:fill="FFFFFF"/>
        </w:rPr>
        <w:t>万元，公用经费支出</w:t>
      </w:r>
      <w:r>
        <w:rPr>
          <w:rFonts w:hint="eastAsia" w:ascii="仿宋" w:hAnsi="仿宋" w:eastAsia="仿宋" w:cs="仿宋"/>
          <w:sz w:val="32"/>
          <w:szCs w:val="32"/>
        </w:rPr>
        <w:t>0.00</w:t>
      </w:r>
      <w:r>
        <w:rPr>
          <w:rFonts w:ascii="仿宋_GB2312" w:hAnsi="微软雅黑" w:eastAsia="仿宋_GB2312" w:cs="仿宋_GB2312"/>
          <w:color w:val="000000"/>
          <w:sz w:val="31"/>
          <w:szCs w:val="31"/>
          <w:shd w:val="clear" w:color="auto" w:fill="FFFFFF"/>
        </w:rPr>
        <w:t>万元，</w:t>
      </w:r>
      <w:r>
        <w:rPr>
          <w:rFonts w:hint="eastAsia" w:ascii="仿宋" w:hAnsi="仿宋" w:eastAsia="仿宋" w:cs="仿宋"/>
          <w:sz w:val="32"/>
          <w:szCs w:val="32"/>
        </w:rPr>
        <w:t>支出具体情况如下：</w:t>
      </w:r>
    </w:p>
    <w:p>
      <w:pPr>
        <w:numPr>
          <w:ilvl w:val="0"/>
          <w:numId w:val="3"/>
        </w:numPr>
        <w:jc w:val="left"/>
        <w:rPr>
          <w:rFonts w:ascii="仿宋" w:hAnsi="仿宋" w:eastAsia="仿宋" w:cs="仿宋"/>
          <w:color w:val="FF0000"/>
          <w:sz w:val="32"/>
          <w:szCs w:val="32"/>
        </w:rPr>
      </w:pPr>
      <w:r>
        <w:rPr>
          <w:rFonts w:hint="eastAsia" w:ascii="仿宋" w:hAnsi="仿宋" w:eastAsia="仿宋" w:cs="仿宋"/>
          <w:sz w:val="32"/>
          <w:szCs w:val="32"/>
        </w:rPr>
        <w:t>工资福利支出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主要原因是：无差异。因本单位为2022年新增单位，在职人员的工资回原单位</w:t>
      </w:r>
      <w:r>
        <w:rPr>
          <w:rFonts w:hint="eastAsia" w:ascii="仿宋" w:hAnsi="仿宋" w:eastAsia="仿宋" w:cs="仿宋"/>
          <w:color w:val="000000" w:themeColor="text1"/>
          <w:sz w:val="32"/>
          <w:szCs w:val="32"/>
          <w:lang w:val="en-US" w:eastAsia="zh-CN" w:bidi="ar"/>
          <w14:textFill>
            <w14:solidFill>
              <w14:schemeClr w14:val="tx1"/>
            </w14:solidFill>
          </w14:textFill>
        </w:rPr>
        <w:t>县第一幼儿园</w:t>
      </w:r>
      <w:r>
        <w:rPr>
          <w:rFonts w:hint="eastAsia" w:ascii="仿宋" w:hAnsi="仿宋" w:eastAsia="仿宋" w:cs="仿宋"/>
          <w:color w:val="000000" w:themeColor="text1"/>
          <w:sz w:val="32"/>
          <w:szCs w:val="32"/>
          <w:lang w:bidi="ar"/>
          <w14:textFill>
            <w14:solidFill>
              <w14:schemeClr w14:val="tx1"/>
            </w14:solidFill>
          </w14:textFill>
        </w:rPr>
        <w:t>发放，</w:t>
      </w:r>
      <w:r>
        <w:rPr>
          <w:rFonts w:hint="eastAsia" w:ascii="仿宋" w:hAnsi="仿宋" w:eastAsia="仿宋" w:cs="仿宋"/>
          <w:color w:val="000000" w:themeColor="text1"/>
          <w:sz w:val="32"/>
          <w:szCs w:val="32"/>
          <w:lang w:val="en-US" w:eastAsia="zh-CN" w:bidi="ar"/>
          <w14:textFill>
            <w14:solidFill>
              <w14:schemeClr w14:val="tx1"/>
            </w14:solidFill>
          </w14:textFill>
        </w:rPr>
        <w:t>第六幼儿园</w:t>
      </w:r>
      <w:r>
        <w:rPr>
          <w:rFonts w:hint="eastAsia" w:ascii="仿宋" w:hAnsi="仿宋" w:eastAsia="仿宋" w:cs="仿宋"/>
          <w:color w:val="000000" w:themeColor="text1"/>
          <w:sz w:val="32"/>
          <w:szCs w:val="32"/>
          <w:lang w:bidi="ar"/>
          <w14:textFill>
            <w14:solidFill>
              <w14:schemeClr w14:val="tx1"/>
            </w14:solidFill>
          </w14:textFill>
        </w:rPr>
        <w:t>工资系统</w:t>
      </w:r>
      <w:r>
        <w:rPr>
          <w:rFonts w:hint="eastAsia" w:ascii="仿宋" w:hAnsi="仿宋" w:eastAsia="仿宋" w:cs="仿宋"/>
          <w:color w:val="000000" w:themeColor="text1"/>
          <w:sz w:val="32"/>
          <w:szCs w:val="32"/>
          <w:lang w:val="en-US" w:eastAsia="zh-CN" w:bidi="ar"/>
          <w14:textFill>
            <w14:solidFill>
              <w14:schemeClr w14:val="tx1"/>
            </w14:solidFill>
          </w14:textFill>
        </w:rPr>
        <w:t>2022年</w:t>
      </w:r>
      <w:r>
        <w:rPr>
          <w:rFonts w:hint="eastAsia" w:ascii="仿宋" w:hAnsi="仿宋" w:eastAsia="仿宋" w:cs="仿宋"/>
          <w:color w:val="000000" w:themeColor="text1"/>
          <w:sz w:val="32"/>
          <w:szCs w:val="32"/>
          <w:lang w:bidi="ar"/>
          <w14:textFill>
            <w14:solidFill>
              <w14:schemeClr w14:val="tx1"/>
            </w14:solidFill>
          </w14:textFill>
        </w:rPr>
        <w:t>没有发放本园在职工资。</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3"/>
        </w:numPr>
        <w:jc w:val="left"/>
        <w:rPr>
          <w:rFonts w:ascii="仿宋" w:hAnsi="仿宋" w:eastAsia="仿宋" w:cs="仿宋"/>
          <w:sz w:val="32"/>
          <w:szCs w:val="32"/>
        </w:rPr>
      </w:pPr>
      <w:r>
        <w:rPr>
          <w:rFonts w:hint="eastAsia" w:ascii="仿宋" w:hAnsi="仿宋" w:eastAsia="仿宋" w:cs="仿宋"/>
          <w:sz w:val="32"/>
          <w:szCs w:val="32"/>
        </w:rPr>
        <w:t>商品和服务支出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无差异。</w:t>
      </w: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3"/>
        </w:numPr>
        <w:jc w:val="left"/>
        <w:rPr>
          <w:rFonts w:ascii="仿宋" w:hAnsi="仿宋" w:eastAsia="仿宋" w:cs="仿宋"/>
          <w:sz w:val="32"/>
          <w:szCs w:val="32"/>
        </w:rPr>
      </w:pPr>
      <w:r>
        <w:rPr>
          <w:rFonts w:hint="eastAsia" w:ascii="仿宋" w:hAnsi="仿宋" w:eastAsia="仿宋" w:cs="仿宋"/>
          <w:sz w:val="32"/>
          <w:szCs w:val="32"/>
        </w:rPr>
        <w:t>对个人和家庭的补助</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无差异。</w:t>
      </w: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3"/>
        </w:numPr>
        <w:jc w:val="left"/>
        <w:rPr>
          <w:rFonts w:ascii="仿宋" w:hAnsi="仿宋" w:eastAsia="仿宋" w:cs="仿宋"/>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无差异。</w:t>
      </w: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rPr>
          <w:rFonts w:ascii="仿宋" w:hAnsi="仿宋" w:eastAsia="仿宋" w:cs="仿宋"/>
          <w:sz w:val="32"/>
          <w:szCs w:val="32"/>
        </w:rPr>
      </w:pPr>
    </w:p>
    <w:p>
      <w:pPr>
        <w:numPr>
          <w:ilvl w:val="0"/>
          <w:numId w:val="3"/>
        </w:numPr>
        <w:jc w:val="left"/>
        <w:rPr>
          <w:rFonts w:ascii="仿宋" w:hAnsi="仿宋" w:eastAsia="仿宋" w:cs="仿宋"/>
          <w:sz w:val="32"/>
          <w:szCs w:val="32"/>
        </w:rPr>
      </w:pPr>
      <w:r>
        <w:rPr>
          <w:rFonts w:hint="eastAsia" w:ascii="仿宋" w:hAnsi="仿宋" w:eastAsia="仿宋" w:cs="仿宋"/>
          <w:sz w:val="32"/>
          <w:szCs w:val="32"/>
        </w:rPr>
        <w:t>资本性支出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无差异。</w:t>
      </w: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numPr>
          <w:ilvl w:val="0"/>
          <w:numId w:val="3"/>
        </w:numPr>
        <w:jc w:val="left"/>
        <w:rPr>
          <w:rFonts w:ascii="仿宋" w:hAnsi="仿宋" w:eastAsia="仿宋" w:cs="仿宋"/>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lang w:bidi="ar"/>
          <w14:textFill>
            <w14:solidFill>
              <w14:schemeClr w14:val="tx1"/>
            </w14:solidFill>
          </w14:textFill>
        </w:rPr>
        <w:t>主要原因是：无差异。</w:t>
      </w: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left"/>
        <w:rPr>
          <w:rFonts w:ascii="仿宋" w:hAnsi="仿宋" w:eastAsia="仿宋" w:cs="仿宋"/>
          <w:sz w:val="32"/>
          <w:szCs w:val="32"/>
        </w:rPr>
      </w:pPr>
    </w:p>
    <w:p>
      <w:pPr>
        <w:jc w:val="left"/>
        <w:rPr>
          <w:rFonts w:ascii="黑体" w:hAnsi="黑体" w:eastAsia="黑体" w:cs="黑体"/>
          <w:sz w:val="32"/>
          <w:szCs w:val="32"/>
        </w:rPr>
      </w:pPr>
      <w:r>
        <w:rPr>
          <w:rFonts w:hint="eastAsia" w:ascii="黑体" w:hAnsi="黑体" w:eastAsia="黑体" w:cs="黑体"/>
          <w:sz w:val="32"/>
          <w:szCs w:val="32"/>
        </w:rPr>
        <w:t>四、2022年度政府性基金支出决算情况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环江毛南族自治县第六幼儿园2022年度政府性基金支出</w:t>
      </w:r>
      <w:r>
        <w:rPr>
          <w:rFonts w:ascii="仿宋" w:hAnsi="仿宋" w:eastAsia="仿宋" w:cs="仿宋"/>
          <w:sz w:val="32"/>
          <w:szCs w:val="32"/>
        </w:rPr>
        <w:t>0.00</w:t>
      </w:r>
      <w:r>
        <w:rPr>
          <w:rFonts w:hint="eastAsia" w:ascii="仿宋" w:hAnsi="仿宋" w:eastAsia="仿宋" w:cs="仿宋"/>
          <w:sz w:val="32"/>
          <w:szCs w:val="32"/>
        </w:rPr>
        <w:t>万元，较2021年度决算数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环江毛南族自治县第六幼儿园2022年度政府性基金支出年初预算为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_GB2312" w:hAnsi="Times New Roman" w:eastAsia="仿宋_GB2312" w:cs="Times New Roman"/>
          <w:sz w:val="32"/>
          <w:szCs w:val="32"/>
        </w:rPr>
        <w:t>环江毛南族自治县第六幼儿园</w:t>
      </w:r>
      <w:r>
        <w:rPr>
          <w:rFonts w:ascii="仿宋_GB2312" w:hAnsi="仿宋_GB2312" w:eastAsia="仿宋_GB2312" w:cs="仿宋_GB2312"/>
          <w:sz w:val="32"/>
        </w:rPr>
        <w:t>没有政府性基金收入，也没有政府性基金收入安排的支出</w:t>
      </w:r>
      <w:r>
        <w:rPr>
          <w:rFonts w:hint="eastAsia" w:ascii="仿宋_GB2312" w:hAnsi="Times New Roman" w:eastAsia="仿宋_GB2312" w:cs="Times New Roman"/>
          <w:sz w:val="32"/>
          <w:szCs w:val="32"/>
        </w:rPr>
        <w:t>。</w:t>
      </w:r>
    </w:p>
    <w:p>
      <w:pPr>
        <w:jc w:val="left"/>
        <w:rPr>
          <w:rFonts w:ascii="仿宋" w:hAnsi="仿宋" w:eastAsia="仿宋" w:cs="仿宋"/>
          <w:sz w:val="32"/>
          <w:szCs w:val="32"/>
        </w:rPr>
      </w:pPr>
      <w:r>
        <w:rPr>
          <w:rFonts w:hint="eastAsia" w:ascii="黑体" w:hAnsi="黑体" w:eastAsia="黑体" w:cs="黑体"/>
          <w:sz w:val="32"/>
          <w:szCs w:val="32"/>
        </w:rPr>
        <w:t>五、2022年度国有资本经营预算支出决算情况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环江毛南族自治县第六幼儿园2022年度国有资本经营预算支出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环江毛南族自治县第六幼儿园2022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bookmarkStart w:id="4" w:name="PO_part3A5B1C1DiffReason1"/>
      <w:r>
        <w:rPr>
          <w:rFonts w:hint="eastAsia" w:ascii="仿宋_GB2312" w:hAnsi="Times New Roman" w:eastAsia="仿宋_GB2312" w:cs="Times New Roman"/>
          <w:sz w:val="32"/>
          <w:szCs w:val="32"/>
        </w:rPr>
        <w:t>环江毛南族自治县第六幼儿园</w:t>
      </w:r>
      <w:r>
        <w:rPr>
          <w:rFonts w:ascii="仿宋_GB2312" w:hAnsi="仿宋_GB2312" w:eastAsia="仿宋_GB2312" w:cs="仿宋_GB2312"/>
          <w:sz w:val="32"/>
        </w:rPr>
        <w:t>没有国有资本经营预算收入，也没有国有资本经营预算收入</w:t>
      </w:r>
      <w:r>
        <w:rPr>
          <w:rFonts w:hint="eastAsia" w:ascii="仿宋_GB2312" w:hAnsi="Times New Roman" w:eastAsia="仿宋_GB2312" w:cs="Times New Roman"/>
          <w:sz w:val="32"/>
          <w:szCs w:val="32"/>
        </w:rPr>
        <w:t>安排的支出。</w:t>
      </w:r>
      <w:bookmarkEnd w:id="4"/>
    </w:p>
    <w:p>
      <w:pPr>
        <w:jc w:val="left"/>
        <w:rPr>
          <w:rFonts w:ascii="仿宋" w:hAnsi="仿宋" w:eastAsia="仿宋" w:cs="仿宋"/>
          <w:sz w:val="32"/>
          <w:szCs w:val="32"/>
        </w:rPr>
      </w:pPr>
      <w:r>
        <w:rPr>
          <w:rFonts w:hint="eastAsia" w:ascii="黑体" w:hAnsi="黑体" w:eastAsia="黑体" w:cs="黑体"/>
          <w:sz w:val="32"/>
          <w:szCs w:val="32"/>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2022年预算财政拨款安排的“三公”经费支出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lang w:bidi="ar"/>
          <w14:textFill>
            <w14:solidFill>
              <w14:schemeClr w14:val="tx1"/>
            </w14:solidFill>
          </w14:textFill>
        </w:rPr>
        <w:t>主要原因是：本单位无“三公经费支出”。</w:t>
      </w:r>
      <w:r>
        <w:rPr>
          <w:rFonts w:hint="eastAsia" w:ascii="仿宋" w:hAnsi="仿宋" w:eastAsia="仿宋" w:cs="仿宋"/>
          <w:color w:val="000000" w:themeColor="text1"/>
          <w:sz w:val="32"/>
          <w:szCs w:val="32"/>
          <w14:textFill>
            <w14:solidFill>
              <w14:schemeClr w14:val="tx1"/>
            </w14:solidFill>
          </w14:textFill>
        </w:rPr>
        <w:t>其中：因公出国（境）费支出决算</w:t>
      </w:r>
      <w:r>
        <w:rPr>
          <w:rFonts w:ascii="仿宋" w:hAnsi="仿宋" w:eastAsia="仿宋" w:cs="仿宋"/>
          <w:color w:val="000000" w:themeColor="text1"/>
          <w:sz w:val="32"/>
          <w:szCs w:val="32"/>
          <w14:textFill>
            <w14:solidFill>
              <w14:schemeClr w14:val="tx1"/>
            </w14:solidFill>
          </w14:textFill>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numPr>
          <w:ilvl w:val="0"/>
          <w:numId w:val="4"/>
        </w:num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因公出国（境）费支出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 xml:space="preserve"> 万元。</w:t>
      </w:r>
      <w:r>
        <w:rPr>
          <w:rFonts w:hint="eastAsia" w:ascii="仿宋" w:hAnsi="仿宋" w:eastAsia="仿宋" w:cs="仿宋"/>
          <w:color w:val="000000" w:themeColor="text1"/>
          <w:sz w:val="32"/>
          <w:szCs w:val="32"/>
          <w14:textFill>
            <w14:solidFill>
              <w14:schemeClr w14:val="tx1"/>
            </w14:solidFill>
          </w14:textFill>
        </w:rPr>
        <w:t>原因是：</w:t>
      </w:r>
      <w:r>
        <w:rPr>
          <w:rFonts w:hint="eastAsia" w:ascii="仿宋_GB2312" w:hAnsi="Times New Roman" w:eastAsia="仿宋_GB2312" w:cs="Times New Roman"/>
          <w:sz w:val="32"/>
          <w:szCs w:val="32"/>
        </w:rPr>
        <w:t>全年使用财政拨款安排</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0</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（局、办、镇）机关、</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0</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个所属单位出国团组</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0</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个，参加其他单位组织的出国团组</w:t>
      </w:r>
      <w:r>
        <w:rPr>
          <w:rFonts w:hint="eastAsia" w:ascii="仿宋_GB2312" w:hAnsi="Times New Roman" w:eastAsia="仿宋_GB2312" w:cs="Times New Roman"/>
          <w:sz w:val="32"/>
          <w:szCs w:val="32"/>
          <w:u w:val="single"/>
        </w:rPr>
        <w:t xml:space="preserve"> </w:t>
      </w:r>
      <w:r>
        <w:rPr>
          <w:rFonts w:ascii="仿宋_GB2312" w:hAnsi="Times New Roman" w:eastAsia="仿宋_GB2312" w:cs="Times New Roman"/>
          <w:sz w:val="32"/>
          <w:szCs w:val="32"/>
          <w:u w:val="single"/>
        </w:rPr>
        <w:t>0</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个</w:t>
      </w:r>
      <w:r>
        <w:rPr>
          <w:rFonts w:hint="eastAsia" w:ascii="仿宋" w:hAnsi="仿宋" w:eastAsia="仿宋" w:cs="仿宋"/>
          <w:sz w:val="32"/>
          <w:szCs w:val="32"/>
        </w:rPr>
        <w:t>，全年因公出国（境）团组共计</w:t>
      </w:r>
      <w:r>
        <w:rPr>
          <w:rFonts w:ascii="仿宋" w:hAnsi="仿宋" w:eastAsia="仿宋" w:cs="仿宋"/>
          <w:sz w:val="32"/>
          <w:szCs w:val="32"/>
        </w:rPr>
        <w:t>0</w:t>
      </w:r>
      <w:r>
        <w:rPr>
          <w:rFonts w:hint="eastAsia" w:ascii="仿宋" w:hAnsi="仿宋" w:eastAsia="仿宋" w:cs="仿宋"/>
          <w:sz w:val="32"/>
          <w:szCs w:val="32"/>
        </w:rPr>
        <w:t>个，累计</w:t>
      </w:r>
      <w:r>
        <w:rPr>
          <w:rFonts w:ascii="仿宋" w:hAnsi="仿宋" w:eastAsia="仿宋" w:cs="仿宋"/>
          <w:sz w:val="32"/>
          <w:szCs w:val="32"/>
        </w:rPr>
        <w:t>0</w:t>
      </w:r>
      <w:r>
        <w:rPr>
          <w:rFonts w:hint="eastAsia" w:ascii="仿宋" w:hAnsi="仿宋" w:eastAsia="仿宋" w:cs="仿宋"/>
          <w:sz w:val="32"/>
          <w:szCs w:val="32"/>
        </w:rPr>
        <w:t>人次。</w:t>
      </w:r>
    </w:p>
    <w:p>
      <w:pPr>
        <w:numPr>
          <w:ilvl w:val="0"/>
          <w:numId w:val="4"/>
        </w:numPr>
        <w:ind w:firstLine="640" w:firstLineChars="200"/>
        <w:jc w:val="left"/>
        <w:rPr>
          <w:rFonts w:ascii="仿宋" w:hAnsi="仿宋" w:eastAsia="仿宋" w:cs="仿宋"/>
          <w:sz w:val="32"/>
          <w:szCs w:val="32"/>
        </w:rPr>
      </w:pPr>
      <w:r>
        <w:rPr>
          <w:rFonts w:hint="eastAsia" w:ascii="仿宋" w:hAnsi="仿宋" w:eastAsia="仿宋" w:cs="仿宋"/>
          <w:sz w:val="32"/>
          <w:szCs w:val="32"/>
        </w:rPr>
        <w:t>公务用车购置及运行维护费</w:t>
      </w:r>
      <w:r>
        <w:rPr>
          <w:rFonts w:ascii="仿宋" w:hAnsi="仿宋" w:eastAsia="仿宋" w:cs="仿宋"/>
          <w:sz w:val="32"/>
        </w:rPr>
        <w:t>0.00</w:t>
      </w:r>
      <w:r>
        <w:rPr>
          <w:rFonts w:hint="eastAsia" w:ascii="仿宋" w:hAnsi="仿宋" w:eastAsia="仿宋" w:cs="仿宋"/>
          <w:sz w:val="32"/>
          <w:szCs w:val="32"/>
        </w:rPr>
        <w:t>万元。其中：</w:t>
      </w:r>
      <w:bookmarkStart w:id="5" w:name="PO_part3A6B2IncReason1"/>
      <w:r>
        <w:rPr>
          <w:rFonts w:hint="eastAsia" w:ascii="仿宋" w:hAnsi="仿宋" w:eastAsia="仿宋" w:cs="仿宋"/>
          <w:sz w:val="32"/>
          <w:szCs w:val="32"/>
        </w:rPr>
        <w:t>本部门无公务用车购置</w:t>
      </w:r>
      <w:bookmarkEnd w:id="5"/>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公务用车运行维护支出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主要原因是：本部门无公务车运行维护资金支出。</w:t>
      </w:r>
      <w:r>
        <w:rPr>
          <w:rFonts w:hint="eastAsia" w:ascii="仿宋" w:hAnsi="仿宋" w:eastAsia="仿宋" w:cs="仿宋"/>
          <w:sz w:val="32"/>
          <w:szCs w:val="32"/>
        </w:rPr>
        <w:t>2022年，</w:t>
      </w:r>
      <w:r>
        <w:rPr>
          <w:rFonts w:ascii="仿宋" w:hAnsi="仿宋" w:eastAsia="仿宋" w:cs="仿宋"/>
          <w:sz w:val="32"/>
        </w:rPr>
        <w:t>环江毛南族自治县第六幼儿园</w:t>
      </w:r>
      <w:r>
        <w:rPr>
          <w:rFonts w:hint="eastAsia" w:ascii="仿宋" w:hAnsi="仿宋" w:eastAsia="仿宋" w:cs="仿宋"/>
          <w:sz w:val="32"/>
          <w:szCs w:val="32"/>
        </w:rPr>
        <w:t>及</w:t>
      </w:r>
      <w:r>
        <w:rPr>
          <w:rFonts w:hint="eastAsia" w:ascii="仿宋" w:hAnsi="仿宋" w:eastAsia="仿宋" w:cs="仿宋"/>
          <w:color w:val="FF0000"/>
          <w:sz w:val="32"/>
          <w:szCs w:val="32"/>
          <w:u w:val="single"/>
        </w:rPr>
        <w:t xml:space="preserve"> </w:t>
      </w:r>
      <w:r>
        <w:rPr>
          <w:rFonts w:hint="eastAsia" w:ascii="仿宋" w:hAnsi="仿宋" w:eastAsia="仿宋" w:cs="仿宋"/>
          <w:sz w:val="32"/>
          <w:szCs w:val="32"/>
          <w:u w:val="single"/>
        </w:rPr>
        <w:t xml:space="preserve"> </w:t>
      </w:r>
      <w:r>
        <w:rPr>
          <w:rFonts w:ascii="仿宋" w:hAnsi="仿宋" w:eastAsia="仿宋" w:cs="仿宋"/>
          <w:sz w:val="32"/>
          <w:szCs w:val="32"/>
          <w:u w:val="single"/>
        </w:rPr>
        <w:t>0</w:t>
      </w:r>
      <w:r>
        <w:rPr>
          <w:rFonts w:hint="eastAsia" w:ascii="仿宋" w:hAnsi="仿宋" w:eastAsia="仿宋" w:cs="仿宋"/>
          <w:sz w:val="32"/>
          <w:szCs w:val="32"/>
          <w:u w:val="single"/>
        </w:rPr>
        <w:t xml:space="preserve"> 个</w:t>
      </w:r>
      <w:r>
        <w:rPr>
          <w:rFonts w:hint="eastAsia" w:ascii="仿宋" w:hAnsi="仿宋" w:eastAsia="仿宋" w:cs="仿宋"/>
          <w:sz w:val="32"/>
          <w:szCs w:val="32"/>
        </w:rPr>
        <w:t>所属单位开支财政拨款的公务用车保有量为</w:t>
      </w:r>
      <w:r>
        <w:rPr>
          <w:rFonts w:ascii="仿宋" w:hAnsi="仿宋" w:eastAsia="仿宋" w:cs="仿宋"/>
          <w:sz w:val="32"/>
        </w:rPr>
        <w:t>0</w:t>
      </w:r>
      <w:r>
        <w:rPr>
          <w:rFonts w:hint="eastAsia" w:ascii="仿宋" w:hAnsi="仿宋" w:eastAsia="仿宋" w:cs="仿宋"/>
          <w:sz w:val="32"/>
          <w:szCs w:val="32"/>
        </w:rPr>
        <w:t>辆，全年运行费支出</w:t>
      </w:r>
      <w:r>
        <w:rPr>
          <w:rFonts w:ascii="仿宋" w:hAnsi="仿宋" w:eastAsia="仿宋" w:cs="仿宋"/>
          <w:sz w:val="32"/>
        </w:rPr>
        <w:t>0.00</w:t>
      </w:r>
      <w:r>
        <w:rPr>
          <w:rFonts w:hint="eastAsia" w:ascii="仿宋" w:hAnsi="仿宋" w:eastAsia="仿宋" w:cs="仿宋"/>
          <w:sz w:val="32"/>
          <w:szCs w:val="32"/>
        </w:rPr>
        <w:t>万元，平均每辆</w:t>
      </w:r>
      <w:r>
        <w:rPr>
          <w:rFonts w:hint="eastAsia" w:ascii="仿宋" w:hAnsi="仿宋" w:eastAsia="仿宋" w:cs="仿宋"/>
          <w:sz w:val="32"/>
          <w:szCs w:val="32"/>
          <w:lang w:val="en-US" w:eastAsia="zh-CN"/>
        </w:rPr>
        <w:t>0</w:t>
      </w:r>
      <w:r>
        <w:rPr>
          <w:rFonts w:hint="eastAsia" w:ascii="仿宋" w:hAnsi="仿宋" w:eastAsia="仿宋" w:cs="仿宋"/>
          <w:sz w:val="32"/>
          <w:szCs w:val="32"/>
        </w:rPr>
        <w:t>万元，全年运行费支出</w:t>
      </w:r>
      <w:r>
        <w:rPr>
          <w:rFonts w:ascii="仿宋" w:hAnsi="仿宋" w:eastAsia="仿宋" w:cs="仿宋"/>
          <w:sz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（三）公务接待费支出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 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sz w:val="32"/>
          <w:szCs w:val="32"/>
          <w:lang w:bidi="ar"/>
        </w:rPr>
        <w:t>主要原因是：</w:t>
      </w:r>
      <w:r>
        <w:rPr>
          <w:rFonts w:hint="eastAsia" w:ascii="仿宋" w:hAnsi="仿宋" w:eastAsia="仿宋" w:cs="仿宋"/>
          <w:color w:val="000000" w:themeColor="text1"/>
          <w:sz w:val="32"/>
          <w:szCs w:val="32"/>
          <w:lang w:bidi="ar"/>
          <w14:textFill>
            <w14:solidFill>
              <w14:schemeClr w14:val="tx1"/>
            </w14:solidFill>
          </w14:textFill>
        </w:rPr>
        <w:t>本部门无</w:t>
      </w:r>
      <w:r>
        <w:rPr>
          <w:rFonts w:hint="eastAsia" w:ascii="仿宋" w:hAnsi="仿宋" w:eastAsia="仿宋" w:cs="仿宋"/>
          <w:sz w:val="32"/>
          <w:szCs w:val="32"/>
        </w:rPr>
        <w:t>公务接待费资金支出</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14:textFill>
            <w14:solidFill>
              <w14:schemeClr w14:val="tx1"/>
            </w14:solidFill>
          </w14:textFill>
        </w:rPr>
        <w:t>国内公务接待批次</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次，国（境）外公务接待批次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w:t>
      </w:r>
    </w:p>
    <w:p>
      <w:pPr>
        <w:jc w:val="left"/>
        <w:rPr>
          <w:rFonts w:ascii="仿宋" w:hAnsi="仿宋" w:eastAsia="仿宋" w:cs="仿宋"/>
          <w:sz w:val="32"/>
          <w:szCs w:val="32"/>
        </w:rPr>
      </w:pPr>
      <w:r>
        <w:rPr>
          <w:rFonts w:hint="eastAsia" w:ascii="黑体" w:hAnsi="黑体" w:eastAsia="黑体" w:cs="黑体"/>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（一） 机关运行经费支出情况说明</w:t>
      </w:r>
    </w:p>
    <w:p>
      <w:pPr>
        <w:ind w:firstLine="640" w:firstLineChars="200"/>
        <w:jc w:val="left"/>
        <w:rPr>
          <w:rFonts w:hint="eastAsia" w:ascii="仿宋" w:hAnsi="仿宋" w:eastAsia="仿宋" w:cs="仿宋"/>
          <w:sz w:val="32"/>
          <w:szCs w:val="32"/>
        </w:rPr>
      </w:pPr>
      <w:bookmarkStart w:id="6" w:name="_GoBack"/>
      <w:bookmarkEnd w:id="6"/>
      <w:r>
        <w:rPr>
          <w:rFonts w:hint="eastAsia" w:ascii="仿宋" w:hAnsi="仿宋" w:eastAsia="仿宋" w:cs="仿宋"/>
          <w:sz w:val="32"/>
          <w:szCs w:val="32"/>
        </w:rPr>
        <w:t>本部门2022年度机关运行经费支出</w:t>
      </w:r>
      <w:r>
        <w:rPr>
          <w:rFonts w:ascii="仿宋" w:hAnsi="仿宋" w:eastAsia="仿宋" w:cs="仿宋"/>
          <w:sz w:val="32"/>
          <w:szCs w:val="32"/>
        </w:rPr>
        <w:t>0.00</w:t>
      </w:r>
      <w:r>
        <w:rPr>
          <w:rFonts w:hint="eastAsia" w:ascii="仿宋" w:hAnsi="仿宋" w:eastAsia="仿宋" w:cs="仿宋"/>
          <w:sz w:val="32"/>
          <w:szCs w:val="32"/>
        </w:rPr>
        <w:t>万元，比年初预算数</w:t>
      </w:r>
      <w:r>
        <w:rPr>
          <w:rFonts w:ascii="仿宋" w:hAnsi="仿宋" w:eastAsia="仿宋" w:cs="仿宋"/>
          <w:sz w:val="32"/>
          <w:szCs w:val="32"/>
        </w:rPr>
        <w:t>增加0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，比上年决算数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。原因是：本部门2022年度无机关运行经费支出。</w:t>
      </w:r>
    </w:p>
    <w:p>
      <w:pPr>
        <w:jc w:val="left"/>
        <w:rPr>
          <w:rFonts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本部门2022年度政府采购支出总额</w:t>
      </w:r>
      <w:r>
        <w:rPr>
          <w:rFonts w:ascii="仿宋" w:hAnsi="仿宋" w:eastAsia="仿宋" w:cs="仿宋"/>
          <w:sz w:val="32"/>
          <w:szCs w:val="32"/>
        </w:rPr>
        <w:t>0.00</w:t>
      </w:r>
      <w:r>
        <w:rPr>
          <w:rFonts w:hint="eastAsia" w:ascii="仿宋" w:hAnsi="仿宋" w:eastAsia="仿宋" w:cs="仿宋"/>
          <w:sz w:val="32"/>
          <w:szCs w:val="32"/>
        </w:rPr>
        <w:t>万元，其中：政府采购货物支出</w:t>
      </w:r>
      <w:r>
        <w:rPr>
          <w:rFonts w:ascii="仿宋" w:hAnsi="仿宋" w:eastAsia="仿宋" w:cs="仿宋"/>
          <w:sz w:val="32"/>
          <w:szCs w:val="32"/>
        </w:rPr>
        <w:t>0.00</w:t>
      </w:r>
      <w:r>
        <w:rPr>
          <w:rFonts w:hint="eastAsia" w:ascii="仿宋" w:hAnsi="仿宋" w:eastAsia="仿宋" w:cs="仿宋"/>
          <w:sz w:val="32"/>
          <w:szCs w:val="32"/>
        </w:rPr>
        <w:t>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ascii="仿宋" w:hAnsi="仿宋" w:eastAsia="仿宋" w:cs="仿宋"/>
          <w:sz w:val="32"/>
          <w:szCs w:val="32"/>
        </w:rPr>
        <w:t>0.00</w:t>
      </w:r>
      <w:r>
        <w:rPr>
          <w:rFonts w:hint="eastAsia" w:ascii="仿宋" w:hAnsi="仿宋" w:eastAsia="仿宋" w:cs="仿宋"/>
          <w:sz w:val="32"/>
          <w:szCs w:val="32"/>
        </w:rPr>
        <w:t>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截至2022年12月31日，本部门共有车辆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台（套）；单位价值100万元以上专用设备台0（套）。</w:t>
      </w:r>
    </w:p>
    <w:p>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组织对2022年度一般公共预算项目支出全面开展绩效自评。其中，一等项目</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个，二等项目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三等项目1个，</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36.07</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%。组织对2022年度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%。组织对2022年度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学前教育保育费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36.07</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万元。从评价情况来看，本部门推进预算支出绩效评价管理,提高资金使用效率。按时完成各个项目年度绩效目标，提高服务对象的满意度。</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36.07</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学前教育保育费”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94.64</w:t>
      </w:r>
      <w:r>
        <w:rPr>
          <w:rFonts w:hint="eastAsia" w:ascii="仿宋" w:hAnsi="仿宋" w:eastAsia="仿宋" w:cs="仿宋"/>
          <w:color w:val="000000" w:themeColor="text1"/>
          <w:sz w:val="32"/>
          <w:szCs w:val="32"/>
          <w14:textFill>
            <w14:solidFill>
              <w14:schemeClr w14:val="tx1"/>
            </w14:solidFill>
          </w14:textFill>
        </w:rPr>
        <w:t>分。发现的主要问题及原因：是没能及时整理发票等相关材料；下一步改进措施：是与财政沟通第二年支付</w:t>
      </w:r>
      <w:r>
        <w:rPr>
          <w:rFonts w:hint="eastAsia" w:ascii="仿宋" w:hAnsi="仿宋" w:eastAsia="仿宋" w:cs="仿宋"/>
          <w:color w:val="000000" w:themeColor="text1"/>
          <w:sz w:val="32"/>
          <w:szCs w:val="32"/>
          <w:lang w:eastAsia="zh-CN"/>
          <w14:textFill>
            <w14:solidFill>
              <w14:schemeClr w14:val="tx1"/>
            </w14:solidFill>
          </w14:textFill>
        </w:rPr>
        <w:t>，加强成本意识，更好的完成年度财务工作</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教师节经费”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学前教育免除保教费县本级补助资金”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91.18</w:t>
      </w:r>
      <w:r>
        <w:rPr>
          <w:rFonts w:hint="eastAsia" w:ascii="仿宋" w:hAnsi="仿宋" w:eastAsia="仿宋" w:cs="仿宋"/>
          <w:color w:val="000000" w:themeColor="text1"/>
          <w:sz w:val="32"/>
          <w:szCs w:val="32"/>
          <w14:textFill>
            <w14:solidFill>
              <w14:schemeClr w14:val="tx1"/>
            </w14:solidFill>
          </w14:textFill>
        </w:rPr>
        <w:t>分。发现的主要问题及原因：是因部分发票材料未及时整理完整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是</w:t>
      </w:r>
      <w:r>
        <w:rPr>
          <w:rFonts w:hint="eastAsia" w:ascii="仿宋" w:hAnsi="仿宋" w:eastAsia="仿宋" w:cs="仿宋"/>
          <w:color w:val="000000" w:themeColor="text1"/>
          <w:sz w:val="32"/>
          <w:szCs w:val="32"/>
          <w14:textFill>
            <w14:solidFill>
              <w14:schemeClr w14:val="tx1"/>
            </w14:solidFill>
          </w14:textFill>
        </w:rPr>
        <w:t>经与财政协商，下年度支付。</w:t>
      </w:r>
      <w:r>
        <w:rPr>
          <w:rFonts w:hint="eastAsia" w:ascii="仿宋" w:hAnsi="仿宋" w:eastAsia="仿宋" w:cs="仿宋"/>
          <w:color w:val="000000" w:themeColor="text1"/>
          <w:sz w:val="32"/>
          <w:szCs w:val="32"/>
          <w:lang w:eastAsia="zh-CN"/>
          <w14:textFill>
            <w14:solidFill>
              <w14:schemeClr w14:val="tx1"/>
            </w14:solidFill>
          </w14:textFill>
        </w:rPr>
        <w:t>按文件精神，本年度免保教严格按要求审核材料，并合规合理使用。“</w:t>
      </w:r>
      <w:r>
        <w:rPr>
          <w:rFonts w:hint="eastAsia" w:ascii="仿宋" w:hAnsi="仿宋" w:eastAsia="仿宋" w:cs="仿宋"/>
          <w:color w:val="000000" w:themeColor="text1"/>
          <w:sz w:val="32"/>
          <w:szCs w:val="32"/>
          <w:lang w:val="en-US" w:eastAsia="zh-CN"/>
          <w14:textFill>
            <w14:solidFill>
              <w14:schemeClr w14:val="tx1"/>
            </w14:solidFill>
          </w14:textFill>
        </w:rPr>
        <w:t>学前教育免除保教费自治区补助资金”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74.59</w:t>
      </w:r>
      <w:r>
        <w:rPr>
          <w:rFonts w:hint="eastAsia" w:ascii="仿宋" w:hAnsi="仿宋" w:eastAsia="仿宋" w:cs="仿宋"/>
          <w:color w:val="000000" w:themeColor="text1"/>
          <w:sz w:val="32"/>
          <w:szCs w:val="32"/>
          <w14:textFill>
            <w14:solidFill>
              <w14:schemeClr w14:val="tx1"/>
            </w14:solidFill>
          </w14:textFill>
        </w:rPr>
        <w:t>分。发现的主要问题及原因：是没能及时整理发票等相关材料</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是</w:t>
      </w:r>
      <w:r>
        <w:rPr>
          <w:rFonts w:hint="eastAsia" w:ascii="仿宋" w:hAnsi="仿宋" w:eastAsia="仿宋" w:cs="仿宋"/>
          <w:color w:val="000000" w:themeColor="text1"/>
          <w:sz w:val="32"/>
          <w:szCs w:val="32"/>
          <w14:textFill>
            <w14:solidFill>
              <w14:schemeClr w14:val="tx1"/>
            </w14:solidFill>
          </w14:textFill>
        </w:rPr>
        <w:t>经与财政协商，下年度支付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及时审核整理材料，努力做好相关工作。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学前生均公用经费”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84.08</w:t>
      </w:r>
      <w:r>
        <w:rPr>
          <w:rFonts w:hint="eastAsia" w:ascii="仿宋" w:hAnsi="仿宋" w:eastAsia="仿宋" w:cs="仿宋"/>
          <w:color w:val="000000" w:themeColor="text1"/>
          <w:sz w:val="32"/>
          <w:szCs w:val="32"/>
          <w14:textFill>
            <w14:solidFill>
              <w14:schemeClr w14:val="tx1"/>
            </w14:solidFill>
          </w14:textFill>
        </w:rPr>
        <w:t>分。发现的主要问题及原因：是没能及时整理发票等相关材料；下一步改进措施：是与财政沟通第二年支付</w:t>
      </w:r>
      <w:r>
        <w:rPr>
          <w:rFonts w:hint="eastAsia" w:ascii="仿宋" w:hAnsi="仿宋" w:eastAsia="仿宋" w:cs="仿宋"/>
          <w:color w:val="000000" w:themeColor="text1"/>
          <w:sz w:val="32"/>
          <w:szCs w:val="32"/>
          <w:lang w:eastAsia="zh-CN"/>
          <w14:textFill>
            <w14:solidFill>
              <w14:schemeClr w14:val="tx1"/>
            </w14:solidFill>
          </w14:textFill>
        </w:rPr>
        <w:t>，及时审核整理材料，努力做好财务工作。</w:t>
      </w:r>
    </w:p>
    <w:p>
      <w:pPr>
        <w:jc w:val="left"/>
        <w:rPr>
          <w:rFonts w:ascii="仿宋" w:hAnsi="仿宋" w:eastAsia="仿宋" w:cs="仿宋"/>
          <w:sz w:val="32"/>
          <w:szCs w:val="32"/>
        </w:rPr>
      </w:pPr>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一、财政拨款收入：指</w:t>
      </w:r>
      <w:r>
        <w:rPr>
          <w:rFonts w:ascii="仿宋" w:hAnsi="仿宋" w:eastAsia="仿宋" w:cs="仿宋"/>
          <w:sz w:val="32"/>
        </w:rPr>
        <w:t>环江毛南族自治县财政部门当年拨付的资金。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十二、“三公”经费：纳入</w:t>
      </w:r>
      <w:r>
        <w:rPr>
          <w:rFonts w:ascii="仿宋" w:hAnsi="仿宋" w:eastAsia="仿宋" w:cs="仿宋"/>
          <w:sz w:val="32"/>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A915357"/>
    <w:multiLevelType w:val="singleLevel"/>
    <w:tmpl w:val="DA915357"/>
    <w:lvl w:ilvl="0" w:tentative="0">
      <w:start w:val="1"/>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173BF669"/>
    <w:multiLevelType w:val="singleLevel"/>
    <w:tmpl w:val="173BF669"/>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wMDkxZGJmODIyNmUzYWMwNWY4MmZlMzI5YWY3MGYifQ=="/>
  </w:docVars>
  <w:rsids>
    <w:rsidRoot w:val="637D7558"/>
    <w:rsid w:val="00002C84"/>
    <w:rsid w:val="00005723"/>
    <w:rsid w:val="00015699"/>
    <w:rsid w:val="00016144"/>
    <w:rsid w:val="00022149"/>
    <w:rsid w:val="00035F42"/>
    <w:rsid w:val="000400E3"/>
    <w:rsid w:val="00047F6C"/>
    <w:rsid w:val="00093C26"/>
    <w:rsid w:val="00094B91"/>
    <w:rsid w:val="000B06D8"/>
    <w:rsid w:val="000C3DA7"/>
    <w:rsid w:val="000D2F77"/>
    <w:rsid w:val="000E5855"/>
    <w:rsid w:val="000F3EE3"/>
    <w:rsid w:val="001418A5"/>
    <w:rsid w:val="00147D40"/>
    <w:rsid w:val="00156EF2"/>
    <w:rsid w:val="00174906"/>
    <w:rsid w:val="001838CA"/>
    <w:rsid w:val="001A0BEE"/>
    <w:rsid w:val="001D7B97"/>
    <w:rsid w:val="002060A7"/>
    <w:rsid w:val="00210E20"/>
    <w:rsid w:val="00223F38"/>
    <w:rsid w:val="00233613"/>
    <w:rsid w:val="00254DBE"/>
    <w:rsid w:val="00275CAB"/>
    <w:rsid w:val="0028141A"/>
    <w:rsid w:val="0028709C"/>
    <w:rsid w:val="0029328F"/>
    <w:rsid w:val="002B0508"/>
    <w:rsid w:val="002B2731"/>
    <w:rsid w:val="003459A9"/>
    <w:rsid w:val="00382867"/>
    <w:rsid w:val="00397F01"/>
    <w:rsid w:val="003A4973"/>
    <w:rsid w:val="003C1C96"/>
    <w:rsid w:val="003C69F8"/>
    <w:rsid w:val="003E40BA"/>
    <w:rsid w:val="003E7165"/>
    <w:rsid w:val="0041579D"/>
    <w:rsid w:val="00427074"/>
    <w:rsid w:val="00434D04"/>
    <w:rsid w:val="004656A7"/>
    <w:rsid w:val="00465C0F"/>
    <w:rsid w:val="004A728E"/>
    <w:rsid w:val="004C4D73"/>
    <w:rsid w:val="004D7D0E"/>
    <w:rsid w:val="004E0A74"/>
    <w:rsid w:val="005234F5"/>
    <w:rsid w:val="00531745"/>
    <w:rsid w:val="00562446"/>
    <w:rsid w:val="00574196"/>
    <w:rsid w:val="0058791C"/>
    <w:rsid w:val="005C604C"/>
    <w:rsid w:val="00601049"/>
    <w:rsid w:val="006123AD"/>
    <w:rsid w:val="00616417"/>
    <w:rsid w:val="00635098"/>
    <w:rsid w:val="00645B83"/>
    <w:rsid w:val="0066173C"/>
    <w:rsid w:val="006D677A"/>
    <w:rsid w:val="007117C8"/>
    <w:rsid w:val="0071654E"/>
    <w:rsid w:val="0074399C"/>
    <w:rsid w:val="00762788"/>
    <w:rsid w:val="007640BB"/>
    <w:rsid w:val="00771953"/>
    <w:rsid w:val="00776E0B"/>
    <w:rsid w:val="00777263"/>
    <w:rsid w:val="007A0641"/>
    <w:rsid w:val="007B34BD"/>
    <w:rsid w:val="007B66A5"/>
    <w:rsid w:val="007C52E7"/>
    <w:rsid w:val="007C54EA"/>
    <w:rsid w:val="007C776D"/>
    <w:rsid w:val="007D7CE3"/>
    <w:rsid w:val="007E2F6C"/>
    <w:rsid w:val="00817C69"/>
    <w:rsid w:val="00823A94"/>
    <w:rsid w:val="00824151"/>
    <w:rsid w:val="00827F1C"/>
    <w:rsid w:val="008315A9"/>
    <w:rsid w:val="00834354"/>
    <w:rsid w:val="00886F52"/>
    <w:rsid w:val="008F1B95"/>
    <w:rsid w:val="008F4AE2"/>
    <w:rsid w:val="008F6882"/>
    <w:rsid w:val="00921BE1"/>
    <w:rsid w:val="00934C72"/>
    <w:rsid w:val="00946CCF"/>
    <w:rsid w:val="0097216B"/>
    <w:rsid w:val="00975CD9"/>
    <w:rsid w:val="0097721B"/>
    <w:rsid w:val="009831F8"/>
    <w:rsid w:val="00995E2D"/>
    <w:rsid w:val="00996E4E"/>
    <w:rsid w:val="009B3E00"/>
    <w:rsid w:val="009D1667"/>
    <w:rsid w:val="00A003EA"/>
    <w:rsid w:val="00A07CCE"/>
    <w:rsid w:val="00A27624"/>
    <w:rsid w:val="00A358E6"/>
    <w:rsid w:val="00A860C8"/>
    <w:rsid w:val="00AA78EE"/>
    <w:rsid w:val="00AB53E1"/>
    <w:rsid w:val="00AD1ED3"/>
    <w:rsid w:val="00AE5F66"/>
    <w:rsid w:val="00AF5DCB"/>
    <w:rsid w:val="00B07A0B"/>
    <w:rsid w:val="00B22F28"/>
    <w:rsid w:val="00B37453"/>
    <w:rsid w:val="00B45479"/>
    <w:rsid w:val="00B60171"/>
    <w:rsid w:val="00B7136A"/>
    <w:rsid w:val="00B837AC"/>
    <w:rsid w:val="00B8436C"/>
    <w:rsid w:val="00B95286"/>
    <w:rsid w:val="00BB4FB8"/>
    <w:rsid w:val="00BC6BFA"/>
    <w:rsid w:val="00BD315D"/>
    <w:rsid w:val="00BD7E7E"/>
    <w:rsid w:val="00C3279E"/>
    <w:rsid w:val="00C34857"/>
    <w:rsid w:val="00C55EC3"/>
    <w:rsid w:val="00C9156A"/>
    <w:rsid w:val="00CA2E26"/>
    <w:rsid w:val="00CC3548"/>
    <w:rsid w:val="00CD0C3F"/>
    <w:rsid w:val="00D00918"/>
    <w:rsid w:val="00D14326"/>
    <w:rsid w:val="00D548C1"/>
    <w:rsid w:val="00D559F2"/>
    <w:rsid w:val="00D60BEF"/>
    <w:rsid w:val="00D67199"/>
    <w:rsid w:val="00D7526E"/>
    <w:rsid w:val="00D772CC"/>
    <w:rsid w:val="00D84F30"/>
    <w:rsid w:val="00D878A6"/>
    <w:rsid w:val="00DE74BD"/>
    <w:rsid w:val="00DE7D07"/>
    <w:rsid w:val="00DF4F41"/>
    <w:rsid w:val="00E4207C"/>
    <w:rsid w:val="00E46E5D"/>
    <w:rsid w:val="00E557A5"/>
    <w:rsid w:val="00E73352"/>
    <w:rsid w:val="00EB7822"/>
    <w:rsid w:val="00EC50A9"/>
    <w:rsid w:val="00ED04DB"/>
    <w:rsid w:val="00F21455"/>
    <w:rsid w:val="00F242CB"/>
    <w:rsid w:val="00F5354B"/>
    <w:rsid w:val="00F62FCE"/>
    <w:rsid w:val="00F95135"/>
    <w:rsid w:val="00F9658C"/>
    <w:rsid w:val="00F978FD"/>
    <w:rsid w:val="00FA738E"/>
    <w:rsid w:val="00FB027F"/>
    <w:rsid w:val="00FC438B"/>
    <w:rsid w:val="00FF0FB7"/>
    <w:rsid w:val="01234E98"/>
    <w:rsid w:val="015A13AA"/>
    <w:rsid w:val="015F1951"/>
    <w:rsid w:val="020531A4"/>
    <w:rsid w:val="020C171D"/>
    <w:rsid w:val="0216715F"/>
    <w:rsid w:val="02E0291A"/>
    <w:rsid w:val="04E54546"/>
    <w:rsid w:val="05992762"/>
    <w:rsid w:val="05CE7667"/>
    <w:rsid w:val="0721282E"/>
    <w:rsid w:val="076D38BD"/>
    <w:rsid w:val="07B0770E"/>
    <w:rsid w:val="0942143F"/>
    <w:rsid w:val="096D38F0"/>
    <w:rsid w:val="09C6146A"/>
    <w:rsid w:val="0B046A64"/>
    <w:rsid w:val="0B2D1830"/>
    <w:rsid w:val="0B30303F"/>
    <w:rsid w:val="0B4677BD"/>
    <w:rsid w:val="0BD50DE5"/>
    <w:rsid w:val="0BEB6F66"/>
    <w:rsid w:val="0CDB6FDB"/>
    <w:rsid w:val="0D100297"/>
    <w:rsid w:val="0D202B45"/>
    <w:rsid w:val="0D6671EC"/>
    <w:rsid w:val="0D682F64"/>
    <w:rsid w:val="0E8A1382"/>
    <w:rsid w:val="0ED32451"/>
    <w:rsid w:val="0F0B2EB5"/>
    <w:rsid w:val="0F8D4C87"/>
    <w:rsid w:val="0FC93BC4"/>
    <w:rsid w:val="101747CE"/>
    <w:rsid w:val="10505FAA"/>
    <w:rsid w:val="105F7E7E"/>
    <w:rsid w:val="11E56B5B"/>
    <w:rsid w:val="125C77AB"/>
    <w:rsid w:val="12BE7183"/>
    <w:rsid w:val="1340228E"/>
    <w:rsid w:val="14CB726E"/>
    <w:rsid w:val="155D0ED5"/>
    <w:rsid w:val="15605744"/>
    <w:rsid w:val="15662FC4"/>
    <w:rsid w:val="15EA028F"/>
    <w:rsid w:val="16EA2C3C"/>
    <w:rsid w:val="17DB2585"/>
    <w:rsid w:val="17E92249"/>
    <w:rsid w:val="18D304F1"/>
    <w:rsid w:val="192D5062"/>
    <w:rsid w:val="19D021C2"/>
    <w:rsid w:val="19F32577"/>
    <w:rsid w:val="19F45B80"/>
    <w:rsid w:val="1AAA64D3"/>
    <w:rsid w:val="1AD611BB"/>
    <w:rsid w:val="1B040045"/>
    <w:rsid w:val="1B0C078D"/>
    <w:rsid w:val="1B2B31E2"/>
    <w:rsid w:val="1B4C295A"/>
    <w:rsid w:val="1B8934AF"/>
    <w:rsid w:val="1B973C63"/>
    <w:rsid w:val="1BA1001E"/>
    <w:rsid w:val="1BAF6202"/>
    <w:rsid w:val="1BD63639"/>
    <w:rsid w:val="1C4921B3"/>
    <w:rsid w:val="1C9154A4"/>
    <w:rsid w:val="1CC41839"/>
    <w:rsid w:val="1D24052A"/>
    <w:rsid w:val="1D317259"/>
    <w:rsid w:val="1D7A3220"/>
    <w:rsid w:val="1D7D7D3F"/>
    <w:rsid w:val="1DFE6FCD"/>
    <w:rsid w:val="1E664F5B"/>
    <w:rsid w:val="1EB34BE1"/>
    <w:rsid w:val="1EC53C70"/>
    <w:rsid w:val="1FB01685"/>
    <w:rsid w:val="202251F5"/>
    <w:rsid w:val="204213F3"/>
    <w:rsid w:val="20CA3197"/>
    <w:rsid w:val="21360E98"/>
    <w:rsid w:val="21465C2C"/>
    <w:rsid w:val="215E639F"/>
    <w:rsid w:val="21EC3183"/>
    <w:rsid w:val="225E72CD"/>
    <w:rsid w:val="238408C9"/>
    <w:rsid w:val="240A6118"/>
    <w:rsid w:val="246E2F77"/>
    <w:rsid w:val="254B4E2B"/>
    <w:rsid w:val="261401B2"/>
    <w:rsid w:val="264A7253"/>
    <w:rsid w:val="282940B5"/>
    <w:rsid w:val="283D7C94"/>
    <w:rsid w:val="284D60B9"/>
    <w:rsid w:val="29412512"/>
    <w:rsid w:val="29480E03"/>
    <w:rsid w:val="29496228"/>
    <w:rsid w:val="29571CE9"/>
    <w:rsid w:val="2983634D"/>
    <w:rsid w:val="2AEF2177"/>
    <w:rsid w:val="2BB02055"/>
    <w:rsid w:val="2BEC6833"/>
    <w:rsid w:val="2C575A56"/>
    <w:rsid w:val="2C5F332D"/>
    <w:rsid w:val="2CB812B9"/>
    <w:rsid w:val="2CDD4252"/>
    <w:rsid w:val="2D202ABC"/>
    <w:rsid w:val="2D4C1B03"/>
    <w:rsid w:val="2D7050C6"/>
    <w:rsid w:val="2E5A0250"/>
    <w:rsid w:val="2E7A444E"/>
    <w:rsid w:val="2E7F7CB6"/>
    <w:rsid w:val="2F257714"/>
    <w:rsid w:val="2F3275E5"/>
    <w:rsid w:val="2FE204FD"/>
    <w:rsid w:val="30AA08EF"/>
    <w:rsid w:val="30D23D1C"/>
    <w:rsid w:val="31221CF5"/>
    <w:rsid w:val="31400178"/>
    <w:rsid w:val="317B1722"/>
    <w:rsid w:val="31921AAF"/>
    <w:rsid w:val="31A83080"/>
    <w:rsid w:val="31DA4319"/>
    <w:rsid w:val="320F1351"/>
    <w:rsid w:val="321E3342"/>
    <w:rsid w:val="321F2AA7"/>
    <w:rsid w:val="327759C8"/>
    <w:rsid w:val="33185FE3"/>
    <w:rsid w:val="335F3C12"/>
    <w:rsid w:val="3461207D"/>
    <w:rsid w:val="348B18F0"/>
    <w:rsid w:val="34EE2E36"/>
    <w:rsid w:val="35577F21"/>
    <w:rsid w:val="364D3777"/>
    <w:rsid w:val="36777241"/>
    <w:rsid w:val="36E81955"/>
    <w:rsid w:val="371E78D5"/>
    <w:rsid w:val="371F3DE4"/>
    <w:rsid w:val="37B00EE0"/>
    <w:rsid w:val="37CE7466"/>
    <w:rsid w:val="3828316D"/>
    <w:rsid w:val="38A951DB"/>
    <w:rsid w:val="38B31605"/>
    <w:rsid w:val="39003F4F"/>
    <w:rsid w:val="394B27E7"/>
    <w:rsid w:val="3995038E"/>
    <w:rsid w:val="39E135D3"/>
    <w:rsid w:val="39F81B9E"/>
    <w:rsid w:val="3B181276"/>
    <w:rsid w:val="3B5A646E"/>
    <w:rsid w:val="3C07002B"/>
    <w:rsid w:val="3C460065"/>
    <w:rsid w:val="3C7A386B"/>
    <w:rsid w:val="3C7B06AE"/>
    <w:rsid w:val="3C8C0B3C"/>
    <w:rsid w:val="3D0D152A"/>
    <w:rsid w:val="3D404AB5"/>
    <w:rsid w:val="3DF62756"/>
    <w:rsid w:val="3ED50388"/>
    <w:rsid w:val="3F1B7587"/>
    <w:rsid w:val="3F23643C"/>
    <w:rsid w:val="3FAE784F"/>
    <w:rsid w:val="412C28CA"/>
    <w:rsid w:val="416B2215"/>
    <w:rsid w:val="41E57B4F"/>
    <w:rsid w:val="426C3C56"/>
    <w:rsid w:val="432F26F6"/>
    <w:rsid w:val="433504EC"/>
    <w:rsid w:val="434C5D40"/>
    <w:rsid w:val="43727992"/>
    <w:rsid w:val="43880F63"/>
    <w:rsid w:val="441C5A6F"/>
    <w:rsid w:val="44C44FCC"/>
    <w:rsid w:val="44CC7369"/>
    <w:rsid w:val="44E346A3"/>
    <w:rsid w:val="44ED033B"/>
    <w:rsid w:val="457F5108"/>
    <w:rsid w:val="45D87F80"/>
    <w:rsid w:val="46951B6B"/>
    <w:rsid w:val="46CC1167"/>
    <w:rsid w:val="47AF2F63"/>
    <w:rsid w:val="484D0086"/>
    <w:rsid w:val="49900B72"/>
    <w:rsid w:val="49A34401"/>
    <w:rsid w:val="4A0B3247"/>
    <w:rsid w:val="4A266DE0"/>
    <w:rsid w:val="4A3E30AB"/>
    <w:rsid w:val="4AC14DAC"/>
    <w:rsid w:val="4BD5286C"/>
    <w:rsid w:val="4C325F10"/>
    <w:rsid w:val="4C7402D7"/>
    <w:rsid w:val="4C817993"/>
    <w:rsid w:val="4CC8743B"/>
    <w:rsid w:val="4D154C85"/>
    <w:rsid w:val="4D7560B4"/>
    <w:rsid w:val="4EB35ECE"/>
    <w:rsid w:val="4EBB3F9B"/>
    <w:rsid w:val="4ED35788"/>
    <w:rsid w:val="4FDA2B47"/>
    <w:rsid w:val="502D0EC8"/>
    <w:rsid w:val="508F4E24"/>
    <w:rsid w:val="50CA73DD"/>
    <w:rsid w:val="51461E90"/>
    <w:rsid w:val="51463753"/>
    <w:rsid w:val="51B51175"/>
    <w:rsid w:val="51F779E0"/>
    <w:rsid w:val="5209326F"/>
    <w:rsid w:val="52553A93"/>
    <w:rsid w:val="52554706"/>
    <w:rsid w:val="53521F8B"/>
    <w:rsid w:val="53A26F61"/>
    <w:rsid w:val="53D0673A"/>
    <w:rsid w:val="53E22F47"/>
    <w:rsid w:val="53EB5322"/>
    <w:rsid w:val="542D593B"/>
    <w:rsid w:val="54522FF8"/>
    <w:rsid w:val="547F4E16"/>
    <w:rsid w:val="54CF6D6B"/>
    <w:rsid w:val="55450629"/>
    <w:rsid w:val="562C39D0"/>
    <w:rsid w:val="56692963"/>
    <w:rsid w:val="568B0F48"/>
    <w:rsid w:val="57482A8C"/>
    <w:rsid w:val="5786217B"/>
    <w:rsid w:val="57DD1426"/>
    <w:rsid w:val="588C0756"/>
    <w:rsid w:val="58A261CC"/>
    <w:rsid w:val="59337A15"/>
    <w:rsid w:val="593C199B"/>
    <w:rsid w:val="59810274"/>
    <w:rsid w:val="59E14DEE"/>
    <w:rsid w:val="59F12F67"/>
    <w:rsid w:val="5A186745"/>
    <w:rsid w:val="5AA05D5B"/>
    <w:rsid w:val="5B085A6F"/>
    <w:rsid w:val="5BDF06DC"/>
    <w:rsid w:val="5C902F0B"/>
    <w:rsid w:val="5CA6628A"/>
    <w:rsid w:val="5CA96A00"/>
    <w:rsid w:val="5CF730BC"/>
    <w:rsid w:val="5D4635C9"/>
    <w:rsid w:val="5D706898"/>
    <w:rsid w:val="5E5F0DCE"/>
    <w:rsid w:val="5ED6097D"/>
    <w:rsid w:val="5F294F51"/>
    <w:rsid w:val="5F3758C0"/>
    <w:rsid w:val="5F772160"/>
    <w:rsid w:val="5FA40A7B"/>
    <w:rsid w:val="5FD56D29"/>
    <w:rsid w:val="5FDC720B"/>
    <w:rsid w:val="5FEC7F3F"/>
    <w:rsid w:val="60567FC7"/>
    <w:rsid w:val="606B66F5"/>
    <w:rsid w:val="60F74BC3"/>
    <w:rsid w:val="617D3BF8"/>
    <w:rsid w:val="61841F6A"/>
    <w:rsid w:val="619A2136"/>
    <w:rsid w:val="623007A9"/>
    <w:rsid w:val="625543D8"/>
    <w:rsid w:val="635F7323"/>
    <w:rsid w:val="637D7558"/>
    <w:rsid w:val="64355C74"/>
    <w:rsid w:val="644F19AC"/>
    <w:rsid w:val="65AA4920"/>
    <w:rsid w:val="65B34C8C"/>
    <w:rsid w:val="65E31D0B"/>
    <w:rsid w:val="65F56B8B"/>
    <w:rsid w:val="67694F1E"/>
    <w:rsid w:val="676C115E"/>
    <w:rsid w:val="67786A75"/>
    <w:rsid w:val="67AE693B"/>
    <w:rsid w:val="67E660D5"/>
    <w:rsid w:val="68380BF5"/>
    <w:rsid w:val="69116C18"/>
    <w:rsid w:val="69597934"/>
    <w:rsid w:val="69AF24F6"/>
    <w:rsid w:val="6A2749C4"/>
    <w:rsid w:val="6A7C062B"/>
    <w:rsid w:val="6B964DDC"/>
    <w:rsid w:val="6BA114EB"/>
    <w:rsid w:val="6BE97F42"/>
    <w:rsid w:val="6C2B67AC"/>
    <w:rsid w:val="6C2C42D2"/>
    <w:rsid w:val="6C783074"/>
    <w:rsid w:val="6CDC1854"/>
    <w:rsid w:val="6CF3094C"/>
    <w:rsid w:val="6D321474"/>
    <w:rsid w:val="6D9E65C6"/>
    <w:rsid w:val="6DA81947"/>
    <w:rsid w:val="6DA8381C"/>
    <w:rsid w:val="6DAF6F69"/>
    <w:rsid w:val="6EB66DE2"/>
    <w:rsid w:val="6ED3075F"/>
    <w:rsid w:val="6F2A2D4B"/>
    <w:rsid w:val="6F8A0C1E"/>
    <w:rsid w:val="703F45D4"/>
    <w:rsid w:val="707F181E"/>
    <w:rsid w:val="715D6546"/>
    <w:rsid w:val="71A50F85"/>
    <w:rsid w:val="71B66B18"/>
    <w:rsid w:val="71BE069E"/>
    <w:rsid w:val="71EF3DD8"/>
    <w:rsid w:val="72096CEB"/>
    <w:rsid w:val="726F091C"/>
    <w:rsid w:val="727918F3"/>
    <w:rsid w:val="735A34D3"/>
    <w:rsid w:val="73953409"/>
    <w:rsid w:val="73E069A3"/>
    <w:rsid w:val="7489001F"/>
    <w:rsid w:val="74EC45FF"/>
    <w:rsid w:val="75734D20"/>
    <w:rsid w:val="75991870"/>
    <w:rsid w:val="77A94A29"/>
    <w:rsid w:val="78104AA8"/>
    <w:rsid w:val="782642CC"/>
    <w:rsid w:val="784C1F84"/>
    <w:rsid w:val="78CE08ED"/>
    <w:rsid w:val="78E257C5"/>
    <w:rsid w:val="794B35BE"/>
    <w:rsid w:val="79870D9A"/>
    <w:rsid w:val="79A342A0"/>
    <w:rsid w:val="7AF406B1"/>
    <w:rsid w:val="7B0A3A31"/>
    <w:rsid w:val="7B3360ED"/>
    <w:rsid w:val="7B713AB0"/>
    <w:rsid w:val="7BBB4D2B"/>
    <w:rsid w:val="7BC9569A"/>
    <w:rsid w:val="7BDF037E"/>
    <w:rsid w:val="7BF50948"/>
    <w:rsid w:val="7C0F5A6A"/>
    <w:rsid w:val="7C795E78"/>
    <w:rsid w:val="7CE66A78"/>
    <w:rsid w:val="7D0A6654"/>
    <w:rsid w:val="7D124E1E"/>
    <w:rsid w:val="7D23564C"/>
    <w:rsid w:val="7D592A4D"/>
    <w:rsid w:val="7D5E062D"/>
    <w:rsid w:val="7DB36601"/>
    <w:rsid w:val="7DF76CD8"/>
    <w:rsid w:val="7E9957F7"/>
    <w:rsid w:val="7EF27BEA"/>
    <w:rsid w:val="7F10538E"/>
    <w:rsid w:val="7F2350C1"/>
    <w:rsid w:val="7F695C26"/>
    <w:rsid w:val="7FB0104A"/>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c:f>
              <c:strCache>
                <c:ptCount val="1"/>
                <c:pt idx="0">
                  <c:v>教育支出</c:v>
                </c:pt>
              </c:strCache>
            </c:strRef>
          </c:cat>
          <c:val>
            <c:numRef>
              <c:f>Sheet1!$B$2</c:f>
              <c:numCache>
                <c:formatCode>General</c:formatCode>
                <c:ptCount val="1"/>
                <c:pt idx="0">
                  <c:v>0</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c:f>
              <c:strCache>
                <c:ptCount val="1"/>
                <c:pt idx="0">
                  <c:v>教育支出</c:v>
                </c:pt>
              </c:strCache>
            </c:strRef>
          </c:cat>
          <c:val>
            <c:numRef>
              <c:f>Sheet1!$C$2</c:f>
              <c:numCache>
                <c:formatCode>General</c:formatCode>
                <c:ptCount val="1"/>
                <c:pt idx="0">
                  <c:v>15.2</c:v>
                </c:pt>
              </c:numCache>
            </c:numRef>
          </c:val>
        </c:ser>
        <c:dLbls>
          <c:showLegendKey val="0"/>
          <c:showVal val="0"/>
          <c:showCatName val="0"/>
          <c:showSerName val="0"/>
          <c:showPercent val="0"/>
          <c:showBubbleSize val="0"/>
        </c:dLbls>
        <c:gapWidth val="219"/>
        <c:overlap val="-27"/>
        <c:axId val="691186272"/>
        <c:axId val="691183920"/>
      </c:barChart>
      <c:catAx>
        <c:axId val="6911862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183920"/>
        <c:crosses val="autoZero"/>
        <c:auto val="1"/>
        <c:lblAlgn val="ctr"/>
        <c:lblOffset val="100"/>
        <c:noMultiLvlLbl val="0"/>
      </c:catAx>
      <c:valAx>
        <c:axId val="691183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1862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2050201</c:v>
                </c:pt>
                <c:pt idx="1">
                  <c:v>205x</c:v>
                </c:pt>
              </c:strCache>
            </c:strRef>
          </c:cat>
          <c:val>
            <c:numRef>
              <c:f>Sheet1!$B$2:$B$3</c:f>
              <c:numCache>
                <c:formatCode>General</c:formatCode>
                <c:ptCount val="2"/>
                <c:pt idx="0">
                  <c:v>15.2</c:v>
                </c:pt>
                <c:pt idx="1">
                  <c:v>15.2</c:v>
                </c:pt>
              </c:numCache>
            </c:numRef>
          </c:val>
        </c:ser>
        <c:dLbls>
          <c:showLegendKey val="0"/>
          <c:showVal val="0"/>
          <c:showCatName val="0"/>
          <c:showSerName val="0"/>
          <c:showPercent val="0"/>
          <c:showBubbleSize val="0"/>
        </c:dLbls>
        <c:gapWidth val="219"/>
        <c:overlap val="-27"/>
        <c:axId val="691190976"/>
        <c:axId val="691187056"/>
      </c:barChart>
      <c:catAx>
        <c:axId val="6911909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187056"/>
        <c:crosses val="autoZero"/>
        <c:auto val="1"/>
        <c:lblAlgn val="ctr"/>
        <c:lblOffset val="100"/>
        <c:noMultiLvlLbl val="0"/>
      </c:catAx>
      <c:valAx>
        <c:axId val="6911870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190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dLbls>
          <c:showLegendKey val="0"/>
          <c:showVal val="0"/>
          <c:showCatName val="0"/>
          <c:showSerName val="0"/>
          <c:showPercent val="0"/>
          <c:showBubbleSize val="0"/>
        </c:dLbls>
        <c:gapWidth val="219"/>
        <c:overlap val="-27"/>
        <c:axId val="691193720"/>
        <c:axId val="691185096"/>
      </c:barChart>
      <c:catAx>
        <c:axId val="6911937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185096"/>
        <c:crosses val="autoZero"/>
        <c:auto val="1"/>
        <c:lblAlgn val="ctr"/>
        <c:lblOffset val="100"/>
        <c:noMultiLvlLbl val="0"/>
      </c:catAx>
      <c:valAx>
        <c:axId val="6911850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193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691185880"/>
        <c:axId val="691183528"/>
      </c:barChart>
      <c:catAx>
        <c:axId val="6911858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183528"/>
        <c:crosses val="autoZero"/>
        <c:auto val="1"/>
        <c:lblAlgn val="ctr"/>
        <c:lblOffset val="100"/>
        <c:noMultiLvlLbl val="0"/>
      </c:catAx>
      <c:valAx>
        <c:axId val="691183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1858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691194504"/>
        <c:axId val="691192936"/>
      </c:barChart>
      <c:catAx>
        <c:axId val="6911945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192936"/>
        <c:crosses val="autoZero"/>
        <c:auto val="1"/>
        <c:lblAlgn val="ctr"/>
        <c:lblOffset val="100"/>
        <c:noMultiLvlLbl val="0"/>
      </c:catAx>
      <c:valAx>
        <c:axId val="6911929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194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691187840"/>
        <c:axId val="691188624"/>
      </c:barChart>
      <c:catAx>
        <c:axId val="69118784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188624"/>
        <c:crosses val="autoZero"/>
        <c:auto val="1"/>
        <c:lblAlgn val="ctr"/>
        <c:lblOffset val="100"/>
        <c:noMultiLvlLbl val="0"/>
      </c:catAx>
      <c:valAx>
        <c:axId val="6911886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1878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691189408"/>
        <c:axId val="691190192"/>
      </c:barChart>
      <c:catAx>
        <c:axId val="6911894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190192"/>
        <c:crosses val="autoZero"/>
        <c:auto val="1"/>
        <c:lblAlgn val="ctr"/>
        <c:lblOffset val="100"/>
        <c:noMultiLvlLbl val="0"/>
      </c:catAx>
      <c:valAx>
        <c:axId val="6911901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189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691195288"/>
        <c:axId val="691190584"/>
      </c:barChart>
      <c:catAx>
        <c:axId val="6911952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190584"/>
        <c:crosses val="autoZero"/>
        <c:auto val="1"/>
        <c:lblAlgn val="ctr"/>
        <c:lblOffset val="100"/>
        <c:noMultiLvlLbl val="0"/>
      </c:catAx>
      <c:valAx>
        <c:axId val="6911905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1952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E1DC2-28B3-403B-81EE-D75ABDCD1026}">
  <ds:schemaRefs/>
</ds:datastoreItem>
</file>

<file path=docProps/app.xml><?xml version="1.0" encoding="utf-8"?>
<Properties xmlns="http://schemas.openxmlformats.org/officeDocument/2006/extended-properties" xmlns:vt="http://schemas.openxmlformats.org/officeDocument/2006/docPropsVTypes">
  <Template>Normal</Template>
  <Pages>40</Pages>
  <Words>10025</Words>
  <Characters>4815</Characters>
  <Lines>40</Lines>
  <Paragraphs>29</Paragraphs>
  <TotalTime>2</TotalTime>
  <ScaleCrop>false</ScaleCrop>
  <LinksUpToDate>false</LinksUpToDate>
  <CharactersWithSpaces>14811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2023-11-20T07:52:00Z</cp:lastPrinted>
  <dcterms:modified xsi:type="dcterms:W3CDTF">2023-11-28T09:27:02Z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73665EA87B1E4545A4790C04B2D3C8B8_13</vt:lpwstr>
  </property>
</Properties>
</file>