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环江毛南族自治县大才乡中心小学2022年度部门决算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both"/>
        <w:rPr>
          <w:rFonts w:hint="eastAsia" w:ascii="仿宋" w:hAnsi="仿宋" w:eastAsia="仿宋" w:cs="仿宋"/>
          <w:sz w:val="32"/>
          <w:szCs w:val="32"/>
          <w:highlight w:val="none"/>
          <w:lang w:val="en-US" w:eastAsia="zh-CN"/>
        </w:rPr>
      </w:pPr>
    </w:p>
    <w:p>
      <w:pPr>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单位负责人：莫壮远</w:t>
      </w: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环江毛南族自治县大才乡中心小学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广西河池市环江毛南族自治县大才乡中心小学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环江毛南族自治县大才乡中心小学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环江毛南族自治县大才乡中心小学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（一）贯彻执行党和国家的教育方针、政策和法律法规；拟订全乡教育改革与发展规划并组织实施。</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（二）编制本乡教育事业发展规划并检查实施情况，向上级教育部门作出报告。</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（三）督促检查全乡贯彻执行教育方针、政策、法令、法规和上级的各项规定；评估指导全乡教育教学工作。</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（四）负责推进义务教育均衡发展和促进教育公平，负责义务教育及幼儿教育宏观指导与协调。</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（五）负责全乡教育系统校长队伍、人才队伍和教师队伍建设，包括校长岗位培训、后备干部队伍建设、教师学历教育、继续教育等。</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（六）负责组织全乡做好期末测试、小学毕业会考工作、招生录取工作和义教学生学籍管理工作。</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（七）按照中央关于全面推进素质教育要求，负责教育教学管理、教育教学改革及教育教学科学研究工作，检查指导全镇实施素质教育工作，并组织推广先进的教育教学经验。</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（八）检查指导学校教育教学设备的装备、管理和使用工作。</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（九）检查指导全乡开展电化教育和信息化教学工作。</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（十）负责全乡教师初级专业技术职务资格的评审，中、高级专业技术职务资格的申报工作。按照管理权限对教师进行考核、聘任、奖惩、晋升等工作。</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（十一）负责监督审计全乡教育经费和教育基建经费拨付及教育附加费和教育费附加的征收、管理与使用工作。</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（十二）负责全乡中小学校教学教育常规管理评估工作，指导全乡各校德育、体育、卫生、艺术、安全工作以及团组织和少先队工作。</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（十三）指导全乡的教育督导工作，组织和指导对中等及中等以下教育，扫除青壮年文盲工作的督导检查和评估工作，指导基础教育发展水平、质量的监测工作。</w:t>
      </w:r>
    </w:p>
    <w:p>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（十四）负责指导全乡学生资助管理工作。</w:t>
      </w:r>
    </w:p>
    <w:p>
      <w:pPr>
        <w:ind w:firstLine="640" w:firstLineChars="200"/>
        <w:jc w:val="left"/>
        <w:rPr>
          <w:rFonts w:hint="eastAsia" w:ascii="仿宋" w:hAnsi="仿宋" w:eastAsia="仿宋" w:cs="仿宋"/>
          <w:color w:val="FF0000"/>
          <w:sz w:val="32"/>
          <w:szCs w:val="32"/>
          <w:lang w:val="en-US" w:eastAsia="zh-CN"/>
        </w:rPr>
      </w:pPr>
      <w:r>
        <w:rPr>
          <w:rFonts w:hint="eastAsia" w:ascii="仿宋_GB2312" w:eastAsia="仿宋_GB2312" w:cs="仿宋_GB2312"/>
          <w:kern w:val="0"/>
          <w:sz w:val="32"/>
          <w:szCs w:val="32"/>
        </w:rPr>
        <w:t>（十五）负责语言文字和指导推广普通话工作。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32"/>
                <w:szCs w:val="32"/>
              </w:rPr>
            </w:pPr>
            <w:r>
              <w:rPr>
                <w:rFonts w:hint="eastAsia" w:ascii="仿宋" w:hAnsi="仿宋" w:eastAsia="仿宋" w:cs="仿宋"/>
                <w:sz w:val="32"/>
                <w:szCs w:val="32"/>
                <w:lang w:eastAsia="zh-CN"/>
              </w:rPr>
              <w:t>环江毛南族自治县大才乡中心小学</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32"/>
                <w:szCs w:val="32"/>
              </w:rPr>
            </w:pPr>
            <w:r>
              <w:rPr>
                <w:rFonts w:hint="eastAsia" w:ascii="仿宋" w:hAnsi="仿宋" w:eastAsia="仿宋" w:cs="仿宋"/>
                <w:sz w:val="32"/>
                <w:szCs w:val="32"/>
                <w:lang w:eastAsia="zh-CN"/>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32"/>
                <w:szCs w:val="32"/>
              </w:rPr>
            </w:pPr>
            <w:r>
              <w:rPr>
                <w:rFonts w:hint="eastAsia" w:ascii="仿宋" w:hAnsi="仿宋" w:eastAsia="仿宋" w:cs="仿宋"/>
                <w:sz w:val="32"/>
                <w:szCs w:val="32"/>
                <w:lang w:eastAsia="zh-CN"/>
              </w:rPr>
              <w:t>环江毛南族自治县大才乡重楼教学点</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32"/>
                <w:szCs w:val="32"/>
              </w:rPr>
            </w:pPr>
            <w:r>
              <w:rPr>
                <w:rFonts w:hint="eastAsia" w:ascii="仿宋" w:hAnsi="仿宋" w:eastAsia="仿宋" w:cs="仿宋"/>
                <w:sz w:val="32"/>
                <w:szCs w:val="32"/>
                <w:lang w:eastAsia="zh-CN"/>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32"/>
                <w:szCs w:val="32"/>
              </w:rPr>
            </w:pPr>
            <w:r>
              <w:rPr>
                <w:rFonts w:hint="eastAsia" w:ascii="仿宋" w:hAnsi="仿宋" w:eastAsia="仿宋" w:cs="仿宋"/>
                <w:sz w:val="32"/>
                <w:szCs w:val="32"/>
                <w:lang w:eastAsia="zh-CN"/>
              </w:rPr>
              <w:t>环江毛南族自治县大才乡同进教学点</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32"/>
                <w:szCs w:val="32"/>
              </w:rPr>
            </w:pPr>
            <w:r>
              <w:rPr>
                <w:rFonts w:hint="eastAsia" w:ascii="仿宋" w:hAnsi="仿宋" w:eastAsia="仿宋" w:cs="仿宋"/>
                <w:sz w:val="32"/>
                <w:szCs w:val="32"/>
                <w:lang w:eastAsia="zh-CN"/>
              </w:rPr>
              <w:t>事业单位</w:t>
            </w:r>
          </w:p>
        </w:tc>
      </w:tr>
      <w:bookmarkEnd w:id="0"/>
    </w:tbl>
    <w:p>
      <w:pPr>
        <w:ind w:firstLine="640" w:firstLineChars="200"/>
        <w:jc w:val="left"/>
        <w:rPr>
          <w:rFonts w:hint="eastAsia" w:ascii="仿宋" w:hAnsi="仿宋" w:eastAsia="仿宋" w:cs="仿宋"/>
          <w:sz w:val="32"/>
          <w:szCs w:val="32"/>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环江毛南族自治县大才乡中心小学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751.23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82.44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62.76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127.35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1035.14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1035.14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1035.14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1035.14</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1035.14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1035.14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751.23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751.23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750.15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750.15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18.54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18.54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年初预留</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年初预留</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1035.14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999.78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35.37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751.23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722.61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28.62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750.15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721.62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716.82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18.54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13.74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82.44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82.44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82.44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120.61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年初预留</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8.38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年初预留</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8.38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14077" w:type="dxa"/>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14077"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22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8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9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8607"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17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94"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430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977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2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3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0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7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1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18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22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1028.40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11.35</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751.23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751.23</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82.44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82.44</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62.76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62.76</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127.35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120.61</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1035.14</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1035.14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1028.40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1035.14</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1035.14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1028.40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6.75</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183"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1894" w:type="dxa"/>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1028.40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999.78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28.62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751.23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722.61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28.62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750.15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721.62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731.61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716.82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14.79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18.54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13.74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120.61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120.61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年初预留</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年初预留</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3"/>
            <w:bookmarkStart w:id="2"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781.04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318.34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77.51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955.77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44.01</w:t>
            </w:r>
          </w:p>
        </w:tc>
      </w:tr>
      <w:tr>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6.75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6.75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6.75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6.75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6.75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6.75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6.75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6.75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广西河池市环江毛南族自治县大才乡中心小学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2022</w:t>
      </w:r>
      <w:r>
        <w:rPr>
          <w:rFonts w:hint="eastAsia" w:ascii="宋体" w:hAnsi="宋体" w:eastAsia="宋体" w:cs="宋体"/>
          <w:color w:val="auto"/>
          <w:kern w:val="2"/>
          <w:sz w:val="21"/>
          <w:szCs w:val="21"/>
          <w:highlight w:val="none"/>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tbl>
      <w:tblPr>
        <w:tblStyle w:val="6"/>
        <w:tblW w:w="14019" w:type="dxa"/>
        <w:tblInd w:w="0" w:type="dxa"/>
        <w:tblLayout w:type="fixed"/>
        <w:tblCellMar>
          <w:top w:w="0" w:type="dxa"/>
          <w:left w:w="108" w:type="dxa"/>
          <w:bottom w:w="0" w:type="dxa"/>
          <w:right w:w="108" w:type="dxa"/>
        </w:tblCellMar>
      </w:tblPr>
      <w:tblGrid>
        <w:gridCol w:w="1534"/>
        <w:gridCol w:w="1425"/>
        <w:gridCol w:w="1094"/>
        <w:gridCol w:w="1159"/>
        <w:gridCol w:w="1133"/>
        <w:gridCol w:w="1040"/>
        <w:gridCol w:w="1066"/>
        <w:gridCol w:w="1161"/>
        <w:gridCol w:w="1053"/>
        <w:gridCol w:w="1148"/>
        <w:gridCol w:w="1133"/>
        <w:gridCol w:w="1073"/>
      </w:tblGrid>
      <w:tr>
        <w:tblPrEx>
          <w:tblCellMar>
            <w:top w:w="0" w:type="dxa"/>
            <w:left w:w="108" w:type="dxa"/>
            <w:bottom w:w="0" w:type="dxa"/>
            <w:right w:w="108" w:type="dxa"/>
          </w:tblCellMar>
        </w:tblPrEx>
        <w:trPr>
          <w:trHeight w:val="632" w:hRule="atLeast"/>
        </w:trPr>
        <w:tc>
          <w:tcPr>
            <w:tcW w:w="14019"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0"/>
                <w:szCs w:val="30"/>
                <w:highlight w:val="none"/>
                <w:lang w:bidi="ar"/>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trHeight w:val="316" w:hRule="atLeast"/>
        </w:trPr>
        <w:tc>
          <w:tcPr>
            <w:tcW w:w="15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316" w:hRule="atLeast"/>
        </w:trPr>
        <w:tc>
          <w:tcPr>
            <w:tcW w:w="7385"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广西河池市环江毛南族自治县大才乡中心小学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6" w:hRule="atLeast"/>
        </w:trPr>
        <w:tc>
          <w:tcPr>
            <w:tcW w:w="73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326" w:hRule="atLeast"/>
        </w:trPr>
        <w:tc>
          <w:tcPr>
            <w:tcW w:w="1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trHeight w:val="642" w:hRule="atLeast"/>
        </w:trPr>
        <w:tc>
          <w:tcPr>
            <w:tcW w:w="153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959" w:hRule="atLeast"/>
        </w:trPr>
        <w:tc>
          <w:tcPr>
            <w:tcW w:w="15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trHeight w:val="642" w:hRule="atLeast"/>
        </w:trPr>
        <w:tc>
          <w:tcPr>
            <w:tcW w:w="15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42" w:hRule="atLeast"/>
        </w:trPr>
        <w:tc>
          <w:tcPr>
            <w:tcW w:w="14019"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环江毛南族自治县大才乡中心小学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1035.14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减少314.10</w:t>
      </w:r>
      <w:r>
        <w:rPr>
          <w:rFonts w:hint="eastAsia" w:ascii="仿宋" w:hAnsi="仿宋" w:eastAsia="仿宋" w:cs="仿宋"/>
          <w:sz w:val="32"/>
          <w:szCs w:val="32"/>
          <w:highlight w:val="none"/>
        </w:rPr>
        <w:t>万元，</w:t>
      </w:r>
      <w:r>
        <w:rPr>
          <w:rFonts w:ascii="仿宋" w:hAnsi="仿宋" w:eastAsia="仿宋" w:cs="仿宋"/>
          <w:sz w:val="32"/>
          <w:u w:color="auto"/>
        </w:rPr>
        <w:t>下降23.28%</w:t>
      </w:r>
      <w:r>
        <w:rPr>
          <w:rFonts w:hint="eastAsia" w:ascii="仿宋" w:hAnsi="仿宋" w:eastAsia="仿宋" w:cs="仿宋"/>
          <w:sz w:val="32"/>
          <w:szCs w:val="32"/>
          <w:highlight w:val="none"/>
        </w:rPr>
        <w:t>，其中本年收入</w:t>
      </w:r>
      <w:r>
        <w:rPr>
          <w:rFonts w:ascii="仿宋" w:hAnsi="仿宋" w:eastAsia="仿宋" w:cs="仿宋"/>
          <w:sz w:val="32"/>
          <w:u w:color="auto"/>
        </w:rPr>
        <w:t>1035.14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1028.40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减少86.04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下降7.72%</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学生人数减少，拨款资金相对减少。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6.75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增加6.75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政府重视教育，加大教育投资力度。</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0"/>
          <w:sz w:val="32"/>
          <w:szCs w:val="32"/>
        </w:rPr>
        <w:t>本</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无此项收入</w:t>
      </w:r>
      <w:r>
        <w:rPr>
          <w:rFonts w:hint="eastAsia" w:ascii="仿宋_GB2312" w:hAnsi="仿宋_GB2312" w:eastAsia="仿宋_GB2312" w:cs="仿宋_GB2312"/>
          <w:color w:val="auto"/>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减少234.80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210560"/>
            <wp:effectExtent l="5080" t="4445" r="20320"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1035.14</w:t>
      </w:r>
      <w:r>
        <w:rPr>
          <w:rFonts w:hint="eastAsia" w:ascii="仿宋" w:hAnsi="仿宋" w:eastAsia="仿宋" w:cs="仿宋"/>
          <w:sz w:val="32"/>
          <w:szCs w:val="32"/>
          <w:highlight w:val="none"/>
        </w:rPr>
        <w:t>万元，其中本年支出</w:t>
      </w:r>
      <w:r>
        <w:rPr>
          <w:rFonts w:ascii="仿宋" w:hAnsi="仿宋" w:eastAsia="仿宋" w:cs="仿宋"/>
          <w:sz w:val="32"/>
          <w:u w:color="auto"/>
        </w:rPr>
        <w:t>1035.14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减少314.10</w:t>
      </w:r>
      <w:r>
        <w:rPr>
          <w:rFonts w:hint="eastAsia" w:ascii="仿宋" w:hAnsi="仿宋" w:eastAsia="仿宋" w:cs="仿宋"/>
          <w:sz w:val="32"/>
          <w:szCs w:val="32"/>
          <w:highlight w:val="none"/>
        </w:rPr>
        <w:t>万元，</w:t>
      </w:r>
      <w:r>
        <w:rPr>
          <w:rFonts w:ascii="仿宋" w:hAnsi="仿宋" w:eastAsia="仿宋" w:cs="仿宋"/>
          <w:sz w:val="32"/>
          <w:u w:color="auto"/>
        </w:rPr>
        <w:t>下降23.28%</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11.35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i w:val="0"/>
          <w:iCs w:val="0"/>
          <w:color w:val="auto"/>
          <w:sz w:val="32"/>
          <w:szCs w:val="32"/>
          <w:highlight w:val="none"/>
          <w:u w:val="none"/>
          <w:lang w:val="en-US" w:eastAsia="zh-CN"/>
        </w:rPr>
        <w:t>主要用于工会组织活动开支</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增加11.35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主要原因是：政府重视教育，加大投资教育力度。</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751.23</w:t>
      </w:r>
      <w:r>
        <w:rPr>
          <w:rFonts w:hint="eastAsia" w:ascii="仿宋" w:hAnsi="仿宋" w:eastAsia="仿宋" w:cs="仿宋"/>
          <w:sz w:val="32"/>
          <w:szCs w:val="32"/>
          <w:highlight w:val="none"/>
        </w:rPr>
        <w:t>万元：</w:t>
      </w:r>
      <w:r>
        <w:rPr>
          <w:rFonts w:hint="eastAsia" w:ascii="华文仿宋" w:hAnsi="华文仿宋" w:eastAsia="华文仿宋" w:cs="华文仿宋"/>
          <w:color w:val="auto"/>
          <w:kern w:val="0"/>
          <w:sz w:val="32"/>
          <w:szCs w:val="32"/>
        </w:rPr>
        <w:t>主要用于全</w:t>
      </w:r>
      <w:r>
        <w:rPr>
          <w:rFonts w:hint="eastAsia" w:ascii="华文仿宋" w:hAnsi="华文仿宋" w:eastAsia="华文仿宋" w:cs="华文仿宋"/>
          <w:color w:val="auto"/>
          <w:kern w:val="0"/>
          <w:sz w:val="32"/>
          <w:szCs w:val="32"/>
          <w:lang w:val="en-US" w:eastAsia="zh-CN"/>
        </w:rPr>
        <w:t>校</w:t>
      </w:r>
      <w:r>
        <w:rPr>
          <w:rFonts w:hint="eastAsia" w:ascii="华文仿宋" w:hAnsi="华文仿宋" w:eastAsia="华文仿宋" w:cs="华文仿宋"/>
          <w:color w:val="auto"/>
          <w:kern w:val="0"/>
          <w:sz w:val="32"/>
          <w:szCs w:val="32"/>
        </w:rPr>
        <w:t>教</w:t>
      </w:r>
      <w:r>
        <w:rPr>
          <w:rFonts w:hint="eastAsia" w:ascii="华文仿宋" w:hAnsi="华文仿宋" w:eastAsia="华文仿宋" w:cs="华文仿宋"/>
          <w:color w:val="auto"/>
          <w:kern w:val="0"/>
          <w:sz w:val="32"/>
          <w:szCs w:val="32"/>
          <w:lang w:val="en-US" w:eastAsia="zh-CN"/>
        </w:rPr>
        <w:t>职工</w:t>
      </w:r>
      <w:r>
        <w:rPr>
          <w:rFonts w:hint="eastAsia" w:ascii="华文仿宋" w:hAnsi="华文仿宋" w:eastAsia="华文仿宋" w:cs="华文仿宋"/>
          <w:color w:val="auto"/>
          <w:kern w:val="0"/>
          <w:sz w:val="32"/>
          <w:szCs w:val="32"/>
        </w:rPr>
        <w:t>工资及为开展教育教学活动的支出。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减少115.87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下降13.36%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华文仿宋" w:hAnsi="华文仿宋" w:eastAsia="华文仿宋" w:cs="华文仿宋"/>
          <w:color w:val="auto"/>
          <w:kern w:val="0"/>
          <w:sz w:val="32"/>
          <w:szCs w:val="32"/>
          <w:lang w:eastAsia="zh-CN"/>
        </w:rPr>
        <w:t>学生数减少，拨款经费减少。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82.44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华文仿宋" w:hAnsi="华文仿宋" w:eastAsia="华文仿宋" w:cs="华文仿宋"/>
          <w:kern w:val="0"/>
          <w:sz w:val="32"/>
          <w:szCs w:val="32"/>
        </w:rPr>
        <w:t>缴纳教职工“五险”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减少54.37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下降39.74%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教师调出和教师退休，人员减少</w:t>
      </w:r>
      <w:r>
        <w:rPr>
          <w:rFonts w:hint="eastAsia" w:ascii="仿宋" w:hAnsi="仿宋" w:eastAsia="仿宋" w:cs="仿宋"/>
          <w:color w:val="0000FF"/>
          <w:kern w:val="2"/>
          <w:sz w:val="32"/>
          <w:szCs w:val="32"/>
          <w:highlight w:val="none"/>
          <w:lang w:val="en-US" w:eastAsia="zh-CN" w:bidi="ar"/>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lang w:eastAsia="zh-CN" w:bidi="ar"/>
        </w:rPr>
        <w:t>就减少。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62.76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缴纳教职工</w:t>
      </w:r>
      <w:r>
        <w:rPr>
          <w:rFonts w:hint="eastAsia" w:ascii="Times New Roman" w:hAnsi="Times New Roman" w:eastAsia="仿宋_GB2312" w:cs="Times New Roman"/>
          <w:kern w:val="0"/>
          <w:sz w:val="32"/>
          <w:szCs w:val="32"/>
        </w:rPr>
        <w:t>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增加27.09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增长75.95%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新招教师及教师工资提高。</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127.35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主要用于人员工资福利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减少182.31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下降58.87%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主要原因是：教师调出及教师退休，人员减少。</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：本单位无结余分配。</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主要原因是：本单位学生减少，经费也减少，开支大，年末无</w:t>
      </w:r>
      <w:r>
        <w:rPr>
          <w:rFonts w:hint="eastAsia" w:ascii="仿宋" w:hAnsi="仿宋" w:eastAsia="仿宋" w:cs="仿宋"/>
          <w:sz w:val="32"/>
          <w:szCs w:val="32"/>
          <w:highlight w:val="none"/>
        </w:rPr>
        <w:t>结转和结余</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80585" cy="2327910"/>
            <wp:effectExtent l="5080" t="4445" r="19685"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环江毛南族自治县大才乡中心小学2022年度一般公共预算财政拨款支出</w:t>
      </w:r>
      <w:r>
        <w:rPr>
          <w:rFonts w:ascii="仿宋" w:hAnsi="仿宋" w:eastAsia="仿宋" w:cs="仿宋"/>
          <w:sz w:val="32"/>
          <w:u w:color="auto"/>
        </w:rPr>
        <w:t>1028.40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减少305.84</w:t>
      </w:r>
      <w:r>
        <w:rPr>
          <w:rFonts w:hint="eastAsia" w:ascii="仿宋" w:hAnsi="仿宋" w:eastAsia="仿宋" w:cs="仿宋"/>
          <w:sz w:val="32"/>
          <w:szCs w:val="32"/>
          <w:highlight w:val="none"/>
        </w:rPr>
        <w:t>万元，</w:t>
      </w:r>
      <w:r>
        <w:rPr>
          <w:rFonts w:ascii="仿宋" w:hAnsi="仿宋" w:eastAsia="仿宋" w:cs="仿宋"/>
          <w:sz w:val="32"/>
          <w:u w:color="auto"/>
        </w:rPr>
        <w:t>下降22.92%</w:t>
      </w:r>
      <w:r>
        <w:rPr>
          <w:rFonts w:hint="eastAsia" w:ascii="仿宋" w:hAnsi="仿宋" w:eastAsia="仿宋" w:cs="仿宋"/>
          <w:sz w:val="32"/>
          <w:szCs w:val="32"/>
          <w:highlight w:val="none"/>
        </w:rPr>
        <w:t>。其中：基本支出</w:t>
      </w:r>
      <w:r>
        <w:rPr>
          <w:rFonts w:ascii="仿宋" w:hAnsi="仿宋" w:eastAsia="仿宋" w:cs="仿宋"/>
          <w:sz w:val="32"/>
          <w:u w:color="auto"/>
        </w:rPr>
        <w:t>999.78</w:t>
      </w:r>
      <w:r>
        <w:rPr>
          <w:rFonts w:hint="eastAsia" w:ascii="仿宋" w:hAnsi="仿宋" w:eastAsia="仿宋" w:cs="仿宋"/>
          <w:sz w:val="32"/>
          <w:szCs w:val="32"/>
          <w:highlight w:val="none"/>
        </w:rPr>
        <w:t>万元，项目支出</w:t>
      </w:r>
      <w:r>
        <w:rPr>
          <w:rFonts w:ascii="仿宋" w:hAnsi="仿宋" w:eastAsia="仿宋" w:cs="仿宋"/>
          <w:sz w:val="32"/>
          <w:u w:color="auto"/>
        </w:rPr>
        <w:t>28.62</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环江毛南族自治县大才乡中心小学2022 年度一般公共预算财政拨款支出年初预算为</w:t>
      </w:r>
      <w:r>
        <w:rPr>
          <w:rFonts w:ascii="仿宋" w:hAnsi="仿宋" w:eastAsia="仿宋" w:cs="仿宋"/>
          <w:sz w:val="32"/>
          <w:u w:color="auto"/>
        </w:rPr>
        <w:t>777.10</w:t>
      </w:r>
      <w:r>
        <w:rPr>
          <w:rFonts w:hint="eastAsia" w:ascii="仿宋" w:hAnsi="仿宋" w:eastAsia="仿宋" w:cs="仿宋"/>
          <w:sz w:val="32"/>
          <w:szCs w:val="32"/>
          <w:highlight w:val="none"/>
        </w:rPr>
        <w:t>万元，支出决算为</w:t>
      </w:r>
      <w:r>
        <w:rPr>
          <w:rFonts w:ascii="仿宋" w:hAnsi="仿宋" w:eastAsia="仿宋" w:cs="仿宋"/>
          <w:sz w:val="32"/>
          <w:u w:color="auto"/>
        </w:rPr>
        <w:t>1028.40</w:t>
      </w:r>
      <w:r>
        <w:rPr>
          <w:rFonts w:hint="eastAsia" w:ascii="仿宋" w:hAnsi="仿宋" w:eastAsia="仿宋" w:cs="仿宋"/>
          <w:sz w:val="32"/>
          <w:szCs w:val="32"/>
          <w:highlight w:val="none"/>
        </w:rPr>
        <w:t>万元，完成年初预算的</w:t>
      </w:r>
      <w:r>
        <w:rPr>
          <w:rFonts w:ascii="仿宋" w:hAnsi="仿宋" w:eastAsia="仿宋" w:cs="仿宋"/>
          <w:sz w:val="32"/>
          <w:u w:color="auto"/>
        </w:rPr>
        <w:t>132.34%</w:t>
      </w:r>
      <w:r>
        <w:rPr>
          <w:rFonts w:hint="eastAsia" w:ascii="仿宋" w:hAnsi="仿宋" w:eastAsia="仿宋" w:cs="仿宋"/>
          <w:sz w:val="32"/>
          <w:szCs w:val="32"/>
          <w:highlight w:val="none"/>
        </w:rPr>
        <w:t>。</w:t>
      </w:r>
    </w:p>
    <w:p>
      <w:pPr>
        <w:jc w:val="left"/>
        <w:rPr>
          <w:rFonts w:hint="eastAsia" w:eastAsia="仿宋"/>
          <w:color w:val="FF0000"/>
          <w:highlight w:val="none"/>
          <w:lang w:val="en-US" w:eastAsia="zh-CN"/>
        </w:rPr>
      </w:pPr>
      <w:bookmarkStart w:id="4" w:name="OLE_LINK2"/>
      <w:bookmarkEnd w:id="4"/>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11.35</w:t>
      </w:r>
      <w:r>
        <w:rPr>
          <w:rFonts w:hint="eastAsia" w:ascii="仿宋" w:hAnsi="仿宋" w:eastAsia="仿宋"/>
          <w:sz w:val="32"/>
          <w:szCs w:val="32"/>
          <w:highlight w:val="none"/>
        </w:rPr>
        <w:t>万元，支出决算为</w:t>
      </w:r>
      <w:r>
        <w:rPr>
          <w:rFonts w:ascii="仿宋" w:hAnsi="仿宋" w:eastAsia="仿宋"/>
          <w:sz w:val="32"/>
          <w:szCs w:val="32"/>
          <w:highlight w:val="none"/>
        </w:rPr>
        <w:t>11.35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没有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33"/>
        <w:gridCol w:w="837"/>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2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2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8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主要用于工会组织活动开支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严格按照资金管理办法，专款专用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2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3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主要用于工会组织活动开支。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严格按照资金管理办法，专款专用。</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63800"/>
            <wp:effectExtent l="4445" t="4445" r="16510" b="825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606.83</w:t>
      </w:r>
      <w:r>
        <w:rPr>
          <w:rFonts w:hint="eastAsia" w:ascii="仿宋" w:hAnsi="仿宋" w:eastAsia="仿宋"/>
          <w:sz w:val="32"/>
          <w:szCs w:val="32"/>
          <w:highlight w:val="none"/>
        </w:rPr>
        <w:t>万元，支出决算为</w:t>
      </w:r>
      <w:r>
        <w:rPr>
          <w:rFonts w:ascii="仿宋" w:hAnsi="仿宋" w:eastAsia="仿宋"/>
          <w:sz w:val="32"/>
          <w:szCs w:val="32"/>
          <w:highlight w:val="none"/>
        </w:rPr>
        <w:t>751.23</w:t>
      </w:r>
      <w:r>
        <w:rPr>
          <w:rFonts w:hint="eastAsia" w:ascii="仿宋" w:hAnsi="仿宋" w:eastAsia="仿宋"/>
          <w:sz w:val="32"/>
          <w:szCs w:val="32"/>
          <w:highlight w:val="none"/>
        </w:rPr>
        <w:t>万元，完成年初预算的</w:t>
      </w:r>
      <w:r>
        <w:rPr>
          <w:rFonts w:ascii="仿宋" w:hAnsi="仿宋" w:eastAsia="仿宋"/>
          <w:sz w:val="32"/>
          <w:szCs w:val="32"/>
          <w:highlight w:val="none"/>
        </w:rPr>
        <w:t>123.80%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教师待遇提高，工资有所提高。支出相对增加。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796"/>
        <w:gridCol w:w="1004"/>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7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7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606.83</w:t>
            </w:r>
          </w:p>
        </w:tc>
        <w:tc>
          <w:tcPr>
            <w:tcW w:w="10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731.61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120.56%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21"/>
                <w:szCs w:val="21"/>
              </w:rPr>
              <w:t>人员工资及为开展教育教学活动的支出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年初没预计教师工资提高及各种支出增多。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7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0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18.54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21"/>
                <w:szCs w:val="21"/>
              </w:rPr>
              <w:t>要用于人员工资及为开展教育教学活动的支出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各种支出增多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7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0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21"/>
                <w:szCs w:val="21"/>
              </w:rPr>
              <w:t>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各种支出增多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7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606.83</w:t>
            </w:r>
          </w:p>
        </w:tc>
        <w:tc>
          <w:tcPr>
            <w:tcW w:w="10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751.23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21"/>
                <w:szCs w:val="21"/>
              </w:rPr>
              <w:t>主要用于人员工资及为开展教育教学活动的支出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年初没预计教师工资提高及各种支出增多。</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90.81</w:t>
      </w:r>
      <w:r>
        <w:rPr>
          <w:rFonts w:hint="eastAsia" w:ascii="仿宋" w:hAnsi="仿宋" w:eastAsia="仿宋"/>
          <w:sz w:val="32"/>
          <w:szCs w:val="32"/>
          <w:highlight w:val="none"/>
        </w:rPr>
        <w:t>万元，支出决算为</w:t>
      </w:r>
      <w:r>
        <w:rPr>
          <w:rFonts w:ascii="仿宋" w:hAnsi="仿宋" w:eastAsia="仿宋"/>
          <w:sz w:val="32"/>
          <w:szCs w:val="32"/>
          <w:highlight w:val="none"/>
        </w:rPr>
        <w:t>82.44</w:t>
      </w:r>
      <w:r>
        <w:rPr>
          <w:rFonts w:hint="eastAsia" w:ascii="仿宋" w:hAnsi="仿宋" w:eastAsia="仿宋"/>
          <w:sz w:val="32"/>
          <w:szCs w:val="32"/>
          <w:highlight w:val="none"/>
        </w:rPr>
        <w:t>万元，完成年初预算的</w:t>
      </w:r>
      <w:r>
        <w:rPr>
          <w:rFonts w:ascii="仿宋" w:hAnsi="仿宋" w:eastAsia="仿宋"/>
          <w:sz w:val="32"/>
          <w:szCs w:val="32"/>
          <w:highlight w:val="none"/>
        </w:rPr>
        <w:t>90.78%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原因是：人为增加工资基数，年初预算数据偏大。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用于教师</w:t>
            </w:r>
            <w:r>
              <w:rPr>
                <w:rFonts w:hint="eastAsia" w:ascii="宋体" w:hAnsi="宋体" w:eastAsia="宋体" w:cs="宋体"/>
                <w:i w:val="0"/>
                <w:iCs w:val="0"/>
                <w:color w:val="auto"/>
                <w:sz w:val="20"/>
                <w:szCs w:val="20"/>
                <w:highlight w:val="none"/>
                <w:u w:val="none"/>
                <w:lang w:val="en-US" w:eastAsia="zh-CN"/>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人为增加工资基数，年初预算数据偏大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用于教师</w:t>
            </w:r>
            <w:r>
              <w:rPr>
                <w:rFonts w:hint="eastAsia" w:ascii="宋体" w:hAnsi="宋体" w:eastAsia="宋体" w:cs="宋体"/>
                <w:i w:val="0"/>
                <w:iCs w:val="0"/>
                <w:color w:val="auto"/>
                <w:sz w:val="20"/>
                <w:szCs w:val="20"/>
                <w:highlight w:val="none"/>
                <w:u w:val="none"/>
                <w:lang w:val="en-US" w:eastAsia="zh-CN"/>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人为增加工资基数，年初预算数据偏大</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68.11</w:t>
      </w:r>
      <w:r>
        <w:rPr>
          <w:rFonts w:hint="eastAsia" w:ascii="仿宋" w:hAnsi="仿宋" w:eastAsia="仿宋"/>
          <w:sz w:val="32"/>
          <w:szCs w:val="32"/>
          <w:highlight w:val="none"/>
        </w:rPr>
        <w:t>万元，支出决算为</w:t>
      </w:r>
      <w:r>
        <w:rPr>
          <w:rFonts w:ascii="仿宋" w:hAnsi="仿宋" w:eastAsia="仿宋"/>
          <w:sz w:val="32"/>
          <w:szCs w:val="32"/>
          <w:highlight w:val="none"/>
        </w:rPr>
        <w:t>62.76</w:t>
      </w:r>
      <w:r>
        <w:rPr>
          <w:rFonts w:hint="eastAsia" w:ascii="仿宋" w:hAnsi="仿宋" w:eastAsia="仿宋"/>
          <w:sz w:val="32"/>
          <w:szCs w:val="32"/>
          <w:highlight w:val="none"/>
        </w:rPr>
        <w:t>万元，完成年初预算的</w:t>
      </w:r>
      <w:r>
        <w:rPr>
          <w:rFonts w:ascii="仿宋" w:hAnsi="仿宋" w:eastAsia="仿宋"/>
          <w:sz w:val="32"/>
          <w:szCs w:val="32"/>
          <w:highlight w:val="none"/>
        </w:rPr>
        <w:t>92.15%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原因是：人为增加工资基数，年初预算数据偏大。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92.15%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用于缴纳教师住房公积金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人为增加工资基数，年初预算数据偏大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用于缴纳教师住房公积金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人为增加工资基数，年初预算数据偏大</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120.61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原因是：政府加大投资力度，学校严格按照资金管理办法使用。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年初预留</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用于学校活动正常运转</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切实按照资金管理办法执行。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用于学校活动正常运转</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切实按照资金管理办法执行。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120.61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用于学校活动正常运转</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切实按照资金管理办法执行。</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环江毛南族自治县大才乡中心小学2022年度一般公共预算财政拨款基本支出</w:t>
      </w:r>
      <w:r>
        <w:rPr>
          <w:rFonts w:ascii="仿宋" w:hAnsi="仿宋" w:eastAsia="仿宋" w:cs="仿宋"/>
          <w:sz w:val="32"/>
          <w:u w:color="auto"/>
        </w:rPr>
        <w:t>999.78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955.77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44.01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781.04万元，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107.03%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主要原因是：教师工资提高及奖励性绩效工资的发放。</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318.34万元，30102津贴补贴42.21万元，30103奖金94.45万元，30107绩效工资130.46万元，30108机关事业单位基本养老保险缴费82.44万元，30110职工基本医疗保险缴费37.25万元，30112其他社会保障缴费4.64万元，30113住房公积金62.76万元，30199其他工资福利支出8.49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244725"/>
            <wp:effectExtent l="4445" t="4445" r="16510" b="1778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44.01万元，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387.75%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主要原因是：政府加大投资力度，学校费用开支大。</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30201办公费7.62万元，30205水费1.45万元，30206电费2.45万元，30207邮电费3.37万元，30211差旅费0.23万元，30213维修（护）费14.48万元，30218专用材料费0.05万元，30226劳务费3.01万元，30228工会经费11.35万元。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196465"/>
            <wp:effectExtent l="4445" t="4445" r="16510" b="889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174.73万元，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509.12%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主要原因是：年初预算经费时无法预测部分经费，抚恤金没有预算。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30304抚恤金8.38万元，30305生活补助77.51万元，30308助学金66.48万元，30399其他对个人和家庭的补助22.37万元。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0129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主要原因是：本单位无债务。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425065"/>
            <wp:effectExtent l="4445" t="4445" r="1651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7335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环江毛南族自治县大才乡中心小学2022年度政府性基金支出</w:t>
      </w:r>
      <w:r>
        <w:rPr>
          <w:rFonts w:ascii="仿宋" w:hAnsi="仿宋" w:eastAsia="仿宋" w:cs="仿宋"/>
          <w:sz w:val="32"/>
          <w:szCs w:val="32"/>
          <w:highlight w:val="none"/>
        </w:rPr>
        <w:t>6.75</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减少8.25</w:t>
      </w:r>
      <w:r>
        <w:rPr>
          <w:rFonts w:hint="eastAsia" w:ascii="仿宋" w:hAnsi="仿宋" w:eastAsia="仿宋" w:cs="仿宋"/>
          <w:sz w:val="32"/>
          <w:szCs w:val="32"/>
          <w:highlight w:val="none"/>
        </w:rPr>
        <w:t>万元，</w:t>
      </w:r>
      <w:r>
        <w:rPr>
          <w:rFonts w:ascii="仿宋" w:hAnsi="仿宋" w:eastAsia="仿宋" w:cs="仿宋"/>
          <w:sz w:val="32"/>
          <w:szCs w:val="32"/>
          <w:highlight w:val="none"/>
        </w:rPr>
        <w:t>下降55.00%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6.75</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6.75</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ind w:firstLine="640" w:firstLineChars="200"/>
        <w:jc w:val="left"/>
        <w:rPr>
          <w:rFonts w:hint="default" w:ascii="仿宋" w:hAnsi="仿宋" w:eastAsia="仿宋" w:cs="仿宋"/>
          <w:sz w:val="32"/>
          <w:szCs w:val="32"/>
          <w:highlight w:val="none"/>
          <w:lang w:val="en-US"/>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用于教育事业的彩票公益金支出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229604</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ascii="仿宋" w:hAnsi="仿宋" w:eastAsia="仿宋" w:cs="仿宋"/>
          <w:color w:val="000000"/>
          <w:sz w:val="32"/>
          <w:u w:color="auto"/>
        </w:rPr>
        <w:t>6.75</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原因是：学生数减少，获得拨款减少。</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5" w:name="PO_part3A5B1C1DiffReason1"/>
      <w:r>
        <w:rPr>
          <w:rFonts w:hint="eastAsia" w:ascii="仿宋_GB2312" w:hAnsi="Times New Roman" w:eastAsia="仿宋_GB2312" w:cs="Times New Roman"/>
          <w:color w:val="auto"/>
          <w:sz w:val="32"/>
          <w:szCs w:val="32"/>
          <w:lang w:val="en-US" w:eastAsia="zh-CN"/>
        </w:rPr>
        <w:t>主要原因：</w:t>
      </w:r>
      <w:r>
        <w:rPr>
          <w:rFonts w:hint="eastAsia" w:ascii="仿宋_GB2312" w:hAnsi="Times New Roman" w:eastAsia="仿宋_GB2312" w:cs="Times New Roman"/>
          <w:color w:val="auto"/>
          <w:sz w:val="32"/>
          <w:szCs w:val="32"/>
        </w:rPr>
        <w:t>环江毛南族自治县大才乡中心小学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r>
        <w:rPr>
          <w:rFonts w:hint="eastAsia" w:ascii="仿宋_GB2312" w:hAnsi="Times New Roman" w:eastAsia="仿宋_GB2312" w:cs="Times New Roman"/>
          <w:color w:val="auto"/>
          <w:sz w:val="32"/>
          <w:szCs w:val="32"/>
          <w:lang w:eastAsia="zh-CN"/>
        </w:rPr>
        <w:t>。</w:t>
      </w:r>
      <w:bookmarkEnd w:id="5"/>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本单位没有三公经费收入和支出。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本单位没有三公经费收入和支出。</w:t>
      </w:r>
    </w:p>
    <w:p>
      <w:pPr>
        <w:numPr>
          <w:ilvl w:val="0"/>
          <w:numId w:val="3"/>
        </w:numPr>
        <w:ind w:left="0" w:leftChars="0"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w:t>
      </w:r>
      <w:bookmarkStart w:id="6" w:name="PO_part3A6B2IncReason1"/>
      <w:r>
        <w:rPr>
          <w:rFonts w:hint="eastAsia" w:ascii="仿宋" w:hAnsi="仿宋" w:eastAsia="仿宋" w:cs="仿宋"/>
          <w:color w:val="auto"/>
          <w:sz w:val="32"/>
          <w:szCs w:val="32"/>
        </w:rPr>
        <w:t>本部门无公务用车购置</w:t>
      </w:r>
      <w:bookmarkEnd w:id="6"/>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本部门</w:t>
      </w:r>
      <w:r>
        <w:rPr>
          <w:rFonts w:hint="eastAsia" w:ascii="仿宋" w:hAnsi="仿宋" w:eastAsia="仿宋" w:cs="仿宋"/>
          <w:color w:val="auto"/>
          <w:sz w:val="32"/>
          <w:szCs w:val="32"/>
          <w:highlight w:val="none"/>
        </w:rPr>
        <w:t>所</w:t>
      </w:r>
      <w:r>
        <w:rPr>
          <w:rFonts w:hint="eastAsia" w:ascii="仿宋" w:hAnsi="仿宋" w:eastAsia="仿宋" w:cs="仿宋"/>
          <w:sz w:val="32"/>
          <w:szCs w:val="32"/>
          <w:highlight w:val="none"/>
        </w:rPr>
        <w:t>属单位开支财政拨款的公务用车保有量为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主要原因是：本单位没有公务接待。</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减少11.35</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原因是：办公设施设备购置经费</w:t>
      </w:r>
      <w:r>
        <w:rPr>
          <w:rFonts w:hint="eastAsia" w:ascii="仿宋" w:hAnsi="仿宋" w:eastAsia="仿宋" w:cs="仿宋"/>
          <w:color w:val="auto"/>
          <w:sz w:val="32"/>
          <w:szCs w:val="32"/>
          <w:highlight w:val="none"/>
          <w:lang w:val="en-US" w:eastAsia="zh-CN"/>
        </w:rPr>
        <w:t>增加，</w:t>
      </w:r>
      <w:r>
        <w:rPr>
          <w:rFonts w:hint="eastAsia" w:ascii="仿宋" w:hAnsi="仿宋" w:eastAsia="仿宋" w:cs="仿宋"/>
          <w:color w:val="auto"/>
          <w:sz w:val="32"/>
          <w:szCs w:val="32"/>
          <w:highlight w:val="none"/>
        </w:rPr>
        <w:t>人员编制数量减少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落实过紧日子要求压减支出</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四等奖</w:t>
      </w:r>
      <w:r>
        <w:rPr>
          <w:rFonts w:hint="eastAsia" w:ascii="仿宋" w:hAnsi="仿宋" w:eastAsia="仿宋" w:cs="仿宋"/>
          <w:color w:val="000000" w:themeColor="text1"/>
          <w:sz w:val="32"/>
          <w:szCs w:val="32"/>
          <w:lang w:val="en-US" w:eastAsia="zh-CN"/>
          <w14:textFill>
            <w14:solidFill>
              <w14:schemeClr w14:val="tx1"/>
            </w14:solidFill>
          </w14:textFill>
        </w:rPr>
        <w:t>1个，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229.33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68.34</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中央专项彩票公益金支持乡村学校少年宫经费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4.13</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组织对“一次性抚恤金”等</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229.33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4.13</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sz w:val="32"/>
          <w:szCs w:val="32"/>
        </w:rPr>
        <w:t>本部门推进预算支出绩效评价管理,提高资金使用效率。按时完成各个项目年度绩效目标，提高服务对象的满意度。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从评价情况来看，我单位绩效管理情况较为理想，达到了年初设定的各项绩效目标。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组织对本单位开展整体支出绩效评价试点，涉及一般公共预算支出</w:t>
      </w:r>
      <w:r>
        <w:rPr>
          <w:rFonts w:hint="eastAsia" w:ascii="仿宋" w:hAnsi="仿宋" w:eastAsia="仿宋" w:cs="仿宋"/>
          <w:sz w:val="32"/>
          <w:szCs w:val="32"/>
          <w:lang w:val="en-US" w:eastAsia="zh-CN"/>
        </w:rPr>
        <w:t>229.33</w:t>
      </w:r>
      <w:r>
        <w:rPr>
          <w:rFonts w:hint="eastAsia" w:ascii="仿宋" w:hAnsi="仿宋" w:eastAsia="仿宋" w:cs="仿宋"/>
          <w:sz w:val="32"/>
          <w:szCs w:val="32"/>
        </w:rPr>
        <w:t>万元，政府性基金预算支出</w:t>
      </w:r>
      <w:r>
        <w:rPr>
          <w:rFonts w:hint="eastAsia" w:ascii="仿宋" w:hAnsi="仿宋" w:eastAsia="仿宋" w:cs="仿宋"/>
          <w:sz w:val="32"/>
          <w:szCs w:val="32"/>
          <w:lang w:val="en-US" w:eastAsia="zh-CN"/>
        </w:rPr>
        <w:t>4.13</w:t>
      </w:r>
      <w:r>
        <w:rPr>
          <w:rFonts w:hint="eastAsia" w:ascii="仿宋" w:hAnsi="仿宋" w:eastAsia="仿宋" w:cs="仿宋"/>
          <w:sz w:val="32"/>
          <w:szCs w:val="32"/>
        </w:rPr>
        <w:t>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default" w:ascii="仿宋" w:hAnsi="仿宋" w:eastAsia="仿宋" w:cs="仿宋"/>
          <w:color w:val="000000" w:themeColor="text1"/>
          <w:sz w:val="32"/>
          <w:szCs w:val="32"/>
          <w:lang w:val="en-US" w:eastAsia="zh-CN"/>
          <w14:textFill>
            <w14:solidFill>
              <w14:schemeClr w14:val="tx1"/>
            </w14:solidFill>
          </w14:textFill>
        </w:rPr>
        <w:t>“一次性抚恤金</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特岗教师工资</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食堂钟点工补贴资金</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奖励性补贴</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伙食补助</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全县校长绩效工资</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教师节经费</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大才乡中心小学2023年初预算经费”</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自治区公用经费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项目自评得分为80分，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sz w:val="32"/>
          <w:szCs w:val="32"/>
        </w:rPr>
        <w:t>部分报账材料未能及时整理。下一步改进措施：及时整理报账材料，完成年度资金进度安排</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lang w:eastAsia="zh-CN"/>
        </w:rPr>
        <w:t>营养改善计划膳食补助资金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项目自评得分为</w:t>
      </w:r>
      <w:r>
        <w:rPr>
          <w:rFonts w:hint="eastAsia" w:ascii="仿宋" w:hAnsi="仿宋" w:eastAsia="仿宋" w:cs="仿宋"/>
          <w:color w:val="000000" w:themeColor="text1"/>
          <w:sz w:val="32"/>
          <w:szCs w:val="32"/>
          <w14:textFill>
            <w14:solidFill>
              <w14:schemeClr w14:val="tx1"/>
            </w14:solidFill>
          </w14:textFill>
        </w:rPr>
        <w:t>95.66</w:t>
      </w:r>
      <w:r>
        <w:rPr>
          <w:rFonts w:hint="eastAsia" w:ascii="仿宋" w:hAnsi="仿宋" w:eastAsia="仿宋" w:cs="仿宋"/>
          <w:color w:val="000000" w:themeColor="text1"/>
          <w:sz w:val="32"/>
          <w:szCs w:val="32"/>
          <w:lang w:val="en-US" w:eastAsia="zh-CN"/>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营养改善计划报账人员换人频繁及新人业务不熟，报账不及时。</w:t>
      </w:r>
      <w:r>
        <w:rPr>
          <w:rFonts w:hint="eastAsia" w:ascii="仿宋" w:hAnsi="仿宋" w:eastAsia="仿宋" w:cs="仿宋"/>
          <w:sz w:val="32"/>
          <w:szCs w:val="32"/>
        </w:rPr>
        <w:t>下一步改进措施：</w:t>
      </w:r>
      <w:r>
        <w:rPr>
          <w:rFonts w:hint="eastAsia" w:ascii="仿宋" w:hAnsi="仿宋" w:eastAsia="仿宋" w:cs="仿宋"/>
          <w:sz w:val="32"/>
          <w:szCs w:val="32"/>
          <w:lang w:val="en-US" w:eastAsia="zh-CN"/>
        </w:rPr>
        <w:t>加强相关人员业务培训，</w:t>
      </w:r>
      <w:r>
        <w:rPr>
          <w:rFonts w:hint="eastAsia" w:ascii="仿宋" w:hAnsi="仿宋" w:eastAsia="仿宋" w:cs="仿宋"/>
          <w:sz w:val="32"/>
          <w:szCs w:val="32"/>
        </w:rPr>
        <w:t>及时整理报账材料，完成年度资金进度安排</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“全县校园安全保卫经费”</w:t>
      </w:r>
      <w:r>
        <w:rPr>
          <w:rFonts w:hint="eastAsia" w:ascii="仿宋" w:hAnsi="仿宋" w:eastAsia="仿宋" w:cs="仿宋"/>
          <w:color w:val="000000" w:themeColor="text1"/>
          <w:sz w:val="32"/>
          <w:szCs w:val="32"/>
          <w:lang w:val="en-US" w:eastAsia="zh-CN"/>
          <w14:textFill>
            <w14:solidFill>
              <w14:schemeClr w14:val="tx1"/>
            </w14:solidFill>
          </w14:textFill>
        </w:rPr>
        <w:t>项目自评得分为</w:t>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23分，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报账材料报送没及时。</w:t>
      </w:r>
      <w:r>
        <w:rPr>
          <w:rFonts w:hint="eastAsia" w:ascii="仿宋" w:hAnsi="仿宋" w:eastAsia="仿宋" w:cs="仿宋"/>
          <w:sz w:val="32"/>
          <w:szCs w:val="32"/>
        </w:rPr>
        <w:t>下一步改进措施：</w:t>
      </w:r>
      <w:r>
        <w:rPr>
          <w:rFonts w:hint="eastAsia" w:ascii="仿宋" w:hAnsi="仿宋" w:eastAsia="仿宋" w:cs="仿宋"/>
          <w:sz w:val="32"/>
          <w:szCs w:val="32"/>
          <w:lang w:val="en-US" w:eastAsia="zh-CN"/>
        </w:rPr>
        <w:t>及时整理材料并报送；</w:t>
      </w:r>
      <w:r>
        <w:rPr>
          <w:rFonts w:hint="eastAsia" w:ascii="仿宋" w:hAnsi="仿宋" w:eastAsia="仿宋" w:cs="仿宋"/>
          <w:color w:val="000000" w:themeColor="text1"/>
          <w:sz w:val="32"/>
          <w:szCs w:val="32"/>
          <w:lang w:eastAsia="zh-CN"/>
          <w14:textFill>
            <w14:solidFill>
              <w14:schemeClr w14:val="tx1"/>
            </w14:solidFill>
          </w14:textFill>
        </w:rPr>
        <w:t>“城乡义务教育公用经费县级配套资金”</w:t>
      </w:r>
      <w:r>
        <w:rPr>
          <w:rFonts w:hint="eastAsia" w:ascii="仿宋" w:hAnsi="仿宋" w:eastAsia="仿宋" w:cs="仿宋"/>
          <w:color w:val="000000" w:themeColor="text1"/>
          <w:sz w:val="32"/>
          <w:szCs w:val="32"/>
          <w:lang w:val="en-US" w:eastAsia="zh-CN"/>
          <w14:textFill>
            <w14:solidFill>
              <w14:schemeClr w14:val="tx1"/>
            </w14:solidFill>
          </w14:textFill>
        </w:rPr>
        <w:t>项目自评得分为</w:t>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96分，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没及时整理报账材料。</w:t>
      </w:r>
      <w:r>
        <w:rPr>
          <w:rFonts w:hint="eastAsia" w:ascii="仿宋" w:hAnsi="仿宋" w:eastAsia="仿宋" w:cs="仿宋"/>
          <w:sz w:val="32"/>
          <w:szCs w:val="32"/>
        </w:rPr>
        <w:t>下一步改进措施：</w:t>
      </w:r>
      <w:r>
        <w:rPr>
          <w:rFonts w:hint="eastAsia" w:ascii="仿宋" w:hAnsi="仿宋" w:eastAsia="仿宋" w:cs="仿宋"/>
          <w:sz w:val="32"/>
          <w:szCs w:val="32"/>
          <w:lang w:val="en-US" w:eastAsia="zh-CN"/>
        </w:rPr>
        <w:t>限时整理材料并报送；</w:t>
      </w:r>
      <w:r>
        <w:rPr>
          <w:rFonts w:hint="eastAsia" w:ascii="仿宋" w:hAnsi="仿宋" w:eastAsia="仿宋" w:cs="仿宋"/>
          <w:color w:val="000000" w:themeColor="text1"/>
          <w:sz w:val="32"/>
          <w:szCs w:val="32"/>
          <w:lang w:eastAsia="zh-CN"/>
          <w14:textFill>
            <w14:solidFill>
              <w14:schemeClr w14:val="tx1"/>
            </w14:solidFill>
          </w14:textFill>
        </w:rPr>
        <w:t>“义务教育中央级公用经费”</w:t>
      </w:r>
      <w:r>
        <w:rPr>
          <w:rFonts w:hint="eastAsia" w:ascii="仿宋" w:hAnsi="仿宋" w:eastAsia="仿宋" w:cs="仿宋"/>
          <w:color w:val="000000" w:themeColor="text1"/>
          <w:sz w:val="32"/>
          <w:szCs w:val="32"/>
          <w:lang w:val="en-US" w:eastAsia="zh-CN"/>
          <w14:textFill>
            <w14:solidFill>
              <w14:schemeClr w14:val="tx1"/>
            </w14:solidFill>
          </w14:textFill>
        </w:rPr>
        <w:t>项目自评得分为</w:t>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学校材料人员未能及时整理报账材料。</w:t>
      </w:r>
      <w:r>
        <w:rPr>
          <w:rFonts w:hint="eastAsia" w:ascii="仿宋" w:hAnsi="仿宋" w:eastAsia="仿宋" w:cs="仿宋"/>
          <w:sz w:val="32"/>
          <w:szCs w:val="32"/>
        </w:rPr>
        <w:t>下一步改进措施：</w:t>
      </w:r>
      <w:r>
        <w:rPr>
          <w:rFonts w:hint="eastAsia" w:ascii="仿宋" w:hAnsi="仿宋" w:eastAsia="仿宋" w:cs="仿宋"/>
          <w:sz w:val="32"/>
          <w:szCs w:val="32"/>
          <w:lang w:val="en-US" w:eastAsia="zh-CN"/>
        </w:rPr>
        <w:t>督促及时整理材料并报送；</w:t>
      </w:r>
      <w:r>
        <w:rPr>
          <w:rFonts w:hint="eastAsia" w:ascii="仿宋" w:hAnsi="仿宋" w:eastAsia="仿宋" w:cs="仿宋"/>
          <w:color w:val="000000" w:themeColor="text1"/>
          <w:sz w:val="32"/>
          <w:szCs w:val="32"/>
          <w:lang w:eastAsia="zh-CN"/>
          <w14:textFill>
            <w14:solidFill>
              <w14:schemeClr w14:val="tx1"/>
            </w14:solidFill>
          </w14:textFill>
        </w:rPr>
        <w:t>“义务教育阶段家庭经济困难学生生活中央补助资金”</w:t>
      </w:r>
      <w:r>
        <w:rPr>
          <w:rFonts w:hint="eastAsia" w:ascii="仿宋" w:hAnsi="仿宋" w:eastAsia="仿宋" w:cs="仿宋"/>
          <w:color w:val="000000" w:themeColor="text1"/>
          <w:sz w:val="32"/>
          <w:szCs w:val="32"/>
          <w:lang w:val="en-US" w:eastAsia="zh-CN"/>
          <w14:textFill>
            <w14:solidFill>
              <w14:schemeClr w14:val="tx1"/>
            </w14:solidFill>
          </w14:textFill>
        </w:rPr>
        <w:t>项目自评得分为</w:t>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85分，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班主任没及时发现学生卡号错误，与部分家长无法在规定时间内联系取得正确卡号，导致没能及时全部发放。</w:t>
      </w:r>
      <w:r>
        <w:rPr>
          <w:rFonts w:hint="eastAsia" w:ascii="仿宋" w:hAnsi="仿宋" w:eastAsia="仿宋" w:cs="仿宋"/>
          <w:sz w:val="32"/>
          <w:szCs w:val="32"/>
        </w:rPr>
        <w:t>下一步改进措施：</w:t>
      </w:r>
      <w:r>
        <w:rPr>
          <w:rFonts w:hint="eastAsia" w:ascii="仿宋" w:hAnsi="仿宋" w:eastAsia="仿宋" w:cs="仿宋"/>
          <w:sz w:val="32"/>
          <w:szCs w:val="32"/>
          <w:lang w:val="en-US" w:eastAsia="zh-CN"/>
        </w:rPr>
        <w:t>相关人员提前做好寄宿生生活补助材料的准备工作，确保每位应该享受学生及时得到享受；</w:t>
      </w:r>
      <w:r>
        <w:rPr>
          <w:rFonts w:hint="eastAsia" w:ascii="仿宋" w:hAnsi="仿宋" w:eastAsia="仿宋" w:cs="仿宋"/>
          <w:color w:val="000000" w:themeColor="text1"/>
          <w:sz w:val="32"/>
          <w:szCs w:val="32"/>
          <w:lang w:eastAsia="zh-CN"/>
          <w14:textFill>
            <w14:solidFill>
              <w14:schemeClr w14:val="tx1"/>
            </w14:solidFill>
          </w14:textFill>
        </w:rPr>
        <w:t>“自治区级乡村教师生活补助”</w:t>
      </w:r>
      <w:r>
        <w:rPr>
          <w:rFonts w:hint="eastAsia" w:ascii="仿宋" w:hAnsi="仿宋" w:eastAsia="仿宋" w:cs="仿宋"/>
          <w:color w:val="000000" w:themeColor="text1"/>
          <w:sz w:val="32"/>
          <w:szCs w:val="32"/>
          <w:lang w:val="en-US" w:eastAsia="zh-CN"/>
          <w14:textFill>
            <w14:solidFill>
              <w14:schemeClr w14:val="tx1"/>
            </w14:solidFill>
          </w14:textFill>
        </w:rPr>
        <w:t>项目自评得分为97.66分，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教师人员变动大，没能及时收集教师信息，材料整理不及时。</w:t>
      </w:r>
      <w:r>
        <w:rPr>
          <w:rFonts w:hint="eastAsia" w:ascii="仿宋" w:hAnsi="仿宋" w:eastAsia="仿宋" w:cs="仿宋"/>
          <w:sz w:val="32"/>
          <w:szCs w:val="32"/>
        </w:rPr>
        <w:t>下一步改进措施</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更新观念，加强相关业务人员办事效率，确保完成目标任务</w:t>
      </w:r>
      <w:r>
        <w:rPr>
          <w:rFonts w:hint="eastAsia" w:ascii="仿宋" w:hAnsi="仿宋" w:eastAsia="仿宋" w:cs="仿宋"/>
          <w:sz w:val="32"/>
          <w:szCs w:val="32"/>
          <w:lang w:val="en-US" w:eastAsia="zh-CN"/>
        </w:rPr>
        <w:t>；</w:t>
      </w:r>
      <w:r>
        <w:rPr>
          <w:rFonts w:hint="eastAsia" w:ascii="仿宋" w:hAnsi="仿宋" w:eastAsia="仿宋" w:cs="仿宋"/>
          <w:color w:val="000000" w:themeColor="text1"/>
          <w:sz w:val="32"/>
          <w:szCs w:val="32"/>
          <w:lang w:eastAsia="zh-CN"/>
          <w14:textFill>
            <w14:solidFill>
              <w14:schemeClr w14:val="tx1"/>
            </w14:solidFill>
          </w14:textFill>
        </w:rPr>
        <w:t>“班主任津贴”</w:t>
      </w:r>
      <w:r>
        <w:rPr>
          <w:rFonts w:hint="eastAsia" w:ascii="仿宋" w:hAnsi="仿宋" w:eastAsia="仿宋" w:cs="仿宋"/>
          <w:color w:val="000000" w:themeColor="text1"/>
          <w:sz w:val="32"/>
          <w:szCs w:val="32"/>
          <w:lang w:val="en-US" w:eastAsia="zh-CN"/>
          <w14:textFill>
            <w14:solidFill>
              <w14:schemeClr w14:val="tx1"/>
            </w14:solidFill>
          </w14:textFill>
        </w:rPr>
        <w:t>项目自评得分为86.15分，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sz w:val="32"/>
          <w:szCs w:val="32"/>
        </w:rPr>
        <w:t>下半年的班主任津贴未能及时支付。下一步改进措施：及时整理材料，按时完成全年进度。</w:t>
      </w:r>
      <w:r>
        <w:rPr>
          <w:rFonts w:hint="eastAsia" w:ascii="仿宋" w:hAnsi="仿宋" w:eastAsia="仿宋" w:cs="仿宋"/>
          <w:color w:val="000000" w:themeColor="text1"/>
          <w:sz w:val="32"/>
          <w:szCs w:val="32"/>
          <w:lang w:eastAsia="zh-CN"/>
          <w14:textFill>
            <w14:solidFill>
              <w14:schemeClr w14:val="tx1"/>
            </w14:solidFill>
          </w14:textFill>
        </w:rPr>
        <w:t>“中央专项彩票公益金支持乡村学校少年宫经费”</w:t>
      </w:r>
      <w:r>
        <w:rPr>
          <w:rFonts w:hint="eastAsia" w:ascii="仿宋" w:hAnsi="仿宋" w:eastAsia="仿宋" w:cs="仿宋"/>
          <w:color w:val="000000" w:themeColor="text1"/>
          <w:sz w:val="32"/>
          <w:szCs w:val="32"/>
          <w:lang w:val="en-US" w:eastAsia="zh-CN"/>
          <w14:textFill>
            <w14:solidFill>
              <w14:schemeClr w14:val="tx1"/>
            </w14:solidFill>
          </w14:textFill>
        </w:rPr>
        <w:t>项目自评得分为0分，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相关人员没有及时整理并送材料到中心小学报账员处，导致没能及时上送报账材料到代管中心审核并支付</w:t>
      </w:r>
      <w:r>
        <w:rPr>
          <w:rFonts w:hint="eastAsia" w:ascii="仿宋" w:hAnsi="仿宋" w:eastAsia="仿宋" w:cs="仿宋"/>
          <w:sz w:val="32"/>
          <w:szCs w:val="32"/>
        </w:rPr>
        <w:t>。下一步改进措施：</w:t>
      </w:r>
      <w:r>
        <w:rPr>
          <w:rFonts w:hint="eastAsia" w:ascii="仿宋" w:hAnsi="仿宋" w:eastAsia="仿宋" w:cs="仿宋"/>
          <w:sz w:val="32"/>
          <w:szCs w:val="32"/>
          <w:lang w:val="en-US" w:eastAsia="zh-CN"/>
        </w:rPr>
        <w:t>加强对教师报账的培训及指导工作，</w:t>
      </w:r>
      <w:r>
        <w:rPr>
          <w:rFonts w:hint="eastAsia" w:ascii="仿宋" w:hAnsi="仿宋" w:eastAsia="仿宋" w:cs="仿宋"/>
          <w:sz w:val="32"/>
          <w:szCs w:val="32"/>
        </w:rPr>
        <w:t>及时整理材料，按时完成全年进度。</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lang w:val="en-US" w:eastAsia="zh-CN"/>
        </w:rPr>
      </w:pPr>
    </w:p>
    <w:p>
      <w:pPr>
        <w:ind w:firstLine="4480" w:firstLineChars="1400"/>
        <w:jc w:val="left"/>
        <w:rPr>
          <w:rFonts w:hint="default" w:ascii="仿宋" w:hAnsi="仿宋" w:eastAsia="仿宋" w:cs="仿宋"/>
          <w:sz w:val="32"/>
          <w:szCs w:val="32"/>
          <w:highlight w:val="none"/>
          <w:lang w:val="en-US" w:eastAsia="zh-CN"/>
        </w:rPr>
      </w:pPr>
      <w:bookmarkStart w:id="7" w:name="_GoBack"/>
      <w:bookmarkEnd w:id="7"/>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3E0B2D27"/>
    <w:multiLevelType w:val="singleLevel"/>
    <w:tmpl w:val="3E0B2D2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YjA3ZDFjZDhmYjZjZjVjNjc0NTViMWFlNDdiN2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8E6791"/>
    <w:rsid w:val="02E0291A"/>
    <w:rsid w:val="040D0CCE"/>
    <w:rsid w:val="04E54546"/>
    <w:rsid w:val="05992762"/>
    <w:rsid w:val="06043E9E"/>
    <w:rsid w:val="07464042"/>
    <w:rsid w:val="078D3A1F"/>
    <w:rsid w:val="07B0770E"/>
    <w:rsid w:val="088A61B1"/>
    <w:rsid w:val="0942143F"/>
    <w:rsid w:val="0C272694"/>
    <w:rsid w:val="0CC2416B"/>
    <w:rsid w:val="0D100297"/>
    <w:rsid w:val="0D202B45"/>
    <w:rsid w:val="0D9F15E0"/>
    <w:rsid w:val="0DBA3094"/>
    <w:rsid w:val="0F8D4C87"/>
    <w:rsid w:val="10505FAA"/>
    <w:rsid w:val="105F7E7E"/>
    <w:rsid w:val="1193235B"/>
    <w:rsid w:val="11E56B5B"/>
    <w:rsid w:val="125C77AB"/>
    <w:rsid w:val="13B80076"/>
    <w:rsid w:val="14CB726E"/>
    <w:rsid w:val="150419E0"/>
    <w:rsid w:val="161812A0"/>
    <w:rsid w:val="16924BAE"/>
    <w:rsid w:val="16A17AC5"/>
    <w:rsid w:val="17E92249"/>
    <w:rsid w:val="18D304F1"/>
    <w:rsid w:val="19F32577"/>
    <w:rsid w:val="19F45B80"/>
    <w:rsid w:val="1B0C078D"/>
    <w:rsid w:val="1B2B31E2"/>
    <w:rsid w:val="1B4C295A"/>
    <w:rsid w:val="1B973C63"/>
    <w:rsid w:val="1BA1001E"/>
    <w:rsid w:val="1D2642A2"/>
    <w:rsid w:val="1D317259"/>
    <w:rsid w:val="1E664F5B"/>
    <w:rsid w:val="1EB34BE1"/>
    <w:rsid w:val="1F9131B2"/>
    <w:rsid w:val="215E639F"/>
    <w:rsid w:val="21EC3183"/>
    <w:rsid w:val="225E72CD"/>
    <w:rsid w:val="246E2F77"/>
    <w:rsid w:val="254B4E2B"/>
    <w:rsid w:val="255A0F8D"/>
    <w:rsid w:val="26630315"/>
    <w:rsid w:val="2821693A"/>
    <w:rsid w:val="283D7C94"/>
    <w:rsid w:val="29480E03"/>
    <w:rsid w:val="2983634D"/>
    <w:rsid w:val="2A3E50F5"/>
    <w:rsid w:val="2A4E4E38"/>
    <w:rsid w:val="2B6C7C6C"/>
    <w:rsid w:val="2BB02055"/>
    <w:rsid w:val="2C575A56"/>
    <w:rsid w:val="2F257714"/>
    <w:rsid w:val="2F3275E5"/>
    <w:rsid w:val="2F542EF1"/>
    <w:rsid w:val="2FD4560C"/>
    <w:rsid w:val="30AA08EF"/>
    <w:rsid w:val="30D23D1C"/>
    <w:rsid w:val="31221CF5"/>
    <w:rsid w:val="31400178"/>
    <w:rsid w:val="321E3342"/>
    <w:rsid w:val="32582C55"/>
    <w:rsid w:val="327759C8"/>
    <w:rsid w:val="32B23A8A"/>
    <w:rsid w:val="32E7407C"/>
    <w:rsid w:val="33185FE3"/>
    <w:rsid w:val="34EE2E36"/>
    <w:rsid w:val="36777241"/>
    <w:rsid w:val="371E78D5"/>
    <w:rsid w:val="379522F8"/>
    <w:rsid w:val="38A951DB"/>
    <w:rsid w:val="38B31605"/>
    <w:rsid w:val="39003F4F"/>
    <w:rsid w:val="3A3F0F86"/>
    <w:rsid w:val="3C07002B"/>
    <w:rsid w:val="3CC03974"/>
    <w:rsid w:val="3D0D152A"/>
    <w:rsid w:val="3DBD4357"/>
    <w:rsid w:val="3DF62756"/>
    <w:rsid w:val="3F1B7587"/>
    <w:rsid w:val="3F7B1DD4"/>
    <w:rsid w:val="41872CB2"/>
    <w:rsid w:val="41E57B4F"/>
    <w:rsid w:val="432F26F6"/>
    <w:rsid w:val="43880F63"/>
    <w:rsid w:val="441C5A6F"/>
    <w:rsid w:val="44C44FCC"/>
    <w:rsid w:val="44CC7369"/>
    <w:rsid w:val="457F5108"/>
    <w:rsid w:val="46951B6B"/>
    <w:rsid w:val="46AC31BB"/>
    <w:rsid w:val="49A34401"/>
    <w:rsid w:val="4A3E30AB"/>
    <w:rsid w:val="4AA77F21"/>
    <w:rsid w:val="4AC14DAC"/>
    <w:rsid w:val="4B02784D"/>
    <w:rsid w:val="4C4F6AC2"/>
    <w:rsid w:val="4C746529"/>
    <w:rsid w:val="4D154C85"/>
    <w:rsid w:val="4E3E0B9C"/>
    <w:rsid w:val="4EB35ECE"/>
    <w:rsid w:val="4ECC264C"/>
    <w:rsid w:val="508F4E24"/>
    <w:rsid w:val="51461E90"/>
    <w:rsid w:val="51463753"/>
    <w:rsid w:val="52553A93"/>
    <w:rsid w:val="53521F8B"/>
    <w:rsid w:val="53E22F47"/>
    <w:rsid w:val="544818ED"/>
    <w:rsid w:val="54522FF8"/>
    <w:rsid w:val="55450629"/>
    <w:rsid w:val="56692963"/>
    <w:rsid w:val="568B0F48"/>
    <w:rsid w:val="573F2FAF"/>
    <w:rsid w:val="5786217B"/>
    <w:rsid w:val="583272DB"/>
    <w:rsid w:val="59337A15"/>
    <w:rsid w:val="59810274"/>
    <w:rsid w:val="5CA96A00"/>
    <w:rsid w:val="5CF730BC"/>
    <w:rsid w:val="5E5F0DCE"/>
    <w:rsid w:val="5FA40A7B"/>
    <w:rsid w:val="5FD56D29"/>
    <w:rsid w:val="5FEC7F3F"/>
    <w:rsid w:val="60C5514D"/>
    <w:rsid w:val="60F74BC3"/>
    <w:rsid w:val="617D3BF8"/>
    <w:rsid w:val="61841F6A"/>
    <w:rsid w:val="620852F1"/>
    <w:rsid w:val="623007A9"/>
    <w:rsid w:val="637D7558"/>
    <w:rsid w:val="63D47B81"/>
    <w:rsid w:val="644F19AC"/>
    <w:rsid w:val="65AA4920"/>
    <w:rsid w:val="65DE05FC"/>
    <w:rsid w:val="65E31D0B"/>
    <w:rsid w:val="66A55805"/>
    <w:rsid w:val="67694F1E"/>
    <w:rsid w:val="67BF28F6"/>
    <w:rsid w:val="689B3D97"/>
    <w:rsid w:val="69597934"/>
    <w:rsid w:val="697B284D"/>
    <w:rsid w:val="6B964DDC"/>
    <w:rsid w:val="6C661592"/>
    <w:rsid w:val="6C783074"/>
    <w:rsid w:val="6D9E65C6"/>
    <w:rsid w:val="6DA81947"/>
    <w:rsid w:val="6EB66DE2"/>
    <w:rsid w:val="6ED3075F"/>
    <w:rsid w:val="6F2A2D4B"/>
    <w:rsid w:val="6F8A0C1E"/>
    <w:rsid w:val="700C2451"/>
    <w:rsid w:val="703F45D4"/>
    <w:rsid w:val="70A01287"/>
    <w:rsid w:val="715D6546"/>
    <w:rsid w:val="71BB64DB"/>
    <w:rsid w:val="71BE069E"/>
    <w:rsid w:val="73953409"/>
    <w:rsid w:val="73E069A3"/>
    <w:rsid w:val="74CB2601"/>
    <w:rsid w:val="76664931"/>
    <w:rsid w:val="775B4F4E"/>
    <w:rsid w:val="77C91435"/>
    <w:rsid w:val="78104AA8"/>
    <w:rsid w:val="78A23952"/>
    <w:rsid w:val="78E257C5"/>
    <w:rsid w:val="790068CB"/>
    <w:rsid w:val="790F02B6"/>
    <w:rsid w:val="794B35BE"/>
    <w:rsid w:val="7B0A3A31"/>
    <w:rsid w:val="7B3360ED"/>
    <w:rsid w:val="7B6B0973"/>
    <w:rsid w:val="7BDF037E"/>
    <w:rsid w:val="7BF50948"/>
    <w:rsid w:val="7C350F81"/>
    <w:rsid w:val="7CE66A78"/>
    <w:rsid w:val="7D23564C"/>
    <w:rsid w:val="7D5E062D"/>
    <w:rsid w:val="7DF76CD8"/>
    <w:rsid w:val="7E2757BF"/>
    <w:rsid w:val="7F695C26"/>
    <w:rsid w:val="7FCF62D3"/>
    <w:rsid w:val="FB2A8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1028.4</c:v>
                </c:pt>
                <c:pt idx="1">
                  <c:v>6.75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8.38</c:v>
                </c:pt>
                <c:pt idx="4">
                  <c:v>77.51</c:v>
                </c:pt>
                <c:pt idx="5">
                  <c:v>0</c:v>
                </c:pt>
                <c:pt idx="6">
                  <c:v>0</c:v>
                </c:pt>
                <c:pt idx="7">
                  <c:v>66.48</c:v>
                </c:pt>
                <c:pt idx="8">
                  <c:v>0</c:v>
                </c:pt>
                <c:pt idx="9">
                  <c:v>0</c:v>
                </c:pt>
                <c:pt idx="10">
                  <c:v>0</c:v>
                </c:pt>
                <c:pt idx="11">
                  <c:v>22.37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867.1</c:v>
                </c:pt>
                <c:pt idx="2">
                  <c:v>136.81</c:v>
                </c:pt>
                <c:pt idx="3">
                  <c:v>35.67</c:v>
                </c:pt>
                <c:pt idx="4">
                  <c:v>309.66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11.35</c:v>
                </c:pt>
                <c:pt idx="1">
                  <c:v>751.23</c:v>
                </c:pt>
                <c:pt idx="2">
                  <c:v>82.44</c:v>
                </c:pt>
                <c:pt idx="3">
                  <c:v>62.76</c:v>
                </c:pt>
                <c:pt idx="4">
                  <c:v>127.35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11.35</c:v>
                </c:pt>
                <c:pt idx="1">
                  <c:v>11.35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2050202</c:v>
                </c:pt>
                <c:pt idx="1">
                  <c:v>2050299</c:v>
                </c:pt>
                <c:pt idx="2">
                  <c:v>2050999</c:v>
                </c:pt>
                <c:pt idx="3">
                  <c:v>205x</c:v>
                </c:pt>
              </c:strCache>
            </c:strRef>
          </c:cat>
          <c:val>
            <c:numRef>
              <c:f>Sheet1!$B$2:$B$5</c:f>
              <c:numCache>
                <c:formatCode>General</c:formatCode>
                <c:ptCount val="4"/>
                <c:pt idx="0">
                  <c:v>731.61</c:v>
                </c:pt>
                <c:pt idx="1">
                  <c:v>18.54</c:v>
                </c:pt>
                <c:pt idx="2">
                  <c:v>1.08</c:v>
                </c:pt>
                <c:pt idx="3">
                  <c:v>751.23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82.44</c:v>
                </c:pt>
                <c:pt idx="1">
                  <c:v>82.44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62.76</c:v>
                </c:pt>
                <c:pt idx="1">
                  <c:v>62.76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2290201</c:v>
                </c:pt>
                <c:pt idx="1">
                  <c:v>2299999</c:v>
                </c:pt>
                <c:pt idx="2">
                  <c:v>229x</c:v>
                </c:pt>
              </c:strCache>
            </c:strRef>
          </c:cat>
          <c:val>
            <c:numRef>
              <c:f>Sheet1!$B$2:$B$4</c:f>
              <c:numCache>
                <c:formatCode>General</c:formatCode>
                <c:ptCount val="3"/>
                <c:pt idx="0">
                  <c:v>8.38</c:v>
                </c:pt>
                <c:pt idx="1">
                  <c:v>112.23</c:v>
                </c:pt>
                <c:pt idx="2">
                  <c:v>120.61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318.34</c:v>
                </c:pt>
                <c:pt idx="1">
                  <c:v>42.21</c:v>
                </c:pt>
                <c:pt idx="2">
                  <c:v>94.45</c:v>
                </c:pt>
                <c:pt idx="3">
                  <c:v>0</c:v>
                </c:pt>
                <c:pt idx="4">
                  <c:v>130.46</c:v>
                </c:pt>
                <c:pt idx="5">
                  <c:v>82.44</c:v>
                </c:pt>
                <c:pt idx="6">
                  <c:v>0</c:v>
                </c:pt>
                <c:pt idx="7">
                  <c:v>37.25</c:v>
                </c:pt>
                <c:pt idx="8">
                  <c:v>0</c:v>
                </c:pt>
                <c:pt idx="9">
                  <c:v>4.64</c:v>
                </c:pt>
                <c:pt idx="10">
                  <c:v>62.76</c:v>
                </c:pt>
                <c:pt idx="11">
                  <c:v>0</c:v>
                </c:pt>
                <c:pt idx="12">
                  <c:v>8.49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7.62</c:v>
                </c:pt>
                <c:pt idx="1">
                  <c:v>0</c:v>
                </c:pt>
                <c:pt idx="2">
                  <c:v>0</c:v>
                </c:pt>
                <c:pt idx="3">
                  <c:v>0</c:v>
                </c:pt>
                <c:pt idx="4">
                  <c:v>1.45</c:v>
                </c:pt>
                <c:pt idx="5">
                  <c:v>2.45</c:v>
                </c:pt>
                <c:pt idx="6">
                  <c:v>3.37</c:v>
                </c:pt>
                <c:pt idx="7">
                  <c:v>0</c:v>
                </c:pt>
                <c:pt idx="8">
                  <c:v>0</c:v>
                </c:pt>
                <c:pt idx="9">
                  <c:v>0.23</c:v>
                </c:pt>
                <c:pt idx="10">
                  <c:v>0</c:v>
                </c:pt>
                <c:pt idx="11">
                  <c:v>14.48</c:v>
                </c:pt>
                <c:pt idx="12">
                  <c:v>0</c:v>
                </c:pt>
                <c:pt idx="13">
                  <c:v>0</c:v>
                </c:pt>
                <c:pt idx="14">
                  <c:v>0</c:v>
                </c:pt>
                <c:pt idx="15">
                  <c:v>0</c:v>
                </c:pt>
                <c:pt idx="16">
                  <c:v>0.05</c:v>
                </c:pt>
                <c:pt idx="17">
                  <c:v>0</c:v>
                </c:pt>
                <c:pt idx="18">
                  <c:v>0</c:v>
                </c:pt>
                <c:pt idx="19">
                  <c:v>3.01</c:v>
                </c:pt>
                <c:pt idx="20">
                  <c:v>0</c:v>
                </c:pt>
                <c:pt idx="21">
                  <c:v>11.35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cp:lastPrinted>2023-11-20T17:47:00Z</cp:lastPrinted>
  <dcterms:modified xsi:type="dcterms:W3CDTF">2023-11-28T09:42:50Z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