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center"/>
        <w:rPr>
          <w:rFonts w:ascii="黑体" w:hAnsi="黑体" w:eastAsia="黑体" w:cs="黑体"/>
          <w:b/>
          <w:bCs/>
          <w:color w:val="000000" w:themeColor="text1"/>
          <w:sz w:val="52"/>
          <w:szCs w:val="52"/>
          <w:highlight w:val="none"/>
          <w14:textFill>
            <w14:solidFill>
              <w14:schemeClr w14:val="tx1"/>
            </w14:solidFill>
          </w14:textFill>
        </w:rPr>
      </w:pPr>
      <w:r>
        <w:rPr>
          <w:rFonts w:hint="eastAsia" w:ascii="黑体" w:hAnsi="黑体" w:eastAsia="黑体" w:cs="黑体"/>
          <w:b/>
          <w:bCs/>
          <w:color w:val="000000" w:themeColor="text1"/>
          <w:sz w:val="48"/>
          <w:szCs w:val="48"/>
          <w:highlight w:val="none"/>
          <w14:textFill>
            <w14:solidFill>
              <w14:schemeClr w14:val="tx1"/>
            </w14:solidFill>
          </w14:textFill>
        </w:rPr>
        <w:t>环江毛南族自治县大才乡中心幼儿园2022年度部门决算</w:t>
      </w:r>
    </w:p>
    <w:p>
      <w:pPr>
        <w:jc w:val="center"/>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center"/>
        <w:rPr>
          <w:rFonts w:hint="eastAsia" w:ascii="黑体" w:hAnsi="黑体" w:eastAsia="黑体" w:cs="黑体"/>
          <w:b/>
          <w:bCs/>
          <w:color w:val="000000" w:themeColor="text1"/>
          <w:sz w:val="36"/>
          <w:szCs w:val="36"/>
          <w:highlight w:val="none"/>
          <w:lang w:val="en-US" w:eastAsia="zh-CN"/>
          <w14:textFill>
            <w14:solidFill>
              <w14:schemeClr w14:val="tx1"/>
            </w14:solidFill>
          </w14:textFill>
        </w:rPr>
      </w:pPr>
      <w:r>
        <w:rPr>
          <w:rFonts w:hint="eastAsia" w:ascii="黑体" w:hAnsi="黑体" w:eastAsia="黑体" w:cs="黑体"/>
          <w:b/>
          <w:bCs/>
          <w:color w:val="000000" w:themeColor="text1"/>
          <w:sz w:val="36"/>
          <w:szCs w:val="36"/>
          <w:highlight w:val="none"/>
          <w14:textFill>
            <w14:solidFill>
              <w14:schemeClr w14:val="tx1"/>
            </w14:solidFill>
          </w14:textFill>
        </w:rPr>
        <w:t>2023年</w:t>
      </w:r>
      <w:r>
        <w:rPr>
          <w:rFonts w:hint="eastAsia" w:ascii="黑体" w:hAnsi="黑体" w:eastAsia="黑体" w:cs="黑体"/>
          <w:b/>
          <w:bCs/>
          <w:color w:val="000000" w:themeColor="text1"/>
          <w:sz w:val="36"/>
          <w:szCs w:val="36"/>
          <w:highlight w:val="none"/>
          <w:lang w:val="en-US" w:eastAsia="zh-CN"/>
          <w14:textFill>
            <w14:solidFill>
              <w14:schemeClr w14:val="tx1"/>
            </w14:solidFill>
          </w14:textFill>
        </w:rPr>
        <w:t>10</w:t>
      </w:r>
      <w:r>
        <w:rPr>
          <w:rFonts w:hint="eastAsia" w:ascii="黑体" w:hAnsi="黑体" w:eastAsia="黑体" w:cs="黑体"/>
          <w:b/>
          <w:bCs/>
          <w:color w:val="000000" w:themeColor="text1"/>
          <w:sz w:val="36"/>
          <w:szCs w:val="36"/>
          <w:highlight w:val="none"/>
          <w14:textFill>
            <w14:solidFill>
              <w14:schemeClr w14:val="tx1"/>
            </w14:solidFill>
          </w14:textFill>
        </w:rPr>
        <w:t>月</w:t>
      </w:r>
    </w:p>
    <w:p>
      <w:pPr>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br w:type="page"/>
      </w:r>
    </w:p>
    <w:p>
      <w:pPr>
        <w:jc w:val="center"/>
        <w:rPr>
          <w:rFonts w:ascii="黑体" w:hAnsi="黑体" w:eastAsia="黑体" w:cs="黑体"/>
          <w:b/>
          <w:bCs/>
          <w:color w:val="000000" w:themeColor="text1"/>
          <w:sz w:val="36"/>
          <w:szCs w:val="36"/>
          <w:highlight w:val="none"/>
          <w14:textFill>
            <w14:solidFill>
              <w14:schemeClr w14:val="tx1"/>
            </w14:solidFill>
          </w14:textFill>
        </w:rPr>
      </w:pPr>
      <w:r>
        <w:rPr>
          <w:rFonts w:hint="eastAsia" w:ascii="黑体" w:hAnsi="黑体" w:eastAsia="黑体" w:cs="黑体"/>
          <w:b/>
          <w:bCs/>
          <w:color w:val="000000" w:themeColor="text1"/>
          <w:sz w:val="36"/>
          <w:szCs w:val="36"/>
          <w:highlight w:val="none"/>
          <w14:textFill>
            <w14:solidFill>
              <w14:schemeClr w14:val="tx1"/>
            </w14:solidFill>
          </w14:textFill>
        </w:rPr>
        <w:t>目</w:t>
      </w:r>
      <w:r>
        <w:rPr>
          <w:rFonts w:hint="eastAsia" w:ascii="黑体" w:hAnsi="黑体" w:eastAsia="黑体" w:cs="黑体"/>
          <w:b/>
          <w:bCs/>
          <w:color w:val="000000" w:themeColor="text1"/>
          <w:sz w:val="36"/>
          <w:szCs w:val="36"/>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 xml:space="preserve"> 录</w:t>
      </w:r>
    </w:p>
    <w:p>
      <w:pPr>
        <w:jc w:val="left"/>
        <w:rPr>
          <w:rFonts w:ascii="黑体" w:hAnsi="黑体" w:eastAsia="黑体" w:cs="黑体"/>
          <w:b/>
          <w:bCs/>
          <w:color w:val="000000" w:themeColor="text1"/>
          <w:sz w:val="36"/>
          <w:szCs w:val="36"/>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第一部分：</w:t>
      </w:r>
      <w:r>
        <w:rPr>
          <w:rFonts w:ascii="黑体" w:hAnsi="黑体" w:eastAsia="黑体" w:cs="黑体"/>
          <w:color w:val="000000" w:themeColor="text1"/>
          <w:sz w:val="32"/>
          <w:highlight w:val="none"/>
          <w:u w:color="auto"/>
          <w14:textFill>
            <w14:solidFill>
              <w14:schemeClr w14:val="tx1"/>
            </w14:solidFill>
          </w14:textFill>
        </w:rPr>
        <w:t>环江毛南族自治县大才乡中心幼儿园</w:t>
      </w:r>
      <w:r>
        <w:rPr>
          <w:rFonts w:hint="eastAsia" w:ascii="黑体" w:hAnsi="黑体" w:eastAsia="黑体" w:cs="黑体"/>
          <w:color w:val="000000" w:themeColor="text1"/>
          <w:sz w:val="32"/>
          <w:szCs w:val="32"/>
          <w:highlight w:val="none"/>
          <w14:textFill>
            <w14:solidFill>
              <w14:schemeClr w14:val="tx1"/>
            </w14:solidFill>
          </w14:textFill>
        </w:rPr>
        <w:t>概况</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一、主要职能</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二、部门决算单位构成</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第二部分：</w:t>
      </w:r>
      <w:r>
        <w:rPr>
          <w:rFonts w:ascii="黑体" w:hAnsi="黑体" w:eastAsia="黑体" w:cs="黑体"/>
          <w:color w:val="000000" w:themeColor="text1"/>
          <w:sz w:val="32"/>
          <w:highlight w:val="none"/>
          <w:u w:color="auto"/>
          <w14:textFill>
            <w14:solidFill>
              <w14:schemeClr w14:val="tx1"/>
            </w14:solidFill>
          </w14:textFill>
        </w:rPr>
        <w:t>环江毛南族自治县大才乡中心幼儿园</w:t>
      </w:r>
      <w:r>
        <w:rPr>
          <w:rFonts w:hint="eastAsia" w:ascii="黑体" w:hAnsi="黑体" w:eastAsia="黑体" w:cs="黑体"/>
          <w:color w:val="000000" w:themeColor="text1"/>
          <w:sz w:val="32"/>
          <w:szCs w:val="32"/>
          <w:highlight w:val="none"/>
          <w14:textFill>
            <w14:solidFill>
              <w14:schemeClr w14:val="tx1"/>
            </w14:solidFill>
          </w14:textFill>
        </w:rPr>
        <w:t>2022年度部门决算报表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表一：收入支出决算总表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表二：收入决算表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表三：支出决算表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表四：财政拨款收入支出决算总表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表五：一般公共预算财政拨款支出决算表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表六：一般公共预算财政拨款基本支出决算明细表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表七：政府性基金</w:t>
      </w:r>
      <w:r>
        <w:rPr>
          <w:rFonts w:hint="eastAsia" w:ascii="仿宋_GB2312" w:hAnsi="黑体" w:eastAsia="仿宋_GB2312"/>
          <w:color w:val="000000" w:themeColor="text1"/>
          <w:sz w:val="32"/>
          <w:szCs w:val="32"/>
          <w:highlight w:val="none"/>
          <w14:textFill>
            <w14:solidFill>
              <w14:schemeClr w14:val="tx1"/>
            </w14:solidFill>
          </w14:textFill>
        </w:rPr>
        <w:t>预算财政拨款</w:t>
      </w:r>
      <w:r>
        <w:rPr>
          <w:rFonts w:hint="eastAsia" w:ascii="仿宋_GB2312" w:eastAsia="仿宋_GB2312"/>
          <w:color w:val="000000" w:themeColor="text1"/>
          <w:sz w:val="32"/>
          <w:szCs w:val="32"/>
          <w:highlight w:val="none"/>
          <w14:textFill>
            <w14:solidFill>
              <w14:schemeClr w14:val="tx1"/>
            </w14:solidFill>
          </w14:textFill>
        </w:rPr>
        <w:t>收入支出决算表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表八：国有资本经营预算</w:t>
      </w:r>
      <w:r>
        <w:rPr>
          <w:rFonts w:hint="eastAsia" w:ascii="仿宋_GB2312" w:hAnsi="黑体" w:eastAsia="仿宋_GB2312"/>
          <w:color w:val="000000" w:themeColor="text1"/>
          <w:sz w:val="32"/>
          <w:szCs w:val="32"/>
          <w:highlight w:val="none"/>
          <w14:textFill>
            <w14:solidFill>
              <w14:schemeClr w14:val="tx1"/>
            </w14:solidFill>
          </w14:textFill>
        </w:rPr>
        <w:t>财政拨款</w:t>
      </w:r>
      <w:r>
        <w:rPr>
          <w:rFonts w:hint="eastAsia" w:ascii="仿宋_GB2312" w:eastAsia="仿宋_GB2312"/>
          <w:color w:val="000000" w:themeColor="text1"/>
          <w:sz w:val="32"/>
          <w:szCs w:val="32"/>
          <w:highlight w:val="none"/>
          <w14:textFill>
            <w14:solidFill>
              <w14:schemeClr w14:val="tx1"/>
            </w14:solidFill>
          </w14:textFill>
        </w:rPr>
        <w:t>支出决算表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表九：财政拨款“三公”经费支出决算表</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第三部分：</w:t>
      </w:r>
      <w:r>
        <w:rPr>
          <w:rFonts w:ascii="黑体" w:hAnsi="黑体" w:eastAsia="黑体" w:cs="黑体"/>
          <w:color w:val="000000" w:themeColor="text1"/>
          <w:sz w:val="32"/>
          <w:highlight w:val="none"/>
          <w:u w:color="auto"/>
          <w14:textFill>
            <w14:solidFill>
              <w14:schemeClr w14:val="tx1"/>
            </w14:solidFill>
          </w14:textFill>
        </w:rPr>
        <w:t>环江毛南族自治县大才乡中心幼儿园</w:t>
      </w:r>
      <w:r>
        <w:rPr>
          <w:rFonts w:hint="eastAsia" w:ascii="黑体" w:hAnsi="黑体" w:eastAsia="黑体" w:cs="黑体"/>
          <w:color w:val="000000" w:themeColor="text1"/>
          <w:sz w:val="32"/>
          <w:szCs w:val="32"/>
          <w:highlight w:val="none"/>
          <w14:textFill>
            <w14:solidFill>
              <w14:schemeClr w14:val="tx1"/>
            </w14:solidFill>
          </w14:textFill>
        </w:rPr>
        <w:t>2022年度部门决算情况说明</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一、</w:t>
      </w:r>
      <w:r>
        <w:rPr>
          <w:rFonts w:hint="eastAsia" w:ascii="仿宋_GB2312" w:eastAsia="仿宋_GB2312"/>
          <w:color w:val="000000" w:themeColor="text1"/>
          <w:kern w:val="0"/>
          <w:sz w:val="32"/>
          <w:szCs w:val="32"/>
          <w:highlight w:val="none"/>
          <w14:textFill>
            <w14:solidFill>
              <w14:schemeClr w14:val="tx1"/>
            </w14:solidFill>
          </w14:textFill>
        </w:rPr>
        <w:t>202</w:t>
      </w:r>
      <w:r>
        <w:rPr>
          <w:rFonts w:hint="eastAsia" w:ascii="仿宋_GB2312" w:eastAsia="仿宋_GB2312"/>
          <w:color w:val="000000" w:themeColor="text1"/>
          <w:kern w:val="0"/>
          <w:sz w:val="32"/>
          <w:szCs w:val="32"/>
          <w:highlight w:val="none"/>
          <w:lang w:val="en-US" w:eastAsia="zh-CN"/>
          <w14:textFill>
            <w14:solidFill>
              <w14:schemeClr w14:val="tx1"/>
            </w14:solidFill>
          </w14:textFill>
        </w:rPr>
        <w:t>2</w:t>
      </w:r>
      <w:r>
        <w:rPr>
          <w:rFonts w:hint="eastAsia" w:ascii="仿宋_GB2312" w:eastAsia="仿宋_GB2312" w:cs="仿宋_GB2312"/>
          <w:color w:val="000000" w:themeColor="text1"/>
          <w:kern w:val="0"/>
          <w:sz w:val="32"/>
          <w:szCs w:val="32"/>
          <w:highlight w:val="none"/>
          <w14:textFill>
            <w14:solidFill>
              <w14:schemeClr w14:val="tx1"/>
            </w14:solidFill>
          </w14:textFill>
        </w:rPr>
        <w:t>年度收入支出决算总体情况。</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二、</w:t>
      </w:r>
      <w:r>
        <w:rPr>
          <w:rFonts w:hint="eastAsia" w:ascii="仿宋_GB2312" w:eastAsia="仿宋_GB2312"/>
          <w:color w:val="000000" w:themeColor="text1"/>
          <w:kern w:val="0"/>
          <w:sz w:val="32"/>
          <w:szCs w:val="32"/>
          <w:highlight w:val="none"/>
          <w14:textFill>
            <w14:solidFill>
              <w14:schemeClr w14:val="tx1"/>
            </w14:solidFill>
          </w14:textFill>
        </w:rPr>
        <w:t>20</w:t>
      </w:r>
      <w:r>
        <w:rPr>
          <w:rFonts w:hint="eastAsia" w:ascii="仿宋_GB2312" w:eastAsia="仿宋_GB2312"/>
          <w:color w:val="000000" w:themeColor="text1"/>
          <w:kern w:val="0"/>
          <w:sz w:val="32"/>
          <w:szCs w:val="32"/>
          <w:highlight w:val="none"/>
          <w:lang w:val="en-US" w:eastAsia="zh-CN"/>
          <w14:textFill>
            <w14:solidFill>
              <w14:schemeClr w14:val="tx1"/>
            </w14:solidFill>
          </w14:textFill>
        </w:rPr>
        <w:t>22</w:t>
      </w:r>
      <w:r>
        <w:rPr>
          <w:rFonts w:hint="eastAsia" w:ascii="仿宋_GB2312" w:eastAsia="仿宋_GB2312" w:cs="仿宋_GB2312"/>
          <w:color w:val="000000" w:themeColor="text1"/>
          <w:kern w:val="0"/>
          <w:sz w:val="32"/>
          <w:szCs w:val="32"/>
          <w:highlight w:val="none"/>
          <w14:textFill>
            <w14:solidFill>
              <w14:schemeClr w14:val="tx1"/>
            </w14:solidFill>
          </w14:textFill>
        </w:rPr>
        <w:t>年度</w:t>
      </w:r>
      <w:r>
        <w:rPr>
          <w:rFonts w:hint="eastAsia" w:ascii="仿宋_GB2312" w:eastAsia="仿宋_GB2312"/>
          <w:color w:val="000000" w:themeColor="text1"/>
          <w:sz w:val="32"/>
          <w:szCs w:val="32"/>
          <w:highlight w:val="none"/>
          <w14:textFill>
            <w14:solidFill>
              <w14:schemeClr w14:val="tx1"/>
            </w14:solidFill>
          </w14:textFill>
        </w:rPr>
        <w:t>一般</w:t>
      </w:r>
      <w:r>
        <w:rPr>
          <w:rFonts w:hint="eastAsia" w:ascii="仿宋_GB2312" w:eastAsia="仿宋_GB2312" w:cs="仿宋_GB2312"/>
          <w:color w:val="000000" w:themeColor="text1"/>
          <w:kern w:val="0"/>
          <w:sz w:val="32"/>
          <w:szCs w:val="32"/>
          <w:highlight w:val="none"/>
          <w14:textFill>
            <w14:solidFill>
              <w14:schemeClr w14:val="tx1"/>
            </w14:solidFill>
          </w14:textFill>
        </w:rPr>
        <w:t>公共预算财政拨款支出决算情况。</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三、20</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22</w:t>
      </w:r>
      <w:r>
        <w:rPr>
          <w:rFonts w:hint="eastAsia" w:ascii="仿宋_GB2312" w:eastAsia="仿宋_GB2312" w:cs="仿宋_GB2312"/>
          <w:color w:val="000000" w:themeColor="text1"/>
          <w:kern w:val="0"/>
          <w:sz w:val="32"/>
          <w:szCs w:val="32"/>
          <w:highlight w:val="none"/>
          <w14:textFill>
            <w14:solidFill>
              <w14:schemeClr w14:val="tx1"/>
            </w14:solidFill>
          </w14:textFill>
        </w:rPr>
        <w:t>年度一般公共预算财政拨款基本支出决算情况说明。</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四、</w:t>
      </w:r>
      <w:r>
        <w:rPr>
          <w:rFonts w:hint="eastAsia" w:ascii="仿宋_GB2312" w:eastAsia="仿宋_GB2312"/>
          <w:color w:val="000000" w:themeColor="text1"/>
          <w:kern w:val="0"/>
          <w:sz w:val="32"/>
          <w:szCs w:val="32"/>
          <w:highlight w:val="none"/>
          <w14:textFill>
            <w14:solidFill>
              <w14:schemeClr w14:val="tx1"/>
            </w14:solidFill>
          </w14:textFill>
        </w:rPr>
        <w:t>20</w:t>
      </w:r>
      <w:r>
        <w:rPr>
          <w:rFonts w:hint="eastAsia" w:ascii="仿宋_GB2312" w:eastAsia="仿宋_GB2312"/>
          <w:color w:val="000000" w:themeColor="text1"/>
          <w:kern w:val="0"/>
          <w:sz w:val="32"/>
          <w:szCs w:val="32"/>
          <w:highlight w:val="none"/>
          <w:lang w:val="en-US" w:eastAsia="zh-CN"/>
          <w14:textFill>
            <w14:solidFill>
              <w14:schemeClr w14:val="tx1"/>
            </w14:solidFill>
          </w14:textFill>
        </w:rPr>
        <w:t>22</w:t>
      </w:r>
      <w:r>
        <w:rPr>
          <w:rFonts w:hint="eastAsia" w:ascii="仿宋_GB2312" w:eastAsia="仿宋_GB2312" w:cs="仿宋_GB2312"/>
          <w:color w:val="000000" w:themeColor="text1"/>
          <w:kern w:val="0"/>
          <w:sz w:val="32"/>
          <w:szCs w:val="32"/>
          <w:highlight w:val="none"/>
          <w14:textFill>
            <w14:solidFill>
              <w14:schemeClr w14:val="tx1"/>
            </w14:solidFill>
          </w14:textFill>
        </w:rPr>
        <w:t>年度政府性基金支出决算情况。</w:t>
      </w:r>
    </w:p>
    <w:p>
      <w:pPr>
        <w:autoSpaceDE w:val="0"/>
        <w:autoSpaceDN w:val="0"/>
        <w:adjustRightInd w:val="0"/>
        <w:jc w:val="left"/>
        <w:rPr>
          <w:rFonts w:hint="eastAsia" w:asci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五、20</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22</w:t>
      </w:r>
      <w:r>
        <w:rPr>
          <w:rFonts w:hint="eastAsia" w:ascii="仿宋_GB2312" w:eastAsia="仿宋_GB2312" w:cs="仿宋_GB2312"/>
          <w:color w:val="000000" w:themeColor="text1"/>
          <w:kern w:val="0"/>
          <w:sz w:val="32"/>
          <w:szCs w:val="32"/>
          <w:highlight w:val="none"/>
          <w14:textFill>
            <w14:solidFill>
              <w14:schemeClr w14:val="tx1"/>
            </w14:solidFill>
          </w14:textFill>
        </w:rPr>
        <w:t>年度国有资本经营预算支出决算情况</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六、财政拨款“三公”经费支出决算情况说明。</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七、其他重要事项情况说明。</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第四部分：名词解释</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p>
    <w:p>
      <w:pPr>
        <w:jc w:val="center"/>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第一部分：</w:t>
      </w:r>
      <w:r>
        <w:rPr>
          <w:rFonts w:ascii="黑体" w:hAnsi="黑体" w:eastAsia="黑体" w:cs="黑体"/>
          <w:b/>
          <w:color w:val="000000" w:themeColor="text1"/>
          <w:sz w:val="32"/>
          <w:highlight w:val="none"/>
          <w:u w:color="auto"/>
          <w14:textFill>
            <w14:solidFill>
              <w14:schemeClr w14:val="tx1"/>
            </w14:solidFill>
          </w14:textFill>
        </w:rPr>
        <w:t>环江毛南族自治县大才乡中心幼儿园</w:t>
      </w:r>
      <w:r>
        <w:rPr>
          <w:rFonts w:hint="eastAsia" w:ascii="黑体" w:hAnsi="黑体" w:eastAsia="黑体" w:cs="黑体"/>
          <w:b/>
          <w:bCs/>
          <w:color w:val="000000" w:themeColor="text1"/>
          <w:sz w:val="32"/>
          <w:szCs w:val="32"/>
          <w:highlight w:val="none"/>
          <w14:textFill>
            <w14:solidFill>
              <w14:schemeClr w14:val="tx1"/>
            </w14:solidFill>
          </w14:textFill>
        </w:rPr>
        <w:t>概况</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一、主要职能</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（一）贯彻执行党和国家的教育方针、政策和法律法规；拟订全园教育改革与发展规划并组织实施。</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（二）编制本园教育事业发展规划并检查实施情况，向自治县人民政府和上级教育部门作出报告。</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（三）督促检查全园贯彻执行教育方针、政策、法令、法规和上级的各项规定；评估指导全乡幼儿园教育教学工作。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（四）负责推进全乡幼儿教育均衡发展和促进教育公平。</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（五）负责全园人才队伍和教师队伍建设，包括园长岗位培训、后备干部队伍建设、教师学历教育、继续教育等。</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（六）负责组织全乡幼儿园做好学籍管理工作。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（七）按照中央关于全面推进素质教育要求，负责教育教学管理、教育教学改革及教育教学科学研究工作，检查指导全乡幼儿园实施素质教育工作，并组织推广先进的教育教学经验。</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（八）检查指导学校教育教学设备的装备、管理和使用工作。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（九）检查指导全乡幼儿园开展电化教育和信息化教学工作。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（十）负责全园教师初级专业技术职务资格的评审，中、高级专业技术职务资格的申报工作。按照管理权限对教师进行考核、聘任、奖惩、晋升等工作。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（十一）负责监督审计全园教育经费和教育基建经费拨付及教育附加费和教育费附加的征收、管理与使用工作。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（十二）负责指导全园学生资助管理工作。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（十三）负责语言文字和指导推广普通话工作。</w:t>
      </w:r>
    </w:p>
    <w:p>
      <w:p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（十四）完成上级部门交办的其他工作。</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二、部门决算单位构成</w:t>
      </w:r>
    </w:p>
    <w:p>
      <w:pPr>
        <w:ind w:firstLine="640" w:firstLineChars="200"/>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本园按照部门决算编报要求，单独编制本园决算。内设机构有两个，分别为：园长办公室、教师办公室</w:t>
      </w:r>
      <w:r>
        <w:rPr>
          <w:rFonts w:hint="eastAsia" w:ascii="仿宋" w:hAnsi="仿宋" w:eastAsia="仿宋" w:cs="仿宋"/>
          <w:color w:val="000000" w:themeColor="text1"/>
          <w:sz w:val="32"/>
          <w:szCs w:val="32"/>
          <w:highlight w:val="none"/>
          <w:lang w:eastAsia="zh-CN"/>
          <w14:textFill>
            <w14:solidFill>
              <w14:schemeClr w14:val="tx1"/>
            </w14:solidFill>
          </w14:textFill>
        </w:rPr>
        <w:t>；在职在编</w:t>
      </w:r>
      <w:r>
        <w:rPr>
          <w:rFonts w:hint="eastAsia" w:ascii="仿宋" w:hAnsi="仿宋" w:eastAsia="仿宋" w:cs="仿宋"/>
          <w:color w:val="000000" w:themeColor="text1"/>
          <w:sz w:val="32"/>
          <w:szCs w:val="32"/>
          <w:highlight w:val="none"/>
          <w:lang w:val="en-US" w:eastAsia="zh-CN"/>
          <w14:textFill>
            <w14:solidFill>
              <w14:schemeClr w14:val="tx1"/>
            </w14:solidFill>
          </w14:textFill>
        </w:rPr>
        <w:t>人员6人。</w:t>
      </w:r>
    </w:p>
    <w:tbl>
      <w:tblPr>
        <w:tblStyle w:val="6"/>
        <w:tblW w:w="85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3"/>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center"/>
              <w:rPr>
                <w:rFonts w:hint="eastAsia" w:ascii="仿宋" w:hAnsi="仿宋" w:eastAsia="仿宋" w:cs="仿宋"/>
                <w:b/>
                <w:color w:val="000000" w:themeColor="text1"/>
                <w:kern w:val="0"/>
                <w:sz w:val="32"/>
                <w:szCs w:val="32"/>
                <w:highlight w:val="none"/>
                <w14:textFill>
                  <w14:solidFill>
                    <w14:schemeClr w14:val="tx1"/>
                  </w14:solidFill>
                </w14:textFill>
              </w:rPr>
            </w:pPr>
            <w:bookmarkStart w:id="0" w:name="_Hlk109379180"/>
            <w:r>
              <w:rPr>
                <w:rFonts w:hint="eastAsia" w:ascii="仿宋" w:hAnsi="仿宋" w:eastAsia="仿宋" w:cs="仿宋"/>
                <w:b/>
                <w:color w:val="000000" w:themeColor="text1"/>
                <w:kern w:val="0"/>
                <w:sz w:val="32"/>
                <w:szCs w:val="32"/>
                <w:highlight w:val="none"/>
                <w14:textFill>
                  <w14:solidFill>
                    <w14:schemeClr w14:val="tx1"/>
                  </w14:solidFill>
                </w14:textFill>
              </w:rPr>
              <w:t>单位名称</w:t>
            </w:r>
          </w:p>
        </w:tc>
        <w:tc>
          <w:tcPr>
            <w:tcW w:w="3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center"/>
              <w:rPr>
                <w:rFonts w:hint="eastAsia"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5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环江毛南族自治县大才乡中心幼儿园</w:t>
            </w:r>
          </w:p>
        </w:tc>
        <w:tc>
          <w:tcPr>
            <w:tcW w:w="3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事业单位</w:t>
            </w:r>
          </w:p>
        </w:tc>
      </w:tr>
      <w:bookmarkEnd w:id="0"/>
    </w:tbl>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p>
    <w:p>
      <w:pPr>
        <w:jc w:val="center"/>
        <w:rPr>
          <w:rFonts w:hint="eastAsia" w:ascii="仿宋" w:hAnsi="仿宋" w:eastAsia="仿宋" w:cs="仿宋"/>
          <w:color w:val="000000" w:themeColor="text1"/>
          <w:sz w:val="32"/>
          <w:szCs w:val="32"/>
          <w:highlight w:val="none"/>
          <w:lang w:val="en-US" w:eastAsia="zh-CN"/>
          <w14:textFill>
            <w14:solidFill>
              <w14:schemeClr w14:val="tx1"/>
            </w14:solidFill>
          </w14:textFill>
        </w:rPr>
      </w:pPr>
    </w:p>
    <w:p>
      <w:pPr>
        <w:jc w:val="center"/>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jc w:val="center"/>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jc w:val="center"/>
        <w:rPr>
          <w:rFonts w:hint="eastAsia" w:ascii="黑体" w:hAnsi="黑体" w:eastAsia="黑体" w:cs="黑体"/>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0" w:num="1"/>
          <w:rtlGutter w:val="0"/>
          <w:docGrid w:type="lines" w:linePitch="312" w:charSpace="0"/>
        </w:sectPr>
      </w:pPr>
    </w:p>
    <w:p>
      <w:pPr>
        <w:ind w:firstLine="1920" w:firstLineChars="600"/>
        <w:jc w:val="both"/>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第二部分：</w:t>
      </w:r>
      <w:r>
        <w:rPr>
          <w:rFonts w:ascii="黑体" w:hAnsi="黑体" w:eastAsia="黑体" w:cs="黑体"/>
          <w:color w:val="000000" w:themeColor="text1"/>
          <w:sz w:val="32"/>
          <w:highlight w:val="none"/>
          <w:u w:color="auto"/>
          <w14:textFill>
            <w14:solidFill>
              <w14:schemeClr w14:val="tx1"/>
            </w14:solidFill>
          </w14:textFill>
        </w:rPr>
        <w:t>环江毛南族自治县大才乡中心幼儿园</w:t>
      </w:r>
      <w:r>
        <w:rPr>
          <w:rFonts w:hint="eastAsia" w:ascii="黑体" w:hAnsi="黑体" w:eastAsia="黑体" w:cs="黑体"/>
          <w:color w:val="000000" w:themeColor="text1"/>
          <w:sz w:val="32"/>
          <w:szCs w:val="32"/>
          <w:highlight w:val="none"/>
          <w14:textFill>
            <w14:solidFill>
              <w14:schemeClr w14:val="tx1"/>
            </w14:solidFill>
          </w14:textFill>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sz w:val="24"/>
                <w:highlight w:val="none"/>
                <w14:textFill>
                  <w14:solidFill>
                    <w14:schemeClr w14:val="tx1"/>
                  </w14:solidFill>
                </w14:textFill>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公开01表</w:t>
            </w:r>
          </w:p>
        </w:tc>
      </w:tr>
      <w:tr>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highlight w:val="none"/>
                <w:u w:color="auto"/>
                <w14:textFill>
                  <w14:solidFill>
                    <w14:schemeClr w14:val="tx1"/>
                  </w14:solidFill>
                </w14:textFill>
              </w:rPr>
              <w:t>环江毛南族自治县大才乡中心幼儿园</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88.69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78.38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88.69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88.69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88.69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88.69</w:t>
            </w:r>
          </w:p>
        </w:tc>
      </w:tr>
    </w:tbl>
    <w:p>
      <w:pPr>
        <w:rPr>
          <w:rFonts w:ascii="宋体" w:hAnsi="宋体" w:eastAsia="宋体" w:cs="宋体"/>
          <w:color w:val="000000" w:themeColor="text1"/>
          <w:kern w:val="0"/>
          <w:sz w:val="30"/>
          <w:szCs w:val="30"/>
          <w:highlight w:val="none"/>
          <w:lang w:bidi="ar"/>
          <w14:textFill>
            <w14:solidFill>
              <w14:schemeClr w14:val="tx1"/>
            </w14:solidFill>
          </w14:textFill>
        </w:rPr>
      </w:pPr>
      <w:r>
        <w:rPr>
          <w:rFonts w:hint="eastAsia" w:ascii="宋体" w:hAnsi="宋体" w:eastAsia="宋体" w:cs="宋体"/>
          <w:color w:val="000000" w:themeColor="text1"/>
          <w:kern w:val="0"/>
          <w:sz w:val="30"/>
          <w:szCs w:val="30"/>
          <w:highlight w:val="none"/>
          <w:lang w:bidi="ar"/>
          <w14:textFill>
            <w14:solidFill>
              <w14:schemeClr w14:val="tx1"/>
            </w14:solidFill>
          </w14:textFill>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sz w:val="24"/>
                <w:highlight w:val="none"/>
                <w14:textFill>
                  <w14:solidFill>
                    <w14:schemeClr w14:val="tx1"/>
                  </w14:solidFill>
                </w14:textFill>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公开02表</w:t>
            </w:r>
          </w:p>
        </w:tc>
      </w:tr>
      <w:tr>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highlight w:val="none"/>
                <w:u w:color="auto"/>
                <w14:textFill>
                  <w14:solidFill>
                    <w14:schemeClr w14:val="tx1"/>
                  </w14:solidFill>
                </w14:textFill>
              </w:rPr>
              <w:t>环江毛南族自治县大才乡中心幼儿园</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88.69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88.69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78.38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78.38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78.38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78.38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73.45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73.45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注：本表反映部门本年度取得的各项收入情况。</w:t>
            </w:r>
          </w:p>
        </w:tc>
      </w:tr>
    </w:tbl>
    <w:p>
      <w:pPr>
        <w:jc w:val="center"/>
        <w:rPr>
          <w:rFonts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center"/>
        <w:rPr>
          <w:rFonts w:ascii="仿宋" w:hAnsi="仿宋" w:eastAsia="仿宋" w:cs="仿宋"/>
          <w:color w:val="000000" w:themeColor="text1"/>
          <w:sz w:val="24"/>
          <w:highlight w:val="none"/>
          <w14:textFill>
            <w14:solidFill>
              <w14:schemeClr w14:val="tx1"/>
            </w14:solidFill>
          </w14:textFill>
        </w:rPr>
      </w:pP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表三：支出决算表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highlight w:val="none"/>
                <w:u w:color="auto"/>
                <w14:textFill>
                  <w14:solidFill>
                    <w14:schemeClr w14:val="tx1"/>
                  </w14:solidFill>
                </w14:textFill>
              </w:rPr>
              <w:t>环江毛南族自治县大才乡中心幼儿园</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14:textFill>
                  <w14:solidFill>
                    <w14:schemeClr w14:val="tx1"/>
                  </w14:solidFill>
                </w14:textFill>
              </w:rPr>
            </w:pPr>
            <w:r>
              <w:rPr>
                <w:rFonts w:hint="default" w:ascii="宋体" w:hAnsi="宋体" w:eastAsia="宋体" w:cs="宋体"/>
                <w:b/>
                <w:bCs/>
                <w:color w:val="000000" w:themeColor="text1"/>
                <w:sz w:val="22"/>
                <w:szCs w:val="22"/>
                <w:highlight w:val="none"/>
                <w14:textFill>
                  <w14:solidFill>
                    <w14:schemeClr w14:val="tx1"/>
                  </w14:solidFill>
                </w14:textFill>
              </w:rPr>
              <w:t>88.69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14:textFill>
                  <w14:solidFill>
                    <w14:schemeClr w14:val="tx1"/>
                  </w14:solidFill>
                </w14:textFill>
              </w:rPr>
            </w:pPr>
            <w:r>
              <w:rPr>
                <w:rFonts w:hint="default" w:ascii="宋体" w:hAnsi="宋体" w:eastAsia="宋体" w:cs="宋体"/>
                <w:b/>
                <w:bCs/>
                <w:color w:val="000000" w:themeColor="text1"/>
                <w:sz w:val="22"/>
                <w:szCs w:val="22"/>
                <w:highlight w:val="none"/>
                <w14:textFill>
                  <w14:solidFill>
                    <w14:schemeClr w14:val="tx1"/>
                  </w14:solidFill>
                </w14:textFill>
              </w:rPr>
              <w:t>33.51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55.18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default" w:ascii="宋体" w:hAnsi="宋体" w:eastAsia="宋体" w:cs="宋体"/>
                <w:b/>
                <w:bCs/>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78.38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25.00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53.38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78.38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25.00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53.38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73.45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25.00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48.45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4.94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2.22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2.22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2.22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注：本表反映部门本年度各项支出情况。</w:t>
            </w:r>
          </w:p>
        </w:tc>
      </w:tr>
    </w:tbl>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center"/>
        <w:rPr>
          <w:rFonts w:ascii="仿宋" w:hAnsi="仿宋" w:eastAsia="仿宋" w:cs="仿宋"/>
          <w:color w:val="000000" w:themeColor="text1"/>
          <w:sz w:val="24"/>
          <w:highlight w:val="none"/>
          <w14:textFill>
            <w14:solidFill>
              <w14:schemeClr w14:val="tx1"/>
            </w14:solidFill>
          </w14:textFill>
        </w:rPr>
      </w:pP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表四：财政拨款收入支出决算总表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highlight w:val="none"/>
                <w:u w:color="auto"/>
                <w14:textFill>
                  <w14:solidFill>
                    <w14:schemeClr w14:val="tx1"/>
                  </w14:solidFill>
                </w14:textFill>
              </w:rPr>
              <w:t>环江毛南族自治县大才乡中心幼儿园</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88.69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0.35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78.38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78.38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3.47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2.46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4.02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88.69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88.69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88.69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88.69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88.69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88.69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0"/>
                <w:szCs w:val="20"/>
                <w:highlight w:val="none"/>
                <w14:textFill>
                  <w14:solidFill>
                    <w14:schemeClr w14:val="tx1"/>
                  </w14:solidFill>
                </w14:textFill>
              </w:rPr>
            </w:pPr>
          </w:p>
        </w:tc>
      </w:tr>
    </w:tbl>
    <w:p>
      <w:pPr>
        <w:jc w:val="left"/>
        <w:rPr>
          <w:rFonts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left"/>
        <w:rPr>
          <w:rFonts w:ascii="仿宋" w:hAnsi="仿宋" w:eastAsia="仿宋" w:cs="仿宋"/>
          <w:color w:val="000000" w:themeColor="text1"/>
          <w:sz w:val="24"/>
          <w:highlight w:val="none"/>
          <w14:textFill>
            <w14:solidFill>
              <w14:schemeClr w14:val="tx1"/>
            </w14:solidFill>
          </w14:textFill>
        </w:rPr>
      </w:pP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表五：一般公共预算财政拨款支出决算表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highlight w:val="none"/>
                <w:u w:color="auto"/>
                <w14:textFill>
                  <w14:solidFill>
                    <w14:schemeClr w14:val="tx1"/>
                  </w14:solidFill>
                </w14:textFill>
              </w:rPr>
              <w:t>环江毛南族自治县大才乡中心幼儿园</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14:textFill>
                  <w14:solidFill>
                    <w14:schemeClr w14:val="tx1"/>
                  </w14:solidFill>
                </w14:textFill>
              </w:rPr>
            </w:pPr>
            <w:r>
              <w:rPr>
                <w:rFonts w:hint="default" w:ascii="宋体" w:hAnsi="宋体" w:eastAsia="宋体" w:cs="宋体"/>
                <w:b/>
                <w:bCs/>
                <w:color w:val="000000" w:themeColor="text1"/>
                <w:sz w:val="22"/>
                <w:szCs w:val="22"/>
                <w:highlight w:val="none"/>
                <w14:textFill>
                  <w14:solidFill>
                    <w14:schemeClr w14:val="tx1"/>
                  </w14:solidFill>
                </w14:textFill>
              </w:rPr>
              <w:t>88.69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33.51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55.18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78.38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25.00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53.38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78.38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25.00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53.38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73.45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25.00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48.45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4.94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注：本表反映部门本年度一般公共预算财政拨款支出情况。</w:t>
            </w:r>
          </w:p>
        </w:tc>
      </w:tr>
    </w:tbl>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表六：一般公共预算财政拨款基本支出决算表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highlight w:val="none"/>
                <w:u w:color="auto"/>
                <w14:textFill>
                  <w14:solidFill>
                    <w14:schemeClr w14:val="tx1"/>
                  </w14:solidFill>
                </w14:textFill>
              </w:rPr>
              <w:t>环江毛南族自治县大才乡中心幼儿园</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工资福利支出</w:t>
            </w:r>
            <w:bookmarkStart w:id="1" w:name="OLE_LINK3"/>
            <w:bookmarkStart w:id="2"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33.15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13.96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2.46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人员经费合计</w:t>
            </w:r>
          </w:p>
          <w:bookmarkEnd w:id="1"/>
          <w:bookmarkEnd w:id="2"/>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33.15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0.35</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注：本表反映部门本年度一般公共预算财政拨款基本支出明细情况。</w:t>
            </w:r>
          </w:p>
        </w:tc>
      </w:tr>
    </w:tbl>
    <w:p>
      <w:pPr>
        <w:jc w:val="left"/>
        <w:rPr>
          <w:rFonts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w:t>
      </w:r>
      <w:r>
        <w:rPr>
          <w:rFonts w:hint="eastAsia" w:ascii="仿宋" w:hAnsi="仿宋" w:eastAsia="仿宋" w:cs="仿宋"/>
          <w:color w:val="000000" w:themeColor="text1"/>
          <w:sz w:val="24"/>
          <w:highlight w:val="none"/>
          <w:lang w:val="en-US" w:eastAsia="zh-CN"/>
          <w14:textFill>
            <w14:solidFill>
              <w14:schemeClr w14:val="tx1"/>
            </w14:solidFill>
          </w14:textFill>
        </w:rPr>
        <w:t>七</w:t>
      </w:r>
      <w:r>
        <w:rPr>
          <w:rFonts w:hint="eastAsia" w:ascii="仿宋" w:hAnsi="仿宋" w:eastAsia="仿宋" w:cs="仿宋"/>
          <w:color w:val="000000" w:themeColor="text1"/>
          <w:sz w:val="24"/>
          <w:highlight w:val="none"/>
          <w14:textFill>
            <w14:solidFill>
              <w14:schemeClr w14:val="tx1"/>
            </w14:solidFill>
          </w14:textFill>
        </w:rPr>
        <w:t>：政府性基金预算财政拨款收入支出决算表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0"/>
                <w:szCs w:val="20"/>
                <w:highlight w:val="none"/>
                <w:lang w:bidi="ar"/>
                <w14:textFill>
                  <w14:solidFill>
                    <w14:schemeClr w14:val="tx1"/>
                  </w14:solidFill>
                </w14:textFill>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highlight w:val="none"/>
                <w:u w:color="auto"/>
                <w14:textFill>
                  <w14:solidFill>
                    <w14:schemeClr w14:val="tx1"/>
                  </w14:solidFill>
                </w14:textFill>
              </w:rPr>
              <w:t>环江毛南族自治县大才乡中心幼儿园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说明“本部门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r>
    </w:tbl>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left"/>
        <w:rPr>
          <w:rFonts w:ascii="仿宋" w:hAnsi="仿宋" w:eastAsia="仿宋" w:cs="仿宋"/>
          <w:color w:val="000000" w:themeColor="text1"/>
          <w:sz w:val="24"/>
          <w:highlight w:val="none"/>
          <w14:textFill>
            <w14:solidFill>
              <w14:schemeClr w14:val="tx1"/>
            </w14:solidFill>
          </w14:textFill>
        </w:rPr>
      </w:pP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w:t>
      </w:r>
      <w:r>
        <w:rPr>
          <w:rFonts w:hint="eastAsia" w:ascii="仿宋" w:hAnsi="仿宋" w:eastAsia="仿宋" w:cs="仿宋"/>
          <w:color w:val="000000" w:themeColor="text1"/>
          <w:sz w:val="24"/>
          <w:highlight w:val="none"/>
          <w:lang w:val="en-US" w:eastAsia="zh-CN"/>
          <w14:textFill>
            <w14:solidFill>
              <w14:schemeClr w14:val="tx1"/>
            </w14:solidFill>
          </w14:textFill>
        </w:rPr>
        <w:t>八</w:t>
      </w:r>
      <w:r>
        <w:rPr>
          <w:rFonts w:hint="eastAsia" w:ascii="仿宋" w:hAnsi="仿宋" w:eastAsia="仿宋" w:cs="仿宋"/>
          <w:color w:val="000000" w:themeColor="text1"/>
          <w:sz w:val="24"/>
          <w:highlight w:val="none"/>
          <w14:textFill>
            <w14:solidFill>
              <w14:schemeClr w14:val="tx1"/>
            </w14:solidFill>
          </w14:textFill>
        </w:rPr>
        <w:t>：国有资本经营预算财政拨款支出决算表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0"/>
                <w:szCs w:val="20"/>
                <w:highlight w:val="none"/>
                <w:lang w:bidi="ar"/>
                <w14:textFill>
                  <w14:solidFill>
                    <w14:schemeClr w14:val="tx1"/>
                  </w14:solidFill>
                </w14:textFill>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highlight w:val="none"/>
                <w:u w:color="auto"/>
                <w14:textFill>
                  <w14:solidFill>
                    <w14:schemeClr w14:val="tx1"/>
                  </w14:solidFill>
                </w14:textFill>
              </w:rPr>
              <w:t>环江毛南族自治县大才乡中心幼儿园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说明“本部门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表九：</w:t>
            </w:r>
            <w:r>
              <w:rPr>
                <w:rFonts w:hint="eastAsia" w:ascii="仿宋" w:hAnsi="仿宋" w:eastAsia="仿宋" w:cs="仿宋"/>
                <w:color w:val="000000" w:themeColor="text1"/>
                <w:sz w:val="24"/>
                <w:highlight w:val="none"/>
                <w14:textFill>
                  <w14:solidFill>
                    <w14:schemeClr w14:val="tx1"/>
                  </w14:solidFill>
                </w14:textFill>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30"/>
                <w:szCs w:val="30"/>
                <w:highlight w:val="none"/>
                <w:lang w:bidi="ar"/>
                <w14:textFill>
                  <w14:solidFill>
                    <w14:schemeClr w14:val="tx1"/>
                  </w14:solidFill>
                </w14:textFill>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9</w:t>
            </w:r>
            <w:r>
              <w:rPr>
                <w:rFonts w:hint="eastAsia" w:ascii="宋体" w:hAnsi="宋体" w:eastAsia="宋体" w:cs="宋体"/>
                <w:color w:val="000000" w:themeColor="text1"/>
                <w:kern w:val="0"/>
                <w:sz w:val="20"/>
                <w:szCs w:val="20"/>
                <w:highlight w:val="none"/>
                <w:lang w:bidi="ar"/>
                <w14:textFill>
                  <w14:solidFill>
                    <w14:schemeClr w14:val="tx1"/>
                  </w14:solidFill>
                </w14:textFill>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highlight w:val="none"/>
                <w:u w:color="auto"/>
                <w14:textFill>
                  <w14:solidFill>
                    <w14:schemeClr w14:val="tx1"/>
                  </w14:solidFill>
                </w14:textFill>
              </w:rPr>
              <w:t>环江毛南族自治县大才乡中心幼儿园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说明“本部门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年度没有财政拨款“三公”经费收入，也没有财政拨款“三公”经费安排的支出，故本表无数据”。</w:t>
            </w:r>
          </w:p>
        </w:tc>
      </w:tr>
    </w:tbl>
    <w:p>
      <w:pPr>
        <w:ind w:firstLine="420" w:firstLineChars="0"/>
        <w:jc w:val="left"/>
        <w:rPr>
          <w:rFonts w:ascii="仿宋" w:hAnsi="仿宋" w:eastAsia="仿宋" w:cs="仿宋"/>
          <w:color w:val="000000" w:themeColor="text1"/>
          <w:sz w:val="24"/>
          <w:highlight w:val="none"/>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000000" w:themeColor="text1"/>
          <w:sz w:val="24"/>
          <w:highlight w:val="none"/>
          <w14:textFill>
            <w14:solidFill>
              <w14:schemeClr w14:val="tx1"/>
            </w14:solidFill>
          </w14:textFill>
        </w:rPr>
      </w:pPr>
    </w:p>
    <w:p>
      <w:pPr>
        <w:jc w:val="center"/>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第三部分：</w:t>
      </w:r>
      <w:r>
        <w:rPr>
          <w:rFonts w:ascii="黑体" w:hAnsi="黑体" w:eastAsia="黑体" w:cs="黑体"/>
          <w:color w:val="000000" w:themeColor="text1"/>
          <w:sz w:val="32"/>
          <w:highlight w:val="none"/>
          <w:u w:color="auto"/>
          <w14:textFill>
            <w14:solidFill>
              <w14:schemeClr w14:val="tx1"/>
            </w14:solidFill>
          </w14:textFill>
        </w:rPr>
        <w:t>环江毛南族自治县大才乡中心幼儿园</w:t>
      </w:r>
      <w:r>
        <w:rPr>
          <w:rFonts w:hint="eastAsia" w:ascii="黑体" w:hAnsi="黑体" w:eastAsia="黑体" w:cs="黑体"/>
          <w:color w:val="000000" w:themeColor="text1"/>
          <w:sz w:val="32"/>
          <w:szCs w:val="32"/>
          <w:highlight w:val="none"/>
          <w14:textFill>
            <w14:solidFill>
              <w14:schemeClr w14:val="tx1"/>
            </w14:solidFill>
          </w14:textFill>
        </w:rPr>
        <w:t>2022年度部门决算情况说明</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一、2022年度收入支出决算总体情况</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（一）本部门2022年度总收入</w:t>
      </w:r>
      <w:r>
        <w:rPr>
          <w:rFonts w:ascii="仿宋" w:hAnsi="仿宋" w:eastAsia="仿宋" w:cs="仿宋"/>
          <w:color w:val="000000" w:themeColor="text1"/>
          <w:sz w:val="32"/>
          <w:highlight w:val="none"/>
          <w:u w:color="auto"/>
          <w14:textFill>
            <w14:solidFill>
              <w14:schemeClr w14:val="tx1"/>
            </w14:solidFill>
          </w14:textFill>
        </w:rPr>
        <w:t>88.69</w:t>
      </w:r>
      <w:r>
        <w:rPr>
          <w:rFonts w:hint="eastAsia" w:ascii="仿宋" w:hAnsi="仿宋" w:eastAsia="仿宋" w:cs="仿宋"/>
          <w:color w:val="000000" w:themeColor="text1"/>
          <w:sz w:val="32"/>
          <w:szCs w:val="32"/>
          <w:highlight w:val="none"/>
          <w14:textFill>
            <w14:solidFill>
              <w14:schemeClr w14:val="tx1"/>
            </w14:solidFill>
          </w14:textFill>
        </w:rPr>
        <w:t>万元，较2021年度决算数</w:t>
      </w:r>
      <w:r>
        <w:rPr>
          <w:rFonts w:ascii="仿宋" w:hAnsi="仿宋" w:eastAsia="仿宋" w:cs="仿宋"/>
          <w:color w:val="000000" w:themeColor="text1"/>
          <w:sz w:val="32"/>
          <w:highlight w:val="none"/>
          <w:u w:color="auto"/>
          <w14:textFill>
            <w14:solidFill>
              <w14:schemeClr w14:val="tx1"/>
            </w14:solidFill>
          </w14:textFill>
        </w:rPr>
        <w:t>减少23.85</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highlight w:val="none"/>
          <w:u w:color="auto"/>
          <w14:textFill>
            <w14:solidFill>
              <w14:schemeClr w14:val="tx1"/>
            </w14:solidFill>
          </w14:textFill>
        </w:rPr>
        <w:t>下降21.19%</w:t>
      </w:r>
      <w:r>
        <w:rPr>
          <w:rFonts w:hint="eastAsia" w:ascii="仿宋" w:hAnsi="仿宋" w:eastAsia="仿宋" w:cs="仿宋"/>
          <w:color w:val="000000" w:themeColor="text1"/>
          <w:sz w:val="32"/>
          <w:szCs w:val="32"/>
          <w:highlight w:val="none"/>
          <w14:textFill>
            <w14:solidFill>
              <w14:schemeClr w14:val="tx1"/>
            </w14:solidFill>
          </w14:textFill>
        </w:rPr>
        <w:t>，其中本年收入</w:t>
      </w:r>
      <w:r>
        <w:rPr>
          <w:rFonts w:ascii="仿宋" w:hAnsi="仿宋" w:eastAsia="仿宋" w:cs="仿宋"/>
          <w:color w:val="000000" w:themeColor="text1"/>
          <w:sz w:val="32"/>
          <w:highlight w:val="none"/>
          <w:u w:color="auto"/>
          <w14:textFill>
            <w14:solidFill>
              <w14:schemeClr w14:val="tx1"/>
            </w14:solidFill>
          </w14:textFill>
        </w:rPr>
        <w:t>88.69</w:t>
      </w:r>
      <w:r>
        <w:rPr>
          <w:rFonts w:hint="eastAsia" w:ascii="仿宋" w:hAnsi="仿宋" w:eastAsia="仿宋" w:cs="仿宋"/>
          <w:color w:val="000000" w:themeColor="text1"/>
          <w:sz w:val="32"/>
          <w:szCs w:val="32"/>
          <w:highlight w:val="none"/>
          <w14:textFill>
            <w14:solidFill>
              <w14:schemeClr w14:val="tx1"/>
            </w14:solidFill>
          </w14:textFill>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1.一般公共预算财政拨款收入</w:t>
      </w:r>
      <w:r>
        <w:rPr>
          <w:rFonts w:ascii="仿宋" w:hAnsi="仿宋" w:eastAsia="仿宋" w:cs="仿宋"/>
          <w:color w:val="000000" w:themeColor="text1"/>
          <w:sz w:val="32"/>
          <w:highlight w:val="none"/>
          <w:u w:color="auto"/>
          <w14:textFill>
            <w14:solidFill>
              <w14:schemeClr w14:val="tx1"/>
            </w14:solidFill>
          </w14:textFill>
        </w:rPr>
        <w:t>88.69</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w:t>
      </w:r>
      <w:r>
        <w:rPr>
          <w:rFonts w:hint="eastAsia" w:ascii="仿宋" w:hAnsi="仿宋" w:eastAsia="仿宋" w:cs="仿宋"/>
          <w:color w:val="000000" w:themeColor="text1"/>
          <w:sz w:val="32"/>
          <w:szCs w:val="32"/>
          <w:highlight w:val="none"/>
          <w14:textFill>
            <w14:solidFill>
              <w14:schemeClr w14:val="tx1"/>
            </w14:solidFill>
          </w14:textFill>
        </w:rPr>
        <w:t>环江毛南族自治县</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本级财政当年拨付的资金。较2021年度决算数</w:t>
      </w:r>
      <w:r>
        <w:rPr>
          <w:rFonts w:ascii="仿宋" w:hAnsi="仿宋" w:eastAsia="仿宋" w:cs="仿宋"/>
          <w:color w:val="000000" w:themeColor="text1"/>
          <w:sz w:val="32"/>
          <w:highlight w:val="none"/>
          <w:u w:color="auto"/>
          <w14:textFill>
            <w14:solidFill>
              <w14:schemeClr w14:val="tx1"/>
            </w14:solidFill>
          </w14:textFill>
        </w:rPr>
        <w:t>增加3.26</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highlight w:val="none"/>
          <w:u w:color="auto"/>
          <w14:textFill>
            <w14:solidFill>
              <w14:schemeClr w14:val="tx1"/>
            </w14:solidFill>
          </w14:textFill>
        </w:rPr>
        <w:t>增长3.82%</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，主要原因：2021年还有上年结转数，而2023年上年无结转，全部纳入一般公共预算财政拨款收入。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2.政府性基金预算财政拨款收入</w:t>
      </w:r>
      <w:r>
        <w:rPr>
          <w:rFonts w:ascii="仿宋" w:hAnsi="仿宋" w:eastAsia="仿宋" w:cs="仿宋"/>
          <w:color w:val="000000" w:themeColor="text1"/>
          <w:sz w:val="32"/>
          <w:highlight w:val="none"/>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w:t>
      </w:r>
      <w:r>
        <w:rPr>
          <w:rFonts w:hint="eastAsia" w:ascii="仿宋" w:hAnsi="仿宋" w:eastAsia="仿宋" w:cs="仿宋"/>
          <w:color w:val="000000" w:themeColor="text1"/>
          <w:sz w:val="32"/>
          <w:szCs w:val="32"/>
          <w:highlight w:val="none"/>
          <w14:textFill>
            <w14:solidFill>
              <w14:schemeClr w14:val="tx1"/>
            </w14:solidFill>
          </w14:textFill>
        </w:rPr>
        <w:t>环江毛南族自治县</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本级财政当年拨付的资金。较2021年度决算数</w:t>
      </w:r>
      <w:r>
        <w:rPr>
          <w:rFonts w:ascii="仿宋" w:hAnsi="仿宋" w:eastAsia="仿宋" w:cs="仿宋"/>
          <w:color w:val="000000" w:themeColor="text1"/>
          <w:sz w:val="32"/>
          <w:highlight w:val="none"/>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highlight w:val="none"/>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，主要原因：本部门2022年度没有政府性基金预算财政拨款收入，也没有政府性基金预算财政拨款安排的支出。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3.国有资本经营预算财政拨款收入</w:t>
      </w:r>
      <w:r>
        <w:rPr>
          <w:rFonts w:ascii="仿宋" w:hAnsi="仿宋" w:eastAsia="仿宋" w:cs="仿宋"/>
          <w:color w:val="000000" w:themeColor="text1"/>
          <w:sz w:val="32"/>
          <w:highlight w:val="none"/>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w:t>
      </w:r>
      <w:r>
        <w:rPr>
          <w:rFonts w:hint="eastAsia" w:ascii="仿宋" w:hAnsi="仿宋" w:eastAsia="仿宋" w:cs="仿宋"/>
          <w:color w:val="000000" w:themeColor="text1"/>
          <w:sz w:val="32"/>
          <w:szCs w:val="32"/>
          <w:highlight w:val="none"/>
          <w14:textFill>
            <w14:solidFill>
              <w14:schemeClr w14:val="tx1"/>
            </w14:solidFill>
          </w14:textFill>
        </w:rPr>
        <w:t>环江毛南族自治县</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本级财政当年拨付的资金。较2021年度决算数</w:t>
      </w:r>
      <w:r>
        <w:rPr>
          <w:rFonts w:ascii="仿宋" w:hAnsi="仿宋" w:eastAsia="仿宋" w:cs="仿宋"/>
          <w:color w:val="000000" w:themeColor="text1"/>
          <w:sz w:val="32"/>
          <w:highlight w:val="none"/>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highlight w:val="none"/>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，主要原因是：本部门2022年度没有国有资本经营预算财政拨款收入，也没有国有资本经营预算财政拨款安排的支出。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4.上级补助收入</w:t>
      </w:r>
      <w:r>
        <w:rPr>
          <w:rFonts w:ascii="仿宋" w:hAnsi="仿宋" w:eastAsia="仿宋" w:cs="仿宋"/>
          <w:color w:val="000000" w:themeColor="text1"/>
          <w:sz w:val="32"/>
          <w:highlight w:val="none"/>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万元，为上级部门当年拨付的资金。较2021年度决算数</w:t>
      </w:r>
      <w:r>
        <w:rPr>
          <w:rFonts w:ascii="仿宋" w:hAnsi="仿宋" w:eastAsia="仿宋" w:cs="仿宋"/>
          <w:color w:val="000000" w:themeColor="text1"/>
          <w:sz w:val="32"/>
          <w:highlight w:val="none"/>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highlight w:val="none"/>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5.事业收入</w:t>
      </w:r>
      <w:r>
        <w:rPr>
          <w:rFonts w:ascii="仿宋" w:hAnsi="仿宋" w:eastAsia="仿宋" w:cs="仿宋"/>
          <w:color w:val="000000" w:themeColor="text1"/>
          <w:sz w:val="32"/>
          <w:highlight w:val="none"/>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万元，为事业单位开展业务活动取得的收入。较2021年度决算数</w:t>
      </w:r>
      <w:r>
        <w:rPr>
          <w:rFonts w:ascii="仿宋" w:hAnsi="仿宋" w:eastAsia="仿宋" w:cs="仿宋"/>
          <w:color w:val="000000" w:themeColor="text1"/>
          <w:sz w:val="32"/>
          <w:highlight w:val="none"/>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highlight w:val="none"/>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6.经营收入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0.00万,为事业单位在业务活动之外开展非独立核算经营活动取得的收入。较2021年度决算数</w:t>
      </w:r>
      <w:r>
        <w:rPr>
          <w:rFonts w:ascii="仿宋" w:hAnsi="仿宋" w:eastAsia="仿宋" w:cs="仿宋"/>
          <w:color w:val="000000" w:themeColor="text1"/>
          <w:sz w:val="32"/>
          <w:highlight w:val="none"/>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highlight w:val="none"/>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7.附属单位上缴收入</w:t>
      </w:r>
      <w:r>
        <w:rPr>
          <w:rFonts w:ascii="仿宋" w:hAnsi="仿宋" w:eastAsia="仿宋" w:cs="仿宋"/>
          <w:color w:val="000000" w:themeColor="text1"/>
          <w:sz w:val="32"/>
          <w:highlight w:val="none"/>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万元。较2021年度决算数</w:t>
      </w:r>
      <w:r>
        <w:rPr>
          <w:rFonts w:ascii="仿宋" w:hAnsi="仿宋" w:eastAsia="仿宋" w:cs="仿宋"/>
          <w:color w:val="000000" w:themeColor="text1"/>
          <w:sz w:val="32"/>
          <w:highlight w:val="none"/>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highlight w:val="none"/>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8.其他收入</w:t>
      </w:r>
      <w:r>
        <w:rPr>
          <w:rFonts w:ascii="仿宋" w:hAnsi="仿宋" w:eastAsia="仿宋" w:cs="仿宋"/>
          <w:color w:val="000000" w:themeColor="text1"/>
          <w:sz w:val="32"/>
          <w:highlight w:val="none"/>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万元,为预算单位在“财政拨款收入”“事业收入”“经营收入”之外取得的收入。较2021年度决算数</w:t>
      </w:r>
      <w:r>
        <w:rPr>
          <w:rFonts w:ascii="仿宋" w:hAnsi="仿宋" w:eastAsia="仿宋" w:cs="仿宋"/>
          <w:color w:val="000000" w:themeColor="text1"/>
          <w:sz w:val="32"/>
          <w:highlight w:val="none"/>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highlight w:val="none"/>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9.使用非财政拨款结余</w:t>
      </w:r>
      <w:r>
        <w:rPr>
          <w:rFonts w:ascii="仿宋" w:hAnsi="仿宋" w:eastAsia="仿宋" w:cs="仿宋"/>
          <w:color w:val="000000" w:themeColor="text1"/>
          <w:sz w:val="32"/>
          <w:highlight w:val="none"/>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000000" w:themeColor="text1"/>
          <w:sz w:val="32"/>
          <w:highlight w:val="none"/>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highlight w:val="none"/>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10.上年结转和结余</w:t>
      </w:r>
      <w:r>
        <w:rPr>
          <w:rFonts w:ascii="仿宋" w:hAnsi="仿宋" w:eastAsia="仿宋" w:cs="仿宋"/>
          <w:color w:val="000000" w:themeColor="text1"/>
          <w:sz w:val="32"/>
          <w:highlight w:val="none"/>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万元，为以前年度支出预算因客观条件变化未执行完毕、结转到本年度按有关规定继续使用的资金。较2021年度决算数</w:t>
      </w:r>
      <w:r>
        <w:rPr>
          <w:rFonts w:ascii="仿宋" w:hAnsi="仿宋" w:eastAsia="仿宋" w:cs="仿宋"/>
          <w:color w:val="000000" w:themeColor="text1"/>
          <w:sz w:val="32"/>
          <w:highlight w:val="none"/>
          <w:u w:color="auto"/>
          <w14:textFill>
            <w14:solidFill>
              <w14:schemeClr w14:val="tx1"/>
            </w14:solidFill>
          </w14:textFill>
        </w:rPr>
        <w:t>减少27.11</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highlight w:val="none"/>
          <w:u w:color="auto"/>
          <w14:textFill>
            <w14:solidFill>
              <w14:schemeClr w14:val="tx1"/>
            </w14:solidFill>
          </w14:textFill>
        </w:rPr>
        <w:t>下降100.00%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，主要原因：部分项目已在本年执行完毕，不需要结转至下年继续执行。</w:t>
      </w:r>
    </w:p>
    <w:p>
      <w:pPr>
        <w:jc w:val="center"/>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5080000" cy="2915285"/>
            <wp:effectExtent l="4445" t="4445" r="2095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（二）本部门2022年度总支出</w:t>
      </w:r>
      <w:r>
        <w:rPr>
          <w:rFonts w:ascii="仿宋" w:hAnsi="仿宋" w:eastAsia="仿宋" w:cs="仿宋"/>
          <w:color w:val="000000" w:themeColor="text1"/>
          <w:sz w:val="32"/>
          <w:highlight w:val="none"/>
          <w:u w:color="auto"/>
          <w14:textFill>
            <w14:solidFill>
              <w14:schemeClr w14:val="tx1"/>
            </w14:solidFill>
          </w14:textFill>
        </w:rPr>
        <w:t>88.69</w:t>
      </w:r>
      <w:r>
        <w:rPr>
          <w:rFonts w:hint="eastAsia" w:ascii="仿宋" w:hAnsi="仿宋" w:eastAsia="仿宋" w:cs="仿宋"/>
          <w:color w:val="000000" w:themeColor="text1"/>
          <w:sz w:val="32"/>
          <w:szCs w:val="32"/>
          <w:highlight w:val="none"/>
          <w14:textFill>
            <w14:solidFill>
              <w14:schemeClr w14:val="tx1"/>
            </w14:solidFill>
          </w14:textFill>
        </w:rPr>
        <w:t>万元，其中本年支出</w:t>
      </w:r>
      <w:r>
        <w:rPr>
          <w:rFonts w:ascii="仿宋" w:hAnsi="仿宋" w:eastAsia="仿宋" w:cs="仿宋"/>
          <w:color w:val="000000" w:themeColor="text1"/>
          <w:sz w:val="32"/>
          <w:highlight w:val="none"/>
          <w:u w:color="auto"/>
          <w14:textFill>
            <w14:solidFill>
              <w14:schemeClr w14:val="tx1"/>
            </w14:solidFill>
          </w14:textFill>
        </w:rPr>
        <w:t>88.69</w:t>
      </w:r>
      <w:r>
        <w:rPr>
          <w:rFonts w:hint="eastAsia" w:ascii="仿宋" w:hAnsi="仿宋" w:eastAsia="仿宋" w:cs="仿宋"/>
          <w:color w:val="000000" w:themeColor="text1"/>
          <w:sz w:val="32"/>
          <w:szCs w:val="32"/>
          <w:highlight w:val="none"/>
          <w14:textFill>
            <w14:solidFill>
              <w14:schemeClr w14:val="tx1"/>
            </w14:solidFill>
          </w14:textFill>
        </w:rPr>
        <w:t>万元，较2021年度决算数</w:t>
      </w:r>
      <w:r>
        <w:rPr>
          <w:rFonts w:ascii="仿宋" w:hAnsi="仿宋" w:eastAsia="仿宋" w:cs="仿宋"/>
          <w:color w:val="000000" w:themeColor="text1"/>
          <w:sz w:val="32"/>
          <w:highlight w:val="none"/>
          <w:u w:color="auto"/>
          <w14:textFill>
            <w14:solidFill>
              <w14:schemeClr w14:val="tx1"/>
            </w14:solidFill>
          </w14:textFill>
        </w:rPr>
        <w:t>减少23.85</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highlight w:val="none"/>
          <w:u w:color="auto"/>
          <w14:textFill>
            <w14:solidFill>
              <w14:schemeClr w14:val="tx1"/>
            </w14:solidFill>
          </w14:textFill>
        </w:rPr>
        <w:t>下降21.19%</w:t>
      </w:r>
      <w:r>
        <w:rPr>
          <w:rFonts w:hint="eastAsia" w:ascii="仿宋" w:hAnsi="仿宋" w:eastAsia="仿宋" w:cs="仿宋"/>
          <w:color w:val="000000" w:themeColor="text1"/>
          <w:sz w:val="32"/>
          <w:szCs w:val="32"/>
          <w:highlight w:val="none"/>
          <w14:textFill>
            <w14:solidFill>
              <w14:schemeClr w14:val="tx1"/>
            </w14:solidFill>
          </w14:textFill>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w:t>
      </w:r>
      <w:r>
        <w:rPr>
          <w:rFonts w:ascii="仿宋" w:hAnsi="仿宋" w:eastAsia="仿宋" w:cs="仿宋"/>
          <w:color w:val="000000" w:themeColor="text1"/>
          <w:sz w:val="32"/>
          <w:highlight w:val="none"/>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一般公共服务支出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201</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bidi="ar"/>
          <w14:textFill>
            <w14:solidFill>
              <w14:schemeClr w14:val="tx1"/>
            </w14:solidFill>
          </w14:textFill>
        </w:rPr>
        <w:t>0.35</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工会活动经费支出</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增加0.35</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增长100%</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主要原因是：2022年新增教师及开展工会活动。</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w:t>
      </w:r>
      <w:r>
        <w:rPr>
          <w:rFonts w:ascii="仿宋" w:hAnsi="仿宋" w:eastAsia="仿宋" w:cs="仿宋"/>
          <w:color w:val="000000" w:themeColor="text1"/>
          <w:sz w:val="32"/>
          <w:highlight w:val="none"/>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教育支出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205</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bidi="ar"/>
          <w14:textFill>
            <w14:solidFill>
              <w14:schemeClr w14:val="tx1"/>
            </w14:solidFill>
          </w14:textFill>
        </w:rPr>
        <w:t>78.38</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人员基本工资，商品服务支出</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减少30.62</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下降28.09%</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主要原因是：2021年还有上年结转数，而2023年上年无结转，全部纳入一般公共预算财政拨款收入。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w:t>
      </w:r>
      <w:r>
        <w:rPr>
          <w:rFonts w:ascii="仿宋" w:hAnsi="仿宋" w:eastAsia="仿宋" w:cs="仿宋"/>
          <w:color w:val="000000" w:themeColor="text1"/>
          <w:sz w:val="32"/>
          <w:highlight w:val="none"/>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社会保障和就业支出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208</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bidi="ar"/>
          <w14:textFill>
            <w14:solidFill>
              <w14:schemeClr w14:val="tx1"/>
            </w14:solidFill>
          </w14:textFill>
        </w:rPr>
        <w:t>3.47</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单位基本社会保险缴费</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增加0.87</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增长33.46%</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主要原因是：2022年新增教师。</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w:t>
      </w:r>
      <w:r>
        <w:rPr>
          <w:rFonts w:ascii="仿宋" w:hAnsi="仿宋" w:eastAsia="仿宋" w:cs="仿宋"/>
          <w:color w:val="000000" w:themeColor="text1"/>
          <w:sz w:val="32"/>
          <w:highlight w:val="none"/>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住房保障支出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221</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bidi="ar"/>
          <w14:textFill>
            <w14:solidFill>
              <w14:schemeClr w14:val="tx1"/>
            </w14:solidFill>
          </w14:textFill>
        </w:rPr>
        <w:t>2.46</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住房公积金缴费</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增加1.51</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增长158.95%</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主要原因是：基数有调增及新增教师。</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w:t>
      </w:r>
      <w:r>
        <w:rPr>
          <w:rFonts w:ascii="仿宋" w:hAnsi="仿宋" w:eastAsia="仿宋" w:cs="仿宋"/>
          <w:color w:val="000000" w:themeColor="text1"/>
          <w:sz w:val="32"/>
          <w:highlight w:val="none"/>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其他支出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229</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bidi="ar"/>
          <w14:textFill>
            <w14:solidFill>
              <w14:schemeClr w14:val="tx1"/>
            </w14:solidFill>
          </w14:textFill>
        </w:rPr>
        <w:t>4.02</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人员工资福利</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增加4.02</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增长100%</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主要原因是：2022年度工资福利发放人员有所增加。</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000000" w:themeColor="text1"/>
          <w:sz w:val="32"/>
          <w:szCs w:val="32"/>
          <w:highlight w:val="none"/>
          <w:lang w:eastAsia="zh-CN" w:bidi="ar"/>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结余分配</w:t>
      </w:r>
      <w:r>
        <w:rPr>
          <w:rFonts w:hint="eastAsia" w:ascii="仿宋_GB2312" w:hAnsi="微软雅黑" w:eastAsia="仿宋_GB2312" w:cs="仿宋_GB2312"/>
          <w:color w:val="000000" w:themeColor="text1"/>
          <w:sz w:val="31"/>
          <w:szCs w:val="31"/>
          <w:highlight w:val="none"/>
          <w:shd w:val="clear" w:color="auto" w:fill="FFFFFF"/>
          <w14:textFill>
            <w14:solidFill>
              <w14:schemeClr w14:val="tx1"/>
            </w14:solidFill>
          </w14:textFill>
        </w:rPr>
        <w:t>0.00</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万元，为事业单位按规定提取的专用结余、缴纳所得税和转入非财政拨款结余等。较202</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val="en-US" w:eastAsia="zh-CN"/>
          <w14:textFill>
            <w14:solidFill>
              <w14:schemeClr w14:val="tx1"/>
            </w14:solidFill>
          </w14:textFill>
        </w:rPr>
        <w:t>1</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年决算</w:t>
      </w:r>
      <w:r>
        <w:rPr>
          <w:rFonts w:hint="eastAsia" w:ascii="仿宋_GB2312" w:hAnsi="微软雅黑" w:eastAsia="仿宋_GB2312" w:cs="仿宋_GB2312"/>
          <w:color w:val="000000" w:themeColor="text1"/>
          <w:sz w:val="31"/>
          <w:szCs w:val="31"/>
          <w:highlight w:val="none"/>
          <w:shd w:val="clear" w:color="auto" w:fill="FFFFFF"/>
          <w14:textFill>
            <w14:solidFill>
              <w14:schemeClr w14:val="tx1"/>
            </w14:solidFill>
          </w14:textFill>
        </w:rPr>
        <w:t>0.00</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万元</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val="en-US" w:eastAsia="zh-CN"/>
          <w14:textFill>
            <w14:solidFill>
              <w14:schemeClr w14:val="tx1"/>
            </w14:solidFill>
          </w14:textFill>
        </w:rPr>
        <w:t>,</w:t>
      </w:r>
      <w:r>
        <w:rPr>
          <w:rFonts w:hint="eastAsia" w:ascii="仿宋_GB2312" w:hAnsi="微软雅黑" w:eastAsia="仿宋_GB2312" w:cs="仿宋_GB2312"/>
          <w:color w:val="000000" w:themeColor="text1"/>
          <w:sz w:val="31"/>
          <w:szCs w:val="31"/>
          <w:highlight w:val="none"/>
          <w:shd w:val="clear" w:color="auto" w:fill="FFFFFF"/>
          <w14:textFill>
            <w14:solidFill>
              <w14:schemeClr w14:val="tx1"/>
            </w14:solidFill>
          </w14:textFill>
        </w:rPr>
        <w:t>增加0.00</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万元，</w:t>
      </w:r>
      <w:r>
        <w:rPr>
          <w:rFonts w:hint="eastAsia" w:ascii="仿宋_GB2312" w:hAnsi="微软雅黑" w:eastAsia="仿宋_GB2312" w:cs="仿宋_GB2312"/>
          <w:color w:val="000000" w:themeColor="text1"/>
          <w:sz w:val="31"/>
          <w:szCs w:val="31"/>
          <w:highlight w:val="none"/>
          <w:shd w:val="clear" w:color="auto" w:fill="FFFFFF"/>
          <w14:textFill>
            <w14:solidFill>
              <w14:schemeClr w14:val="tx1"/>
            </w14:solidFill>
          </w14:textFill>
        </w:rPr>
        <w:t>增长0%</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：无按规定提取的专用结余、缴纳所得税和转入非财政拨款结余额。</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年末结转和结余</w:t>
      </w:r>
      <w:r>
        <w:rPr>
          <w:rFonts w:ascii="仿宋" w:hAnsi="仿宋" w:eastAsia="仿宋" w:cs="仿宋"/>
          <w:color w:val="000000" w:themeColor="text1"/>
          <w:sz w:val="32"/>
          <w:highlight w:val="none"/>
          <w:u w:color="auto"/>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万元，为本年度或以前年度预算安排、因客观条件发生变化无法按原计划实施，需要延迟到以后年度按有关规定继续使用的资金。较2021年度决算数</w:t>
      </w:r>
      <w:r>
        <w:rPr>
          <w:rFonts w:ascii="仿宋" w:hAnsi="仿宋" w:eastAsia="仿宋" w:cs="仿宋"/>
          <w:color w:val="000000" w:themeColor="text1"/>
          <w:sz w:val="32"/>
          <w:highlight w:val="none"/>
          <w:u w:color="auto"/>
          <w14:textFill>
            <w14:solidFill>
              <w14:schemeClr w14:val="tx1"/>
            </w14:solidFill>
          </w14:textFill>
        </w:rPr>
        <w:t>增加0.00</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highlight w:val="none"/>
          <w:u w:color="auto"/>
          <w14:textFill>
            <w14:solidFill>
              <w14:schemeClr w14:val="tx1"/>
            </w14:solidFill>
          </w14:textFill>
        </w:rPr>
        <w:t>增长0%</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主要原因是：2022年按年度预算安排按原计划实施，无延迟继续使用的资金。</w:t>
      </w:r>
    </w:p>
    <w:p>
      <w:pPr>
        <w:ind w:firstLine="640" w:firstLineChars="200"/>
        <w:jc w:val="center"/>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241800" cy="27940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二、2022 年度</w:t>
      </w:r>
      <w:bookmarkStart w:id="3" w:name="OLE_LINK1"/>
      <w:r>
        <w:rPr>
          <w:rFonts w:hint="eastAsia" w:ascii="黑体" w:hAnsi="黑体" w:eastAsia="黑体" w:cs="黑体"/>
          <w:color w:val="000000" w:themeColor="text1"/>
          <w:sz w:val="32"/>
          <w:szCs w:val="32"/>
          <w:highlight w:val="none"/>
          <w14:textFill>
            <w14:solidFill>
              <w14:schemeClr w14:val="tx1"/>
            </w14:solidFill>
          </w14:textFill>
        </w:rPr>
        <w:t>一般公共预算财政拨款支出决算情况</w:t>
      </w:r>
      <w:bookmarkEnd w:id="3"/>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环江毛南族自治县大才乡中心幼儿园2022年度一般公共预算财政拨款支出</w:t>
      </w:r>
      <w:r>
        <w:rPr>
          <w:rFonts w:ascii="仿宋" w:hAnsi="仿宋" w:eastAsia="仿宋" w:cs="仿宋"/>
          <w:color w:val="000000" w:themeColor="text1"/>
          <w:sz w:val="32"/>
          <w:highlight w:val="none"/>
          <w:u w:color="auto"/>
          <w14:textFill>
            <w14:solidFill>
              <w14:schemeClr w14:val="tx1"/>
            </w14:solidFill>
          </w14:textFill>
        </w:rPr>
        <w:t>88.69</w:t>
      </w:r>
      <w:r>
        <w:rPr>
          <w:rFonts w:hint="eastAsia" w:ascii="仿宋" w:hAnsi="仿宋" w:eastAsia="仿宋" w:cs="仿宋"/>
          <w:color w:val="000000" w:themeColor="text1"/>
          <w:sz w:val="32"/>
          <w:szCs w:val="32"/>
          <w:highlight w:val="none"/>
          <w14:textFill>
            <w14:solidFill>
              <w14:schemeClr w14:val="tx1"/>
            </w14:solidFill>
          </w14:textFill>
        </w:rPr>
        <w:t>万元，较2021年度决算数</w:t>
      </w:r>
      <w:r>
        <w:rPr>
          <w:rFonts w:ascii="仿宋" w:hAnsi="仿宋" w:eastAsia="仿宋" w:cs="仿宋"/>
          <w:color w:val="000000" w:themeColor="text1"/>
          <w:sz w:val="32"/>
          <w:highlight w:val="none"/>
          <w:u w:color="auto"/>
          <w14:textFill>
            <w14:solidFill>
              <w14:schemeClr w14:val="tx1"/>
            </w14:solidFill>
          </w14:textFill>
        </w:rPr>
        <w:t>减少23.85</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highlight w:val="none"/>
          <w:u w:color="auto"/>
          <w14:textFill>
            <w14:solidFill>
              <w14:schemeClr w14:val="tx1"/>
            </w14:solidFill>
          </w14:textFill>
        </w:rPr>
        <w:t>下降21.19%</w:t>
      </w:r>
      <w:r>
        <w:rPr>
          <w:rFonts w:hint="eastAsia" w:ascii="仿宋" w:hAnsi="仿宋" w:eastAsia="仿宋" w:cs="仿宋"/>
          <w:color w:val="000000" w:themeColor="text1"/>
          <w:sz w:val="32"/>
          <w:szCs w:val="32"/>
          <w:highlight w:val="none"/>
          <w14:textFill>
            <w14:solidFill>
              <w14:schemeClr w14:val="tx1"/>
            </w14:solidFill>
          </w14:textFill>
        </w:rPr>
        <w:t>。其中：基本支出</w:t>
      </w:r>
      <w:r>
        <w:rPr>
          <w:rFonts w:ascii="仿宋" w:hAnsi="仿宋" w:eastAsia="仿宋" w:cs="仿宋"/>
          <w:color w:val="000000" w:themeColor="text1"/>
          <w:sz w:val="32"/>
          <w:highlight w:val="none"/>
          <w:u w:color="auto"/>
          <w14:textFill>
            <w14:solidFill>
              <w14:schemeClr w14:val="tx1"/>
            </w14:solidFill>
          </w14:textFill>
        </w:rPr>
        <w:t>33.51</w:t>
      </w:r>
      <w:r>
        <w:rPr>
          <w:rFonts w:hint="eastAsia" w:ascii="仿宋" w:hAnsi="仿宋" w:eastAsia="仿宋" w:cs="仿宋"/>
          <w:color w:val="000000" w:themeColor="text1"/>
          <w:sz w:val="32"/>
          <w:szCs w:val="32"/>
          <w:highlight w:val="none"/>
          <w14:textFill>
            <w14:solidFill>
              <w14:schemeClr w14:val="tx1"/>
            </w14:solidFill>
          </w14:textFill>
        </w:rPr>
        <w:t>万元，项目支出</w:t>
      </w:r>
      <w:r>
        <w:rPr>
          <w:rFonts w:ascii="仿宋" w:hAnsi="仿宋" w:eastAsia="仿宋" w:cs="仿宋"/>
          <w:color w:val="000000" w:themeColor="text1"/>
          <w:sz w:val="32"/>
          <w:highlight w:val="none"/>
          <w:u w:color="auto"/>
          <w14:textFill>
            <w14:solidFill>
              <w14:schemeClr w14:val="tx1"/>
            </w14:solidFill>
          </w14:textFill>
        </w:rPr>
        <w:t>55.18</w:t>
      </w:r>
      <w:r>
        <w:rPr>
          <w:rFonts w:hint="eastAsia" w:ascii="仿宋" w:hAnsi="仿宋" w:eastAsia="仿宋" w:cs="仿宋"/>
          <w:color w:val="000000" w:themeColor="text1"/>
          <w:sz w:val="32"/>
          <w:szCs w:val="32"/>
          <w:highlight w:val="none"/>
          <w14:textFill>
            <w14:solidFill>
              <w14:schemeClr w14:val="tx1"/>
            </w14:solidFill>
          </w14:textFill>
        </w:rPr>
        <w:t>万元。</w:t>
      </w:r>
    </w:p>
    <w:p>
      <w:pPr>
        <w:ind w:firstLine="640" w:firstLineChars="200"/>
        <w:jc w:val="lef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环江毛南族自治县大才乡中心幼儿园2022 年度一般公共预算财政拨款支出年初预算为</w:t>
      </w:r>
      <w:r>
        <w:rPr>
          <w:rFonts w:ascii="仿宋" w:hAnsi="仿宋" w:eastAsia="仿宋" w:cs="仿宋"/>
          <w:color w:val="000000" w:themeColor="text1"/>
          <w:sz w:val="32"/>
          <w:highlight w:val="none"/>
          <w:u w:color="auto"/>
          <w14:textFill>
            <w14:solidFill>
              <w14:schemeClr w14:val="tx1"/>
            </w14:solidFill>
          </w14:textFill>
        </w:rPr>
        <w:t>91.07</w:t>
      </w:r>
      <w:r>
        <w:rPr>
          <w:rFonts w:hint="eastAsia" w:ascii="仿宋" w:hAnsi="仿宋" w:eastAsia="仿宋" w:cs="仿宋"/>
          <w:color w:val="000000" w:themeColor="text1"/>
          <w:sz w:val="32"/>
          <w:szCs w:val="32"/>
          <w:highlight w:val="none"/>
          <w14:textFill>
            <w14:solidFill>
              <w14:schemeClr w14:val="tx1"/>
            </w14:solidFill>
          </w14:textFill>
        </w:rPr>
        <w:t>万元，支出决算为</w:t>
      </w:r>
      <w:r>
        <w:rPr>
          <w:rFonts w:ascii="仿宋" w:hAnsi="仿宋" w:eastAsia="仿宋" w:cs="仿宋"/>
          <w:color w:val="000000" w:themeColor="text1"/>
          <w:sz w:val="32"/>
          <w:highlight w:val="none"/>
          <w:u w:color="auto"/>
          <w14:textFill>
            <w14:solidFill>
              <w14:schemeClr w14:val="tx1"/>
            </w14:solidFill>
          </w14:textFill>
        </w:rPr>
        <w:t>88.69</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highlight w:val="none"/>
          <w:u w:color="auto"/>
          <w14:textFill>
            <w14:solidFill>
              <w14:schemeClr w14:val="tx1"/>
            </w14:solidFill>
          </w14:textFill>
        </w:rPr>
        <w:t>97.39%</w:t>
      </w:r>
      <w:r>
        <w:rPr>
          <w:rFonts w:hint="eastAsia" w:ascii="仿宋" w:hAnsi="仿宋" w:eastAsia="仿宋" w:cs="仿宋"/>
          <w:color w:val="000000" w:themeColor="text1"/>
          <w:sz w:val="32"/>
          <w:szCs w:val="32"/>
          <w:highlight w:val="none"/>
          <w14:textFill>
            <w14:solidFill>
              <w14:schemeClr w14:val="tx1"/>
            </w14:solidFill>
          </w14:textFill>
        </w:rPr>
        <w:t>。</w:t>
      </w:r>
      <w:bookmarkStart w:id="4" w:name="OLE_LINK2"/>
      <w:bookmarkEnd w:id="4"/>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一般公共服务支出</w:t>
      </w:r>
      <w:r>
        <w:rPr>
          <w:rFonts w:ascii="仿宋" w:hAnsi="仿宋" w:eastAsia="仿宋"/>
          <w:color w:val="000000" w:themeColor="text1"/>
          <w:sz w:val="32"/>
          <w:highlight w:val="none"/>
          <w:u w:color="auto"/>
          <w14:textFill>
            <w14:solidFill>
              <w14:schemeClr w14:val="tx1"/>
            </w14:solidFill>
          </w14:textFill>
        </w:rPr>
        <w:t>（201</w:t>
      </w:r>
      <w:r>
        <w:rPr>
          <w:rFonts w:hint="eastAsia" w:ascii="仿宋" w:hAnsi="仿宋" w:eastAsia="仿宋"/>
          <w:color w:val="000000" w:themeColor="text1"/>
          <w:sz w:val="32"/>
          <w:szCs w:val="32"/>
          <w:highlight w:val="none"/>
          <w14:textFill>
            <w14:solidFill>
              <w14:schemeClr w14:val="tx1"/>
            </w14:solidFill>
          </w14:textFill>
        </w:rPr>
        <w:t>类）年初预算为</w:t>
      </w:r>
      <w:r>
        <w:rPr>
          <w:rFonts w:ascii="仿宋" w:hAnsi="仿宋" w:eastAsia="仿宋"/>
          <w:color w:val="000000" w:themeColor="text1"/>
          <w:sz w:val="32"/>
          <w:szCs w:val="32"/>
          <w:highlight w:val="none"/>
          <w14:textFill>
            <w14:solidFill>
              <w14:schemeClr w14:val="tx1"/>
            </w14:solidFill>
          </w14:textFill>
        </w:rPr>
        <w:t>0.35</w:t>
      </w:r>
      <w:r>
        <w:rPr>
          <w:rFonts w:hint="eastAsia" w:ascii="仿宋" w:hAnsi="仿宋" w:eastAsia="仿宋"/>
          <w:color w:val="000000" w:themeColor="text1"/>
          <w:sz w:val="32"/>
          <w:szCs w:val="32"/>
          <w:highlight w:val="none"/>
          <w14:textFill>
            <w14:solidFill>
              <w14:schemeClr w14:val="tx1"/>
            </w14:solidFill>
          </w14:textFill>
        </w:rPr>
        <w:t>万元，支出决算为</w:t>
      </w:r>
      <w:r>
        <w:rPr>
          <w:rFonts w:ascii="仿宋" w:hAnsi="仿宋" w:eastAsia="仿宋"/>
          <w:color w:val="000000" w:themeColor="text1"/>
          <w:sz w:val="32"/>
          <w:szCs w:val="32"/>
          <w:highlight w:val="none"/>
          <w14:textFill>
            <w14:solidFill>
              <w14:schemeClr w14:val="tx1"/>
            </w14:solidFill>
          </w14:textFill>
        </w:rPr>
        <w:t>0.35</w:t>
      </w:r>
      <w:r>
        <w:rPr>
          <w:rFonts w:hint="eastAsia" w:ascii="仿宋" w:hAnsi="仿宋" w:eastAsia="仿宋"/>
          <w:color w:val="000000" w:themeColor="text1"/>
          <w:sz w:val="32"/>
          <w:szCs w:val="32"/>
          <w:highlight w:val="none"/>
          <w14:textFill>
            <w14:solidFill>
              <w14:schemeClr w14:val="tx1"/>
            </w14:solidFill>
          </w14:textFill>
        </w:rPr>
        <w:t>万元，完成年初预算的</w:t>
      </w:r>
      <w:r>
        <w:rPr>
          <w:rFonts w:ascii="仿宋" w:hAnsi="仿宋" w:eastAsia="仿宋"/>
          <w:color w:val="000000" w:themeColor="text1"/>
          <w:sz w:val="32"/>
          <w:szCs w:val="32"/>
          <w:highlight w:val="none"/>
          <w14:textFill>
            <w14:solidFill>
              <w14:schemeClr w14:val="tx1"/>
            </w14:solidFill>
          </w14:textFill>
        </w:rPr>
        <w:t>100.00%</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没有差异，已按预算安排执行。</w:t>
      </w:r>
    </w:p>
    <w:p>
      <w:pPr>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olor w:val="000000" w:themeColor="text1"/>
          <w:sz w:val="32"/>
          <w:szCs w:val="32"/>
          <w:highlight w:val="none"/>
          <w14:textFill>
            <w14:solidFill>
              <w14:schemeClr w14:val="tx1"/>
            </w14:solidFill>
          </w14:textFill>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735"/>
        <w:gridCol w:w="1020"/>
        <w:gridCol w:w="1931"/>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年初预算数</w:t>
            </w:r>
          </w:p>
        </w:tc>
        <w:tc>
          <w:tcPr>
            <w:tcW w:w="7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决算</w:t>
            </w:r>
          </w:p>
        </w:tc>
        <w:tc>
          <w:tcPr>
            <w:tcW w:w="10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完成预算百分比</w:t>
            </w:r>
          </w:p>
        </w:tc>
        <w:tc>
          <w:tcPr>
            <w:tcW w:w="193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0.35</w:t>
            </w:r>
          </w:p>
        </w:tc>
        <w:tc>
          <w:tcPr>
            <w:tcW w:w="7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0.35</w:t>
            </w:r>
          </w:p>
        </w:tc>
        <w:tc>
          <w:tcPr>
            <w:tcW w:w="10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100.00%</w:t>
            </w:r>
          </w:p>
        </w:tc>
        <w:tc>
          <w:tcPr>
            <w:tcW w:w="193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工会活动经费支出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没有差异，已按预算安排执行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0.35</w:t>
            </w:r>
          </w:p>
        </w:tc>
        <w:tc>
          <w:tcPr>
            <w:tcW w:w="7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0.35</w:t>
            </w:r>
          </w:p>
        </w:tc>
        <w:tc>
          <w:tcPr>
            <w:tcW w:w="10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93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工会活动经费支出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没有差异，已按预算安排执行</w:t>
            </w:r>
          </w:p>
        </w:tc>
      </w:tr>
    </w:tbl>
    <w:p>
      <w:pPr>
        <w:jc w:val="left"/>
        <w:rPr>
          <w:rFonts w:hint="eastAsia" w:ascii="仿宋" w:hAnsi="仿宋" w:eastAsia="仿宋"/>
          <w:color w:val="000000" w:themeColor="text1"/>
          <w:sz w:val="32"/>
          <w:szCs w:val="32"/>
          <w:highlight w:val="none"/>
          <w14:textFill>
            <w14:solidFill>
              <w14:schemeClr w14:val="tx1"/>
            </w14:solidFill>
          </w14:textFill>
        </w:rPr>
      </w:pPr>
    </w:p>
    <w:p>
      <w:pPr>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教育支出</w:t>
      </w:r>
      <w:r>
        <w:rPr>
          <w:rFonts w:ascii="仿宋" w:hAnsi="仿宋" w:eastAsia="仿宋"/>
          <w:color w:val="000000" w:themeColor="text1"/>
          <w:sz w:val="32"/>
          <w:highlight w:val="none"/>
          <w:u w:color="auto"/>
          <w14:textFill>
            <w14:solidFill>
              <w14:schemeClr w14:val="tx1"/>
            </w14:solidFill>
          </w14:textFill>
        </w:rPr>
        <w:t>（205</w:t>
      </w:r>
      <w:r>
        <w:rPr>
          <w:rFonts w:hint="eastAsia" w:ascii="仿宋" w:hAnsi="仿宋" w:eastAsia="仿宋"/>
          <w:color w:val="000000" w:themeColor="text1"/>
          <w:sz w:val="32"/>
          <w:szCs w:val="32"/>
          <w:highlight w:val="none"/>
          <w14:textFill>
            <w14:solidFill>
              <w14:schemeClr w14:val="tx1"/>
            </w14:solidFill>
          </w14:textFill>
        </w:rPr>
        <w:t>类）年初预算为</w:t>
      </w:r>
      <w:r>
        <w:rPr>
          <w:rFonts w:ascii="仿宋" w:hAnsi="仿宋" w:eastAsia="仿宋"/>
          <w:color w:val="000000" w:themeColor="text1"/>
          <w:sz w:val="32"/>
          <w:szCs w:val="32"/>
          <w:highlight w:val="none"/>
          <w14:textFill>
            <w14:solidFill>
              <w14:schemeClr w14:val="tx1"/>
            </w14:solidFill>
          </w14:textFill>
        </w:rPr>
        <w:t>85.77</w:t>
      </w:r>
      <w:r>
        <w:rPr>
          <w:rFonts w:hint="eastAsia" w:ascii="仿宋" w:hAnsi="仿宋" w:eastAsia="仿宋"/>
          <w:color w:val="000000" w:themeColor="text1"/>
          <w:sz w:val="32"/>
          <w:szCs w:val="32"/>
          <w:highlight w:val="none"/>
          <w14:textFill>
            <w14:solidFill>
              <w14:schemeClr w14:val="tx1"/>
            </w14:solidFill>
          </w14:textFill>
        </w:rPr>
        <w:t>万元，支出决算为</w:t>
      </w:r>
      <w:r>
        <w:rPr>
          <w:rFonts w:ascii="仿宋" w:hAnsi="仿宋" w:eastAsia="仿宋"/>
          <w:color w:val="000000" w:themeColor="text1"/>
          <w:sz w:val="32"/>
          <w:szCs w:val="32"/>
          <w:highlight w:val="none"/>
          <w14:textFill>
            <w14:solidFill>
              <w14:schemeClr w14:val="tx1"/>
            </w14:solidFill>
          </w14:textFill>
        </w:rPr>
        <w:t>78.38</w:t>
      </w:r>
      <w:r>
        <w:rPr>
          <w:rFonts w:hint="eastAsia" w:ascii="仿宋" w:hAnsi="仿宋" w:eastAsia="仿宋"/>
          <w:color w:val="000000" w:themeColor="text1"/>
          <w:sz w:val="32"/>
          <w:szCs w:val="32"/>
          <w:highlight w:val="none"/>
          <w14:textFill>
            <w14:solidFill>
              <w14:schemeClr w14:val="tx1"/>
            </w14:solidFill>
          </w14:textFill>
        </w:rPr>
        <w:t>万元，完成年初预算的</w:t>
      </w:r>
      <w:r>
        <w:rPr>
          <w:rFonts w:ascii="仿宋" w:hAnsi="仿宋" w:eastAsia="仿宋"/>
          <w:color w:val="000000" w:themeColor="text1"/>
          <w:sz w:val="32"/>
          <w:szCs w:val="32"/>
          <w:highlight w:val="none"/>
          <w14:textFill>
            <w14:solidFill>
              <w14:schemeClr w14:val="tx1"/>
            </w14:solidFill>
          </w14:textFill>
        </w:rPr>
        <w:t>91.38%</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年初预算不精准。</w:t>
      </w:r>
    </w:p>
    <w:p>
      <w:pPr>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olor w:val="000000" w:themeColor="text1"/>
          <w:sz w:val="32"/>
          <w:szCs w:val="32"/>
          <w:highlight w:val="none"/>
          <w14:textFill>
            <w14:solidFill>
              <w14:schemeClr w14:val="tx1"/>
            </w14:solidFill>
          </w14:textFill>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85.77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73.45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85.64%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auto"/>
                <w:sz w:val="18"/>
                <w:szCs w:val="18"/>
                <w:highlight w:val="none"/>
                <w:u w:val="none"/>
                <w:lang w:val="en-US" w:eastAsia="zh-CN"/>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auto"/>
                <w:sz w:val="18"/>
                <w:szCs w:val="18"/>
                <w:highlight w:val="none"/>
                <w:u w:val="none"/>
                <w:lang w:val="en-US" w:eastAsia="zh-CN"/>
              </w:rPr>
              <w:t>年初预算不精准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4.94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auto"/>
                <w:sz w:val="18"/>
                <w:szCs w:val="18"/>
                <w:highlight w:val="none"/>
                <w:u w:val="none"/>
                <w:lang w:val="en-US" w:eastAsia="zh-CN"/>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auto"/>
                <w:sz w:val="18"/>
                <w:szCs w:val="18"/>
                <w:highlight w:val="none"/>
                <w:u w:val="none"/>
                <w:lang w:val="en-US" w:eastAsia="zh-CN"/>
              </w:rPr>
              <w:t>年初预算不精准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85.77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78.38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auto"/>
                <w:sz w:val="18"/>
                <w:szCs w:val="18"/>
                <w:highlight w:val="none"/>
                <w:u w:val="none"/>
                <w:lang w:val="en-US" w:eastAsia="zh-CN"/>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auto"/>
                <w:sz w:val="18"/>
                <w:szCs w:val="18"/>
                <w:highlight w:val="none"/>
                <w:u w:val="none"/>
                <w:lang w:val="en-US" w:eastAsia="zh-CN"/>
              </w:rPr>
              <w:t>年初预算不精准</w:t>
            </w:r>
          </w:p>
        </w:tc>
      </w:tr>
    </w:tbl>
    <w:p>
      <w:pPr>
        <w:jc w:val="left"/>
        <w:rPr>
          <w:rFonts w:hint="eastAsia" w:ascii="仿宋" w:hAnsi="仿宋" w:eastAsia="仿宋"/>
          <w:color w:val="000000" w:themeColor="text1"/>
          <w:sz w:val="32"/>
          <w:szCs w:val="32"/>
          <w:highlight w:val="none"/>
          <w14:textFill>
            <w14:solidFill>
              <w14:schemeClr w14:val="tx1"/>
            </w14:solidFill>
          </w14:textFill>
        </w:rPr>
      </w:pPr>
    </w:p>
    <w:p>
      <w:pPr>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27584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社会保障和就业支出</w:t>
      </w:r>
      <w:r>
        <w:rPr>
          <w:rFonts w:ascii="仿宋" w:hAnsi="仿宋" w:eastAsia="仿宋"/>
          <w:color w:val="000000" w:themeColor="text1"/>
          <w:sz w:val="32"/>
          <w:highlight w:val="none"/>
          <w:u w:color="auto"/>
          <w14:textFill>
            <w14:solidFill>
              <w14:schemeClr w14:val="tx1"/>
            </w14:solidFill>
          </w14:textFill>
        </w:rPr>
        <w:t>（208</w:t>
      </w:r>
      <w:r>
        <w:rPr>
          <w:rFonts w:hint="eastAsia" w:ascii="仿宋" w:hAnsi="仿宋" w:eastAsia="仿宋"/>
          <w:color w:val="000000" w:themeColor="text1"/>
          <w:sz w:val="32"/>
          <w:szCs w:val="32"/>
          <w:highlight w:val="none"/>
          <w14:textFill>
            <w14:solidFill>
              <w14:schemeClr w14:val="tx1"/>
            </w14:solidFill>
          </w14:textFill>
        </w:rPr>
        <w:t>类）年初预算为</w:t>
      </w:r>
      <w:r>
        <w:rPr>
          <w:rFonts w:ascii="仿宋" w:hAnsi="仿宋" w:eastAsia="仿宋"/>
          <w:color w:val="000000" w:themeColor="text1"/>
          <w:sz w:val="32"/>
          <w:szCs w:val="32"/>
          <w:highlight w:val="none"/>
          <w14:textFill>
            <w14:solidFill>
              <w14:schemeClr w14:val="tx1"/>
            </w14:solidFill>
          </w14:textFill>
        </w:rPr>
        <w:t>2.83</w:t>
      </w:r>
      <w:r>
        <w:rPr>
          <w:rFonts w:hint="eastAsia" w:ascii="仿宋" w:hAnsi="仿宋" w:eastAsia="仿宋"/>
          <w:color w:val="000000" w:themeColor="text1"/>
          <w:sz w:val="32"/>
          <w:szCs w:val="32"/>
          <w:highlight w:val="none"/>
          <w14:textFill>
            <w14:solidFill>
              <w14:schemeClr w14:val="tx1"/>
            </w14:solidFill>
          </w14:textFill>
        </w:rPr>
        <w:t>万元，支出决算为</w:t>
      </w:r>
      <w:r>
        <w:rPr>
          <w:rFonts w:ascii="仿宋" w:hAnsi="仿宋" w:eastAsia="仿宋"/>
          <w:color w:val="000000" w:themeColor="text1"/>
          <w:sz w:val="32"/>
          <w:szCs w:val="32"/>
          <w:highlight w:val="none"/>
          <w14:textFill>
            <w14:solidFill>
              <w14:schemeClr w14:val="tx1"/>
            </w14:solidFill>
          </w14:textFill>
        </w:rPr>
        <w:t>3.47</w:t>
      </w:r>
      <w:r>
        <w:rPr>
          <w:rFonts w:hint="eastAsia" w:ascii="仿宋" w:hAnsi="仿宋" w:eastAsia="仿宋"/>
          <w:color w:val="000000" w:themeColor="text1"/>
          <w:sz w:val="32"/>
          <w:szCs w:val="32"/>
          <w:highlight w:val="none"/>
          <w14:textFill>
            <w14:solidFill>
              <w14:schemeClr w14:val="tx1"/>
            </w14:solidFill>
          </w14:textFill>
        </w:rPr>
        <w:t>万元，完成年初预算的</w:t>
      </w:r>
      <w:r>
        <w:rPr>
          <w:rFonts w:ascii="仿宋" w:hAnsi="仿宋" w:eastAsia="仿宋"/>
          <w:color w:val="000000" w:themeColor="text1"/>
          <w:sz w:val="32"/>
          <w:szCs w:val="32"/>
          <w:highlight w:val="none"/>
          <w14:textFill>
            <w14:solidFill>
              <w14:schemeClr w14:val="tx1"/>
            </w14:solidFill>
          </w14:textFill>
        </w:rPr>
        <w:t>122.61%</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2022年新增教师。</w:t>
      </w:r>
    </w:p>
    <w:p>
      <w:pPr>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olor w:val="000000" w:themeColor="text1"/>
          <w:sz w:val="32"/>
          <w:szCs w:val="32"/>
          <w:highlight w:val="none"/>
          <w14:textFill>
            <w14:solidFill>
              <w14:schemeClr w14:val="tx1"/>
            </w14:solidFill>
          </w14:textFill>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2.83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3.47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122.61%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auto"/>
                <w:sz w:val="18"/>
                <w:szCs w:val="18"/>
                <w:highlight w:val="none"/>
                <w:u w:val="none"/>
                <w:lang w:val="en-US" w:eastAsia="zh-CN"/>
              </w:rPr>
              <w:t>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auto"/>
                <w:sz w:val="18"/>
                <w:szCs w:val="18"/>
                <w:highlight w:val="none"/>
                <w:u w:val="none"/>
                <w:lang w:val="en-US" w:eastAsia="zh-CN"/>
              </w:rPr>
              <w:t>2022年新增教师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2.83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3.47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auto"/>
                <w:sz w:val="18"/>
                <w:szCs w:val="18"/>
                <w:highlight w:val="none"/>
                <w:u w:val="none"/>
                <w:lang w:val="en-US" w:eastAsia="zh-CN"/>
              </w:rPr>
              <w:t>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auto"/>
                <w:sz w:val="18"/>
                <w:szCs w:val="18"/>
                <w:highlight w:val="none"/>
                <w:u w:val="none"/>
                <w:lang w:val="en-US" w:eastAsia="zh-CN"/>
              </w:rPr>
              <w:t>2022年新增教师</w:t>
            </w:r>
          </w:p>
        </w:tc>
      </w:tr>
    </w:tbl>
    <w:p>
      <w:pPr>
        <w:jc w:val="both"/>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2405380"/>
            <wp:effectExtent l="4445" t="4445" r="16510" b="952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住房保障支出</w:t>
      </w:r>
      <w:r>
        <w:rPr>
          <w:rFonts w:ascii="仿宋" w:hAnsi="仿宋" w:eastAsia="仿宋"/>
          <w:color w:val="000000" w:themeColor="text1"/>
          <w:sz w:val="32"/>
          <w:highlight w:val="none"/>
          <w:u w:color="auto"/>
          <w14:textFill>
            <w14:solidFill>
              <w14:schemeClr w14:val="tx1"/>
            </w14:solidFill>
          </w14:textFill>
        </w:rPr>
        <w:t>（221</w:t>
      </w:r>
      <w:r>
        <w:rPr>
          <w:rFonts w:hint="eastAsia" w:ascii="仿宋" w:hAnsi="仿宋" w:eastAsia="仿宋"/>
          <w:color w:val="000000" w:themeColor="text1"/>
          <w:sz w:val="32"/>
          <w:szCs w:val="32"/>
          <w:highlight w:val="none"/>
          <w14:textFill>
            <w14:solidFill>
              <w14:schemeClr w14:val="tx1"/>
            </w14:solidFill>
          </w14:textFill>
        </w:rPr>
        <w:t>类）年初预算为</w:t>
      </w:r>
      <w:r>
        <w:rPr>
          <w:rFonts w:ascii="仿宋" w:hAnsi="仿宋" w:eastAsia="仿宋"/>
          <w:color w:val="000000" w:themeColor="text1"/>
          <w:sz w:val="32"/>
          <w:szCs w:val="32"/>
          <w:highlight w:val="none"/>
          <w14:textFill>
            <w14:solidFill>
              <w14:schemeClr w14:val="tx1"/>
            </w14:solidFill>
          </w14:textFill>
        </w:rPr>
        <w:t>2.12</w:t>
      </w:r>
      <w:r>
        <w:rPr>
          <w:rFonts w:hint="eastAsia" w:ascii="仿宋" w:hAnsi="仿宋" w:eastAsia="仿宋"/>
          <w:color w:val="000000" w:themeColor="text1"/>
          <w:sz w:val="32"/>
          <w:szCs w:val="32"/>
          <w:highlight w:val="none"/>
          <w14:textFill>
            <w14:solidFill>
              <w14:schemeClr w14:val="tx1"/>
            </w14:solidFill>
          </w14:textFill>
        </w:rPr>
        <w:t>万元，支出决算为</w:t>
      </w:r>
      <w:r>
        <w:rPr>
          <w:rFonts w:ascii="仿宋" w:hAnsi="仿宋" w:eastAsia="仿宋"/>
          <w:color w:val="000000" w:themeColor="text1"/>
          <w:sz w:val="32"/>
          <w:szCs w:val="32"/>
          <w:highlight w:val="none"/>
          <w14:textFill>
            <w14:solidFill>
              <w14:schemeClr w14:val="tx1"/>
            </w14:solidFill>
          </w14:textFill>
        </w:rPr>
        <w:t>2.46</w:t>
      </w:r>
      <w:r>
        <w:rPr>
          <w:rFonts w:hint="eastAsia" w:ascii="仿宋" w:hAnsi="仿宋" w:eastAsia="仿宋"/>
          <w:color w:val="000000" w:themeColor="text1"/>
          <w:sz w:val="32"/>
          <w:szCs w:val="32"/>
          <w:highlight w:val="none"/>
          <w14:textFill>
            <w14:solidFill>
              <w14:schemeClr w14:val="tx1"/>
            </w14:solidFill>
          </w14:textFill>
        </w:rPr>
        <w:t>万元，完成年初预算的</w:t>
      </w:r>
      <w:r>
        <w:rPr>
          <w:rFonts w:ascii="仿宋" w:hAnsi="仿宋" w:eastAsia="仿宋"/>
          <w:color w:val="000000" w:themeColor="text1"/>
          <w:sz w:val="32"/>
          <w:szCs w:val="32"/>
          <w:highlight w:val="none"/>
          <w14:textFill>
            <w14:solidFill>
              <w14:schemeClr w14:val="tx1"/>
            </w14:solidFill>
          </w14:textFill>
        </w:rPr>
        <w:t>116.04%</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2022年新增教师。</w:t>
      </w:r>
    </w:p>
    <w:p>
      <w:pPr>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olor w:val="000000" w:themeColor="text1"/>
          <w:sz w:val="32"/>
          <w:szCs w:val="32"/>
          <w:highlight w:val="none"/>
          <w14:textFill>
            <w14:solidFill>
              <w14:schemeClr w14:val="tx1"/>
            </w14:solidFill>
          </w14:textFill>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2.12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2.46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116.04%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2022年新增教师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2.12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2.46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2022年新增教师</w:t>
            </w:r>
          </w:p>
        </w:tc>
      </w:tr>
    </w:tbl>
    <w:p>
      <w:pPr>
        <w:jc w:val="left"/>
        <w:rPr>
          <w:rFonts w:hint="eastAsia" w:ascii="仿宋" w:hAnsi="仿宋" w:eastAsia="仿宋"/>
          <w:color w:val="000000" w:themeColor="text1"/>
          <w:sz w:val="32"/>
          <w:szCs w:val="32"/>
          <w:highlight w:val="none"/>
          <w14:textFill>
            <w14:solidFill>
              <w14:schemeClr w14:val="tx1"/>
            </w14:solidFill>
          </w14:textFill>
        </w:rPr>
      </w:pPr>
    </w:p>
    <w:p>
      <w:pPr>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其他支出</w:t>
      </w:r>
      <w:r>
        <w:rPr>
          <w:rFonts w:ascii="仿宋" w:hAnsi="仿宋" w:eastAsia="仿宋"/>
          <w:color w:val="000000" w:themeColor="text1"/>
          <w:sz w:val="32"/>
          <w:highlight w:val="none"/>
          <w:u w:color="auto"/>
          <w14:textFill>
            <w14:solidFill>
              <w14:schemeClr w14:val="tx1"/>
            </w14:solidFill>
          </w14:textFill>
        </w:rPr>
        <w:t>（229</w:t>
      </w:r>
      <w:r>
        <w:rPr>
          <w:rFonts w:hint="eastAsia" w:ascii="仿宋" w:hAnsi="仿宋" w:eastAsia="仿宋"/>
          <w:color w:val="000000" w:themeColor="text1"/>
          <w:sz w:val="32"/>
          <w:szCs w:val="32"/>
          <w:highlight w:val="none"/>
          <w14:textFill>
            <w14:solidFill>
              <w14:schemeClr w14:val="tx1"/>
            </w14:solidFill>
          </w14:textFill>
        </w:rPr>
        <w:t>类）年初预算为</w:t>
      </w:r>
      <w:r>
        <w:rPr>
          <w:rFonts w:ascii="仿宋" w:hAnsi="仿宋" w:eastAsia="仿宋"/>
          <w:color w:val="000000" w:themeColor="text1"/>
          <w:sz w:val="32"/>
          <w:szCs w:val="32"/>
          <w:highlight w:val="none"/>
          <w14:textFill>
            <w14:solidFill>
              <w14:schemeClr w14:val="tx1"/>
            </w14:solidFill>
          </w14:textFill>
        </w:rPr>
        <w:t>0.00</w:t>
      </w:r>
      <w:r>
        <w:rPr>
          <w:rFonts w:hint="eastAsia" w:ascii="仿宋" w:hAnsi="仿宋" w:eastAsia="仿宋"/>
          <w:color w:val="000000" w:themeColor="text1"/>
          <w:sz w:val="32"/>
          <w:szCs w:val="32"/>
          <w:highlight w:val="none"/>
          <w14:textFill>
            <w14:solidFill>
              <w14:schemeClr w14:val="tx1"/>
            </w14:solidFill>
          </w14:textFill>
        </w:rPr>
        <w:t>万元，支出决算为</w:t>
      </w:r>
      <w:r>
        <w:rPr>
          <w:rFonts w:ascii="仿宋" w:hAnsi="仿宋" w:eastAsia="仿宋"/>
          <w:color w:val="000000" w:themeColor="text1"/>
          <w:sz w:val="32"/>
          <w:szCs w:val="32"/>
          <w:highlight w:val="none"/>
          <w14:textFill>
            <w14:solidFill>
              <w14:schemeClr w14:val="tx1"/>
            </w14:solidFill>
          </w14:textFill>
        </w:rPr>
        <w:t>4.02</w:t>
      </w:r>
      <w:r>
        <w:rPr>
          <w:rFonts w:hint="eastAsia" w:ascii="仿宋" w:hAnsi="仿宋" w:eastAsia="仿宋"/>
          <w:color w:val="000000" w:themeColor="text1"/>
          <w:sz w:val="32"/>
          <w:szCs w:val="32"/>
          <w:highlight w:val="none"/>
          <w14:textFill>
            <w14:solidFill>
              <w14:schemeClr w14:val="tx1"/>
            </w14:solidFill>
          </w14:textFill>
        </w:rPr>
        <w:t>万元，完成年初预算的</w:t>
      </w:r>
      <w:r>
        <w:rPr>
          <w:rFonts w:ascii="仿宋" w:hAnsi="仿宋" w:eastAsia="仿宋"/>
          <w:color w:val="000000" w:themeColor="text1"/>
          <w:sz w:val="32"/>
          <w:szCs w:val="32"/>
          <w:highlight w:val="none"/>
          <w14:textFill>
            <w14:solidFill>
              <w14:schemeClr w14:val="tx1"/>
            </w14:solidFill>
          </w14:textFill>
        </w:rPr>
        <w:t>100.00%</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年初预算不精准。</w:t>
      </w:r>
    </w:p>
    <w:p>
      <w:pPr>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olor w:val="000000" w:themeColor="text1"/>
          <w:sz w:val="32"/>
          <w:szCs w:val="32"/>
          <w:highlight w:val="none"/>
          <w14:textFill>
            <w14:solidFill>
              <w14:schemeClr w14:val="tx1"/>
            </w14:solidFill>
          </w14:textFill>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4.02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奖金、劳务费及生活补助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年初预算不精准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4.02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奖金、劳务费及生活补助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年初预算不精准</w:t>
            </w:r>
          </w:p>
        </w:tc>
      </w:tr>
    </w:tbl>
    <w:p>
      <w:pPr>
        <w:jc w:val="left"/>
        <w:rPr>
          <w:rFonts w:hint="eastAsia" w:ascii="仿宋" w:hAnsi="仿宋" w:eastAsia="仿宋"/>
          <w:color w:val="000000" w:themeColor="text1"/>
          <w:sz w:val="32"/>
          <w:szCs w:val="32"/>
          <w:highlight w:val="none"/>
          <w14:textFill>
            <w14:solidFill>
              <w14:schemeClr w14:val="tx1"/>
            </w14:solidFill>
          </w14:textFill>
        </w:rPr>
      </w:pPr>
    </w:p>
    <w:p>
      <w:pPr>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三、2022年度一般公共预算财政拨款基本支出决算情况说明</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环江毛南族自治县大才乡中心幼儿园2022年度一般公共预算财政拨款基本支出</w:t>
      </w:r>
      <w:r>
        <w:rPr>
          <w:rFonts w:ascii="仿宋" w:hAnsi="仿宋" w:eastAsia="仿宋" w:cs="仿宋"/>
          <w:color w:val="000000" w:themeColor="text1"/>
          <w:sz w:val="32"/>
          <w:highlight w:val="none"/>
          <w:u w:color="auto"/>
          <w14:textFill>
            <w14:solidFill>
              <w14:schemeClr w14:val="tx1"/>
            </w14:solidFill>
          </w14:textFill>
        </w:rPr>
        <w:t>33.51</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其中：人员经费支出</w:t>
      </w:r>
      <w:r>
        <w:rPr>
          <w:rFonts w:hint="eastAsia" w:ascii="仿宋" w:hAnsi="仿宋" w:eastAsia="仿宋" w:cs="仿宋"/>
          <w:color w:val="000000" w:themeColor="text1"/>
          <w:sz w:val="32"/>
          <w:szCs w:val="32"/>
          <w:highlight w:val="none"/>
          <w14:textFill>
            <w14:solidFill>
              <w14:schemeClr w14:val="tx1"/>
            </w14:solidFill>
          </w14:textFill>
        </w:rPr>
        <w:t>33.15</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万元，公用经费支出</w:t>
      </w:r>
      <w:r>
        <w:rPr>
          <w:rFonts w:hint="eastAsia" w:ascii="仿宋" w:hAnsi="仿宋" w:eastAsia="仿宋" w:cs="仿宋"/>
          <w:color w:val="000000" w:themeColor="text1"/>
          <w:sz w:val="32"/>
          <w:szCs w:val="32"/>
          <w:highlight w:val="none"/>
          <w14:textFill>
            <w14:solidFill>
              <w14:schemeClr w14:val="tx1"/>
            </w14:solidFill>
          </w14:textFill>
        </w:rPr>
        <w:t>0.35</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万元，</w:t>
      </w:r>
      <w:r>
        <w:rPr>
          <w:rFonts w:hint="eastAsia" w:ascii="仿宋" w:hAnsi="仿宋" w:eastAsia="仿宋" w:cs="仿宋"/>
          <w:color w:val="000000" w:themeColor="text1"/>
          <w:sz w:val="32"/>
          <w:szCs w:val="32"/>
          <w:highlight w:val="none"/>
          <w14:textFill>
            <w14:solidFill>
              <w14:schemeClr w14:val="tx1"/>
            </w14:solidFill>
          </w14:textFill>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工资福利支出</w:t>
      </w:r>
      <w:r>
        <w:rPr>
          <w:rFonts w:ascii="仿宋" w:hAnsi="仿宋" w:eastAsia="仿宋" w:cs="仿宋"/>
          <w:color w:val="000000" w:themeColor="text1"/>
          <w:sz w:val="32"/>
          <w:highlight w:val="none"/>
          <w:u w:color="auto"/>
          <w14:textFill>
            <w14:solidFill>
              <w14:schemeClr w14:val="tx1"/>
            </w14:solidFill>
          </w14:textFill>
        </w:rPr>
        <w:t>33.15万元，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14:textFill>
            <w14:solidFill>
              <w14:schemeClr w14:val="tx1"/>
            </w14:solidFill>
          </w14:textFill>
        </w:rPr>
        <w:t>145.27%</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主要原因是：年度内新增教师。</w:t>
      </w:r>
    </w:p>
    <w:p>
      <w:pPr>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30101基本工资13.96万元，30102津贴补贴2.16万元，30103奖金4.59万元，30107绩效工资4.71万元，30108机关事业单位基本养老保险缴费3.47万元，30110职工基本医疗保险缴费1.65万元，30112其他社会保障缴费0.16万元，30113住房公积金2.46万元。</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商品和服务支出</w:t>
      </w:r>
      <w:r>
        <w:rPr>
          <w:rFonts w:ascii="仿宋" w:hAnsi="仿宋" w:eastAsia="仿宋" w:cs="仿宋"/>
          <w:color w:val="000000" w:themeColor="text1"/>
          <w:sz w:val="32"/>
          <w:highlight w:val="none"/>
          <w:u w:color="auto"/>
          <w14:textFill>
            <w14:solidFill>
              <w14:schemeClr w14:val="tx1"/>
            </w14:solidFill>
          </w14:textFill>
        </w:rPr>
        <w:t>0.35万元，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14:textFill>
            <w14:solidFill>
              <w14:schemeClr w14:val="tx1"/>
            </w14:solidFill>
          </w14:textFill>
        </w:rPr>
        <w:t>100%</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主要原因是：当年度支出工会经费0.35万元。</w:t>
      </w:r>
    </w:p>
    <w:p>
      <w:pPr>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30228工会经费0.35万元。</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对个人和家庭的补助</w:t>
      </w:r>
      <w:r>
        <w:rPr>
          <w:rFonts w:ascii="仿宋" w:hAnsi="仿宋" w:eastAsia="仿宋" w:cs="仿宋"/>
          <w:color w:val="000000" w:themeColor="text1"/>
          <w:sz w:val="32"/>
          <w:highlight w:val="none"/>
          <w:u w:color="auto"/>
          <w14:textFill>
            <w14:solidFill>
              <w14:schemeClr w14:val="tx1"/>
            </w14:solidFill>
          </w14:textFill>
        </w:rPr>
        <w:t>0.00万元，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14:textFill>
            <w14:solidFill>
              <w14:schemeClr w14:val="tx1"/>
            </w14:solidFill>
          </w14:textFill>
        </w:rPr>
        <w:t>0%</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主要原因是：当年度没有对个人和家庭的补助。</w:t>
      </w:r>
    </w:p>
    <w:p>
      <w:pPr>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债务利息及费用支出</w:t>
      </w:r>
      <w:r>
        <w:rPr>
          <w:rFonts w:ascii="仿宋" w:hAnsi="仿宋" w:eastAsia="仿宋" w:cs="仿宋"/>
          <w:color w:val="000000" w:themeColor="text1"/>
          <w:sz w:val="32"/>
          <w:highlight w:val="none"/>
          <w:u w:color="auto"/>
          <w14:textFill>
            <w14:solidFill>
              <w14:schemeClr w14:val="tx1"/>
            </w14:solidFill>
          </w14:textFill>
        </w:rPr>
        <w:t>0.00万元，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14:textFill>
            <w14:solidFill>
              <w14:schemeClr w14:val="tx1"/>
            </w14:solidFill>
          </w14:textFill>
        </w:rPr>
        <w:t>0%</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主要原因是：当年度没有债务利息及费用支出。</w:t>
      </w:r>
    </w:p>
    <w:p>
      <w:pPr>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资本性支出</w:t>
      </w:r>
      <w:r>
        <w:rPr>
          <w:rFonts w:ascii="仿宋" w:hAnsi="仿宋" w:eastAsia="仿宋" w:cs="仿宋"/>
          <w:color w:val="000000" w:themeColor="text1"/>
          <w:sz w:val="32"/>
          <w:highlight w:val="none"/>
          <w:u w:color="auto"/>
          <w14:textFill>
            <w14:solidFill>
              <w14:schemeClr w14:val="tx1"/>
            </w14:solidFill>
          </w14:textFill>
        </w:rPr>
        <w:t>0.00万元，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14:textFill>
            <w14:solidFill>
              <w14:schemeClr w14:val="tx1"/>
            </w14:solidFill>
          </w14:textFill>
        </w:rPr>
        <w:t>0%</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主要原因是：当年度没有资本性支出。</w:t>
      </w:r>
    </w:p>
    <w:p>
      <w:pPr>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2748915"/>
            <wp:effectExtent l="4445" t="4445" r="16510" b="889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其他支出</w:t>
      </w:r>
      <w:r>
        <w:rPr>
          <w:rFonts w:ascii="仿宋" w:hAnsi="仿宋" w:eastAsia="仿宋" w:cs="仿宋"/>
          <w:color w:val="000000" w:themeColor="text1"/>
          <w:sz w:val="32"/>
          <w:highlight w:val="none"/>
          <w:u w:color="auto"/>
          <w14:textFill>
            <w14:solidFill>
              <w14:schemeClr w14:val="tx1"/>
            </w14:solidFill>
          </w14:textFill>
        </w:rPr>
        <w:t>0.00万元，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14:textFill>
            <w14:solidFill>
              <w14:schemeClr w14:val="tx1"/>
            </w14:solidFill>
          </w14:textFill>
        </w:rPr>
        <w:t>0%</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主要原因是：当年度没有其他支出。</w:t>
      </w:r>
    </w:p>
    <w:p>
      <w:pPr>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四、2022年度政府性基金支出决算情况</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环江毛南族自治县大才乡中心幼儿园2022年度政府性基金支出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万元，较2021年度决算数</w:t>
      </w:r>
      <w:r>
        <w:rPr>
          <w:rFonts w:ascii="仿宋" w:hAnsi="仿宋" w:eastAsia="仿宋" w:cs="仿宋"/>
          <w:color w:val="000000" w:themeColor="text1"/>
          <w:sz w:val="32"/>
          <w:szCs w:val="32"/>
          <w:highlight w:val="none"/>
          <w14:textFill>
            <w14:solidFill>
              <w14:schemeClr w14:val="tx1"/>
            </w14:solidFill>
          </w14:textFill>
        </w:rPr>
        <w:t>增加0.00</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szCs w:val="32"/>
          <w:highlight w:val="none"/>
          <w14:textFill>
            <w14:solidFill>
              <w14:schemeClr w14:val="tx1"/>
            </w14:solidFill>
          </w14:textFill>
        </w:rPr>
        <w:t>增长0%</w:t>
      </w:r>
      <w:r>
        <w:rPr>
          <w:rFonts w:hint="eastAsia" w:ascii="仿宋" w:hAnsi="仿宋" w:eastAsia="仿宋" w:cs="仿宋"/>
          <w:color w:val="000000" w:themeColor="text1"/>
          <w:sz w:val="32"/>
          <w:szCs w:val="32"/>
          <w:highlight w:val="none"/>
          <w14:textFill>
            <w14:solidFill>
              <w14:schemeClr w14:val="tx1"/>
            </w14:solidFill>
          </w14:textFill>
        </w:rPr>
        <w:t>其中：基本支出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万元，项目支出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环江毛南族自治县大才乡中心幼儿园2022年度政府性基金支出年初预算为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万元，支出决算为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highlight w:val="none"/>
          <w14:textFill>
            <w14:solidFill>
              <w14:schemeClr w14:val="tx1"/>
            </w14:solidFill>
          </w14:textFill>
        </w:rPr>
        <w:t>环江毛南族自治县大才乡中心幼儿园</w:t>
      </w:r>
      <w:r>
        <w:rPr>
          <w:rFonts w:ascii="仿宋_GB2312" w:hAnsi="仿宋_GB2312" w:eastAsia="仿宋_GB2312" w:cs="仿宋_GB2312"/>
          <w:color w:val="000000" w:themeColor="text1"/>
          <w:sz w:val="32"/>
          <w:highlight w:val="none"/>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五、2022年度国有资本经营预算支出决算情况</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环江毛南族自治县大才乡中心幼儿园2022年度国有资本经营预算支出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万元。其中：基本支出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万元，项目支出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环江毛南族自治县大才乡中心幼儿园2022 年度国有资本经营预算支出年初预算为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万元，支出决算为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bookmarkStart w:id="5" w:name="PO_part3A5B1C1DiffReason1"/>
      <w:r>
        <w:rPr>
          <w:rFonts w:hint="eastAsia" w:ascii="仿宋_GB2312" w:hAnsi="Times New Roman" w:eastAsia="仿宋_GB2312" w:cs="Times New Roman"/>
          <w:color w:val="000000" w:themeColor="text1"/>
          <w:sz w:val="32"/>
          <w:szCs w:val="32"/>
          <w:highlight w:val="none"/>
          <w14:textFill>
            <w14:solidFill>
              <w14:schemeClr w14:val="tx1"/>
            </w14:solidFill>
          </w14:textFill>
        </w:rPr>
        <w:t>环江毛南族自治县大才乡中心幼儿园</w:t>
      </w:r>
      <w:r>
        <w:rPr>
          <w:rFonts w:ascii="仿宋_GB2312" w:hAnsi="仿宋_GB2312" w:eastAsia="仿宋_GB2312" w:cs="仿宋_GB2312"/>
          <w:color w:val="000000" w:themeColor="text1"/>
          <w:sz w:val="32"/>
          <w:highlight w:val="none"/>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安排的支出。</w:t>
      </w:r>
      <w:bookmarkEnd w:id="5"/>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2022年预算财政拨款安排的“三公”经费支出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，比上年</w:t>
      </w:r>
      <w:r>
        <w:rPr>
          <w:rFonts w:ascii="仿宋" w:hAnsi="仿宋" w:eastAsia="仿宋" w:cs="仿宋"/>
          <w:color w:val="000000" w:themeColor="text1"/>
          <w:sz w:val="32"/>
          <w:szCs w:val="32"/>
          <w:highlight w:val="none"/>
          <w14:textFill>
            <w14:solidFill>
              <w14:schemeClr w14:val="tx1"/>
            </w14:solidFill>
          </w14:textFill>
        </w:rPr>
        <w:t>增加0.00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主要原因是：本部门2022年度没有一般公共预算财政拨款“三公”经费收入，也没有一般公共预算财政拨款“三公”经费安排的支出。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万元，公务用车购置及运行费支出决算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万元，公务接待费支出决算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具体情况如下：</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（一）因公出国（境）费支出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，比上年</w:t>
      </w:r>
      <w:r>
        <w:rPr>
          <w:rFonts w:ascii="仿宋" w:hAnsi="仿宋" w:eastAsia="仿宋" w:cs="仿宋"/>
          <w:color w:val="000000" w:themeColor="text1"/>
          <w:sz w:val="32"/>
          <w:szCs w:val="32"/>
          <w:highlight w:val="none"/>
          <w14:textFill>
            <w14:solidFill>
              <w14:schemeClr w14:val="tx1"/>
            </w14:solidFill>
          </w14:textFill>
        </w:rPr>
        <w:t>增加0.00</w:t>
      </w:r>
      <w:r>
        <w:rPr>
          <w:rFonts w:hint="eastAsia" w:ascii="仿宋" w:hAnsi="仿宋" w:eastAsia="仿宋" w:cs="仿宋"/>
          <w:color w:val="000000" w:themeColor="text1"/>
          <w:sz w:val="32"/>
          <w:szCs w:val="32"/>
          <w:highlight w:val="none"/>
          <w14:textFill>
            <w14:solidFill>
              <w14:schemeClr w14:val="tx1"/>
            </w14:solidFill>
          </w14:textFill>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本部门2022年度没有一般公共预算财政拨款“三公”经费收入，也没有一般公共预算财政拨款“三公”经费安排的支出。</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（二）公务用车购置及运行维护费</w:t>
      </w:r>
      <w:r>
        <w:rPr>
          <w:rFonts w:ascii="仿宋" w:hAnsi="仿宋" w:eastAsia="仿宋" w:cs="仿宋"/>
          <w:color w:val="000000" w:themeColor="text1"/>
          <w:sz w:val="32"/>
          <w:highlight w:val="none"/>
          <w:u w:color="auto"/>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万元。其中：公务用车购置支出</w:t>
      </w:r>
      <w:r>
        <w:rPr>
          <w:rFonts w:ascii="仿宋" w:hAnsi="仿宋" w:eastAsia="仿宋" w:cs="仿宋"/>
          <w:color w:val="000000" w:themeColor="text1"/>
          <w:sz w:val="32"/>
          <w:highlight w:val="none"/>
          <w:u w:color="auto"/>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highlight w:val="none"/>
          <w:u w:color="auto"/>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，比上年</w:t>
      </w:r>
      <w:r>
        <w:rPr>
          <w:rFonts w:ascii="仿宋" w:hAnsi="仿宋" w:eastAsia="仿宋" w:cs="仿宋"/>
          <w:color w:val="000000" w:themeColor="text1"/>
          <w:sz w:val="32"/>
          <w:highlight w:val="none"/>
          <w:u w:color="auto"/>
          <w14:textFill>
            <w14:solidFill>
              <w14:schemeClr w14:val="tx1"/>
            </w14:solidFill>
          </w14:textFill>
        </w:rPr>
        <w:t>增加0.00</w:t>
      </w:r>
      <w:r>
        <w:rPr>
          <w:rFonts w:hint="eastAsia" w:ascii="仿宋" w:hAnsi="仿宋" w:eastAsia="仿宋" w:cs="仿宋"/>
          <w:color w:val="000000" w:themeColor="text1"/>
          <w:sz w:val="32"/>
          <w:szCs w:val="32"/>
          <w:highlight w:val="none"/>
          <w14:textFill>
            <w14:solidFill>
              <w14:schemeClr w14:val="tx1"/>
            </w14:solidFill>
          </w14:textFill>
        </w:rPr>
        <w:t xml:space="preserve"> 万元。主要原因是</w:t>
      </w:r>
      <w:bookmarkStart w:id="6" w:name="PO_part3A6B2IncReason1"/>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本部门无公务用车购置</w:t>
      </w:r>
      <w:bookmarkEnd w:id="6"/>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公务用车运行维护支出</w:t>
      </w:r>
      <w:r>
        <w:rPr>
          <w:rFonts w:ascii="仿宋" w:hAnsi="仿宋" w:eastAsia="仿宋" w:cs="仿宋"/>
          <w:color w:val="000000" w:themeColor="text1"/>
          <w:sz w:val="32"/>
          <w:highlight w:val="none"/>
          <w:u w:color="auto"/>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highlight w:val="none"/>
          <w:u w:color="auto"/>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，比上年</w:t>
      </w:r>
      <w:r>
        <w:rPr>
          <w:rFonts w:ascii="仿宋" w:hAnsi="仿宋" w:eastAsia="仿宋" w:cs="仿宋"/>
          <w:color w:val="000000" w:themeColor="text1"/>
          <w:sz w:val="32"/>
          <w:highlight w:val="none"/>
          <w:u w:color="auto"/>
          <w14:textFill>
            <w14:solidFill>
              <w14:schemeClr w14:val="tx1"/>
            </w14:solidFill>
          </w14:textFill>
        </w:rPr>
        <w:t>增加0.00</w:t>
      </w:r>
      <w:r>
        <w:rPr>
          <w:rFonts w:hint="eastAsia" w:ascii="仿宋" w:hAnsi="仿宋" w:eastAsia="仿宋" w:cs="仿宋"/>
          <w:color w:val="000000" w:themeColor="text1"/>
          <w:sz w:val="32"/>
          <w:szCs w:val="32"/>
          <w:highlight w:val="none"/>
          <w14:textFill>
            <w14:solidFill>
              <w14:schemeClr w14:val="tx1"/>
            </w14:solidFill>
          </w14:textFill>
        </w:rPr>
        <w:t>万元。主要原因是：本部门无公务用车购置。</w:t>
      </w:r>
      <w:r>
        <w:rPr>
          <w:rFonts w:hint="eastAsia" w:ascii="仿宋" w:hAnsi="仿宋" w:eastAsia="仿宋" w:cs="仿宋"/>
          <w:color w:val="auto"/>
          <w:sz w:val="32"/>
          <w:szCs w:val="32"/>
          <w:highlight w:val="none"/>
          <w:lang w:val="en-US" w:eastAsia="zh-CN"/>
        </w:rPr>
        <w:t>本单位</w:t>
      </w:r>
      <w:r>
        <w:rPr>
          <w:rFonts w:hint="eastAsia" w:ascii="仿宋" w:hAnsi="仿宋" w:eastAsia="仿宋" w:cs="仿宋"/>
          <w:color w:val="auto"/>
          <w:sz w:val="32"/>
          <w:szCs w:val="32"/>
          <w:highlight w:val="none"/>
        </w:rPr>
        <w:t>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（三）公务接待费支出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 比上年</w:t>
      </w:r>
      <w:r>
        <w:rPr>
          <w:rFonts w:ascii="仿宋" w:hAnsi="仿宋" w:eastAsia="仿宋" w:cs="仿宋"/>
          <w:color w:val="000000" w:themeColor="text1"/>
          <w:sz w:val="32"/>
          <w:szCs w:val="32"/>
          <w:highlight w:val="none"/>
          <w14:textFill>
            <w14:solidFill>
              <w14:schemeClr w14:val="tx1"/>
            </w14:solidFill>
          </w14:textFill>
        </w:rPr>
        <w:t>增加0.00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主要原因是：本部门无公务接待。</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七、其他重要事项情况说明</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 机关运行经费支出情况说明</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本部门2022年度机关运行经费支出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万元，比年初预算数</w:t>
      </w:r>
      <w:r>
        <w:rPr>
          <w:rFonts w:ascii="仿宋" w:hAnsi="仿宋" w:eastAsia="仿宋" w:cs="仿宋"/>
          <w:color w:val="000000" w:themeColor="text1"/>
          <w:sz w:val="32"/>
          <w:szCs w:val="32"/>
          <w:highlight w:val="none"/>
          <w14:textFill>
            <w14:solidFill>
              <w14:schemeClr w14:val="tx1"/>
            </w14:solidFill>
          </w14:textFill>
        </w:rPr>
        <w:t>减少</w:t>
      </w:r>
      <w:r>
        <w:rPr>
          <w:rFonts w:hint="default" w:ascii="仿宋" w:hAnsi="仿宋" w:eastAsia="仿宋" w:cs="仿宋"/>
          <w:color w:val="000000" w:themeColor="text1"/>
          <w:sz w:val="32"/>
          <w:szCs w:val="32"/>
          <w:highlight w:val="none"/>
          <w:lang w:val="en"/>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szCs w:val="32"/>
          <w:highlight w:val="none"/>
          <w14:textFill>
            <w14:solidFill>
              <w14:schemeClr w14:val="tx1"/>
            </w14:solidFill>
          </w14:textFill>
        </w:rPr>
        <w:t>下降</w:t>
      </w:r>
      <w:r>
        <w:rPr>
          <w:rFonts w:hint="default" w:ascii="仿宋" w:hAnsi="仿宋" w:eastAsia="仿宋" w:cs="仿宋"/>
          <w:color w:val="000000" w:themeColor="text1"/>
          <w:sz w:val="32"/>
          <w:szCs w:val="32"/>
          <w:highlight w:val="none"/>
          <w:lang w:val="en"/>
          <w14:textFill>
            <w14:solidFill>
              <w14:schemeClr w14:val="tx1"/>
            </w14:solidFill>
          </w14:textFill>
        </w:rPr>
        <w:t>0.00</w:t>
      </w:r>
      <w:r>
        <w:rPr>
          <w:rFonts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，比上年决算数</w:t>
      </w:r>
      <w:r>
        <w:rPr>
          <w:rFonts w:ascii="仿宋" w:hAnsi="仿宋" w:eastAsia="仿宋" w:cs="仿宋"/>
          <w:color w:val="000000" w:themeColor="text1"/>
          <w:sz w:val="32"/>
          <w:szCs w:val="32"/>
          <w:highlight w:val="none"/>
          <w14:textFill>
            <w14:solidFill>
              <w14:schemeClr w14:val="tx1"/>
            </w14:solidFill>
          </w14:textFill>
        </w:rPr>
        <w:t>增加0.00</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szCs w:val="32"/>
          <w:highlight w:val="none"/>
          <w14:textFill>
            <w14:solidFill>
              <w14:schemeClr w14:val="tx1"/>
            </w14:solidFill>
          </w14:textFill>
        </w:rPr>
        <w:t>增长0%</w:t>
      </w:r>
      <w:r>
        <w:rPr>
          <w:rFonts w:hint="eastAsia" w:ascii="仿宋" w:hAnsi="仿宋" w:eastAsia="仿宋" w:cs="仿宋"/>
          <w:color w:val="000000" w:themeColor="text1"/>
          <w:sz w:val="32"/>
          <w:szCs w:val="32"/>
          <w:highlight w:val="none"/>
          <w14:textFill>
            <w14:solidFill>
              <w14:schemeClr w14:val="tx1"/>
            </w14:solidFill>
          </w14:textFill>
        </w:rPr>
        <w:t>。原因是：</w:t>
      </w:r>
      <w:r>
        <w:rPr>
          <w:rFonts w:hint="eastAsia" w:ascii="仿宋" w:hAnsi="仿宋" w:eastAsia="仿宋" w:cs="仿宋"/>
          <w:color w:val="000000" w:themeColor="text1"/>
          <w:sz w:val="32"/>
          <w:szCs w:val="32"/>
          <w:highlight w:val="none"/>
          <w:lang w:eastAsia="zh-CN"/>
          <w14:textFill>
            <w14:solidFill>
              <w14:schemeClr w14:val="tx1"/>
            </w14:solidFill>
          </w14:textFill>
        </w:rPr>
        <w:t>本年度无机关运行经费</w:t>
      </w:r>
      <w:r>
        <w:rPr>
          <w:rFonts w:hint="eastAsia" w:ascii="仿宋" w:hAnsi="仿宋" w:eastAsia="仿宋" w:cs="仿宋"/>
          <w:color w:val="000000" w:themeColor="text1"/>
          <w:sz w:val="32"/>
          <w:szCs w:val="32"/>
          <w:highlight w:val="none"/>
          <w14:textFill>
            <w14:solidFill>
              <w14:schemeClr w14:val="tx1"/>
            </w14:solidFill>
          </w14:textFill>
        </w:rPr>
        <w:t>支出。</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（二）政府采购支出情况说明</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本部门2022年度政府采购支出总额</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万元，其中：政府采购货物支出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万元、政府采购工程支出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万元、政府采购服务支出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万元。授予中小企业合同金额</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万元，占政府采购支出总额的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，其中：授予小微企业合同金额</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万元，占授予中小企业合同金额的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（三）国有资产占用情况说明</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截至2022年12月31日，本部门共有车辆</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辆，其中：副部（省）级领导干部用车</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辆、机要通信用车</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辆、应急保障用车</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辆、执法执勤用车</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辆、特种专业技术用车</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辆、其他用车</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辆；单位价值50万元以上通用设备</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台（套）；单位价值</w:t>
      </w:r>
      <w:r>
        <w:rPr>
          <w:rFonts w:hint="eastAsia" w:ascii="仿宋" w:hAnsi="仿宋" w:eastAsia="仿宋" w:cs="仿宋"/>
          <w:color w:val="000000" w:themeColor="text1"/>
          <w:sz w:val="32"/>
          <w:szCs w:val="32"/>
          <w:highlight w:val="none"/>
          <w:lang w:val="en-US" w:eastAsia="zh-CN"/>
          <w14:textFill>
            <w14:solidFill>
              <w14:schemeClr w14:val="tx1"/>
            </w14:solidFill>
          </w14:textFill>
        </w:rPr>
        <w:t>100万</w:t>
      </w:r>
      <w:r>
        <w:rPr>
          <w:rFonts w:hint="eastAsia" w:ascii="仿宋" w:hAnsi="仿宋" w:eastAsia="仿宋" w:cs="仿宋"/>
          <w:color w:val="000000" w:themeColor="text1"/>
          <w:sz w:val="32"/>
          <w:szCs w:val="32"/>
          <w:highlight w:val="none"/>
          <w14:textFill>
            <w14:solidFill>
              <w14:schemeClr w14:val="tx1"/>
            </w14:solidFill>
          </w14:textFill>
        </w:rPr>
        <w:t>元以上专用设备</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台（套）。</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（四）预算绩效管理工作开展情况</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本部门尚未开展部门整体支出绩效评价</w:t>
      </w:r>
      <w:bookmarkStart w:id="7" w:name="_GoBack"/>
      <w:bookmarkEnd w:id="7"/>
      <w:r>
        <w:rPr>
          <w:rFonts w:hint="eastAsia" w:ascii="仿宋" w:hAnsi="仿宋" w:eastAsia="仿宋" w:cs="仿宋"/>
          <w:color w:val="000000" w:themeColor="text1"/>
          <w:sz w:val="32"/>
          <w:szCs w:val="32"/>
          <w:highlight w:val="none"/>
          <w14:textFill>
            <w14:solidFill>
              <w14:schemeClr w14:val="tx1"/>
            </w14:solidFill>
          </w14:textFill>
        </w:rPr>
        <w:t>工作。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我部门根据年初设定的绩效目标，奖励性补贴、伙食补助、教师节经费、普惠幼儿园奖补县本级奖补资金项目自评得分为100分。</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2022年年初预算经费（保育教育费）项目自评得分为89.56分。发现的主要问题及原因：一是在项目资金预算绩效方面总体上是管理使用到位，但项目未完成预算资金使用量；二是学校报账材料整理比较慢，不能及时支付。下一步改进措施：及时整理报账材料，完善项目相关管理制度，并依照制度办事，为项目的实施提供有效的保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学前生均公用经费项目自评得分为85.25分。发现的主要问题及原因：一是未能制定相关管理制度，在项目实施方面还有待完善；二是学校报账材料整理比较慢，不能及时支付。下一步改进措施：及时整理报账材料并加强对幼儿园资金使用过程的监督和指导。</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学前教育保育费项目自评得分为97.96分。发现的主要问题及原因：在项目资金预算绩效方面总体上是管理使用到位，但项目未完成预算资金使用量；二是学校报账材料整理比较慢，不能及时支付。下一步改进措施：及时整理报账材料并加强对幼儿园资金使用过程的监督和指导，在项目实施方面还有待完善。</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学前教育免保教费县本级补助资金项目自评得分为83.07分。发现的主要问题及原因：一是未能制定相关管理制度，在项目实施方面还有待完善；二是学校报账材料整理比较慢，不能及时支付。下一步改进措施：及时整理报账材料，完善项目相关管理制度，并依照制度办事，为项目的实施提供有效的保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学前教育免除保教费中央补助资金项目自评得分为99.58分。发现的主要问题及原因：一是未能制定相关管理制度，在项目实施方面还有待完善；二是学校报账材料整理比较慢，不能及时支付。下一步改进措施：及时整理报账材料，完善项目相关管理制度，并依照制度办事，为项目的实施提供有效的保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普惠性民办幼儿园奖补中央补助资金项目自评得分为90.16分。发现的主要问题及原因：一是学校报账材料整理比较慢，不能及时支付。下一步改进措施：及时整理报账材料并加强对幼儿园资金使用过程的监督和指导，完善项目相关管理制度，并依照制度办事，为项目的实施提供有效的保障。</w:t>
      </w:r>
    </w:p>
    <w:p>
      <w:pPr>
        <w:jc w:val="left"/>
        <w:rPr>
          <w:rFonts w:hint="eastAsia" w:ascii="仿宋" w:hAnsi="仿宋" w:eastAsia="仿宋" w:cs="仿宋"/>
          <w:color w:val="000000" w:themeColor="text1"/>
          <w:sz w:val="32"/>
          <w:szCs w:val="32"/>
          <w:highlight w:val="none"/>
          <w14:textFill>
            <w14:solidFill>
              <w14:schemeClr w14:val="tx1"/>
            </w14:solidFill>
          </w14:textFill>
        </w:rPr>
      </w:pPr>
    </w:p>
    <w:p>
      <w:pPr>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第四部分  名词解释</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一、财政拨款收入：指</w:t>
      </w:r>
      <w:r>
        <w:rPr>
          <w:rFonts w:ascii="仿宋" w:hAnsi="仿宋" w:eastAsia="仿宋" w:cs="仿宋"/>
          <w:color w:val="000000" w:themeColor="text1"/>
          <w:sz w:val="32"/>
          <w:highlight w:val="none"/>
          <w:u w:color="auto"/>
          <w14:textFill>
            <w14:solidFill>
              <w14:schemeClr w14:val="tx1"/>
            </w14:solidFill>
          </w14:textFill>
        </w:rPr>
        <w:t>环江毛南族自治县财政部门当年拨付的资金。</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二、事业收入：指事业单位开展专业业务活动及辅助活动所取得的收入。</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三、经营收入：指事业单位在专业业务活动及其辅助活动之外开展非独立核算经营活动取得的收入。</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四、其他收入：指除上述“财政拨款收入”“事业收入”“经营收入”等以外的收入。</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六、年初结转和结余：指以前年度尚未完成、结转到本年 按有关规定继续使用的资金</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九、基本支出：指为保障机构正常运转、完成日常工作任务而发生的人员支出和公用支出。 </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十、项目支出：指在基本支出之外为完成特定行政任务和事业发展目标所发生的支出。 </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十一、经营支出：指事业单位在专业业务活动及其辅助活动之外开展非独立核算经营活动发生的支出。</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十二、“三公”经费：纳入</w:t>
      </w:r>
      <w:r>
        <w:rPr>
          <w:rFonts w:ascii="仿宋" w:hAnsi="仿宋" w:eastAsia="仿宋" w:cs="仿宋"/>
          <w:color w:val="000000" w:themeColor="text1"/>
          <w:sz w:val="32"/>
          <w:highlight w:val="none"/>
          <w:u w:color="auto"/>
          <w14:textFill>
            <w14:solidFill>
              <w14:schemeClr w14:val="tx1"/>
            </w14:solidFill>
          </w14:textFill>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NWYyMjg3NzlkNTU2ZTRkODdhZWI5ODE2MzUyZWIifQ=="/>
  </w:docVars>
  <w:rsids>
    <w:rsidRoot w:val="637D7558"/>
    <w:rsid w:val="00002C84"/>
    <w:rsid w:val="00022149"/>
    <w:rsid w:val="00047F6C"/>
    <w:rsid w:val="00093C26"/>
    <w:rsid w:val="00094B91"/>
    <w:rsid w:val="000B06D8"/>
    <w:rsid w:val="000E5855"/>
    <w:rsid w:val="001418A5"/>
    <w:rsid w:val="00147D40"/>
    <w:rsid w:val="00156EF2"/>
    <w:rsid w:val="001D7B97"/>
    <w:rsid w:val="00207BC9"/>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293C1C"/>
    <w:rsid w:val="0942143F"/>
    <w:rsid w:val="09A63F9B"/>
    <w:rsid w:val="0AB67731"/>
    <w:rsid w:val="0B5F769E"/>
    <w:rsid w:val="0D100297"/>
    <w:rsid w:val="0D202B45"/>
    <w:rsid w:val="0D757F0B"/>
    <w:rsid w:val="0F8D4C87"/>
    <w:rsid w:val="10505FAA"/>
    <w:rsid w:val="105F7E7E"/>
    <w:rsid w:val="11E56B5B"/>
    <w:rsid w:val="122B27B2"/>
    <w:rsid w:val="125C77AB"/>
    <w:rsid w:val="12BE22AC"/>
    <w:rsid w:val="135A3281"/>
    <w:rsid w:val="14CB726E"/>
    <w:rsid w:val="17E92249"/>
    <w:rsid w:val="18D304F1"/>
    <w:rsid w:val="19F32577"/>
    <w:rsid w:val="19F45B80"/>
    <w:rsid w:val="1A162353"/>
    <w:rsid w:val="1B0C078D"/>
    <w:rsid w:val="1B2B31E2"/>
    <w:rsid w:val="1B4C295A"/>
    <w:rsid w:val="1B973C63"/>
    <w:rsid w:val="1BA1001E"/>
    <w:rsid w:val="1D317259"/>
    <w:rsid w:val="1E664F5B"/>
    <w:rsid w:val="1EB34BE1"/>
    <w:rsid w:val="20DC3006"/>
    <w:rsid w:val="215E639F"/>
    <w:rsid w:val="21D95D87"/>
    <w:rsid w:val="21EC3183"/>
    <w:rsid w:val="2245341D"/>
    <w:rsid w:val="225E72CD"/>
    <w:rsid w:val="232966B0"/>
    <w:rsid w:val="23636F06"/>
    <w:rsid w:val="23F0560A"/>
    <w:rsid w:val="246E2F77"/>
    <w:rsid w:val="24E76F3C"/>
    <w:rsid w:val="254B4E2B"/>
    <w:rsid w:val="283D7C94"/>
    <w:rsid w:val="28B92CF0"/>
    <w:rsid w:val="29480E03"/>
    <w:rsid w:val="2983634D"/>
    <w:rsid w:val="2BB02055"/>
    <w:rsid w:val="2C575A56"/>
    <w:rsid w:val="2D300146"/>
    <w:rsid w:val="2F257714"/>
    <w:rsid w:val="2F3275E5"/>
    <w:rsid w:val="304271ED"/>
    <w:rsid w:val="30AA08EF"/>
    <w:rsid w:val="30D23D1C"/>
    <w:rsid w:val="31221CF5"/>
    <w:rsid w:val="31400178"/>
    <w:rsid w:val="31E2194D"/>
    <w:rsid w:val="321E3342"/>
    <w:rsid w:val="32513718"/>
    <w:rsid w:val="327759C8"/>
    <w:rsid w:val="33185FE3"/>
    <w:rsid w:val="341E587B"/>
    <w:rsid w:val="34EE2E36"/>
    <w:rsid w:val="35DC686C"/>
    <w:rsid w:val="36777241"/>
    <w:rsid w:val="371E78D5"/>
    <w:rsid w:val="375D2B5F"/>
    <w:rsid w:val="38A951DB"/>
    <w:rsid w:val="38B31605"/>
    <w:rsid w:val="39003F4F"/>
    <w:rsid w:val="3AD1189A"/>
    <w:rsid w:val="3B8F1503"/>
    <w:rsid w:val="3C07002B"/>
    <w:rsid w:val="3CCC7214"/>
    <w:rsid w:val="3D0D152A"/>
    <w:rsid w:val="3DF62756"/>
    <w:rsid w:val="3F1B7587"/>
    <w:rsid w:val="41E57B4F"/>
    <w:rsid w:val="432F26F6"/>
    <w:rsid w:val="43880F63"/>
    <w:rsid w:val="441C5A6F"/>
    <w:rsid w:val="44C44FCC"/>
    <w:rsid w:val="44CC7369"/>
    <w:rsid w:val="457F5108"/>
    <w:rsid w:val="46951B6B"/>
    <w:rsid w:val="47A83982"/>
    <w:rsid w:val="49A34401"/>
    <w:rsid w:val="4A3E30AB"/>
    <w:rsid w:val="4A673681"/>
    <w:rsid w:val="4AC14DAC"/>
    <w:rsid w:val="4CD9561D"/>
    <w:rsid w:val="4D154C85"/>
    <w:rsid w:val="4D987FF5"/>
    <w:rsid w:val="4EB35ECE"/>
    <w:rsid w:val="508F4E24"/>
    <w:rsid w:val="51461E90"/>
    <w:rsid w:val="51463753"/>
    <w:rsid w:val="5218570D"/>
    <w:rsid w:val="52553A93"/>
    <w:rsid w:val="53521F8B"/>
    <w:rsid w:val="53E22F47"/>
    <w:rsid w:val="54522FF8"/>
    <w:rsid w:val="55450629"/>
    <w:rsid w:val="560426CB"/>
    <w:rsid w:val="56692963"/>
    <w:rsid w:val="568B0F48"/>
    <w:rsid w:val="56D55E16"/>
    <w:rsid w:val="5786217B"/>
    <w:rsid w:val="590649AC"/>
    <w:rsid w:val="59337A15"/>
    <w:rsid w:val="59810274"/>
    <w:rsid w:val="5CA96A00"/>
    <w:rsid w:val="5CF730BC"/>
    <w:rsid w:val="5DFE6ACE"/>
    <w:rsid w:val="5E5F0DCE"/>
    <w:rsid w:val="5FA40A7B"/>
    <w:rsid w:val="5FD56D29"/>
    <w:rsid w:val="5FEC7F3F"/>
    <w:rsid w:val="606326E4"/>
    <w:rsid w:val="60F74BC3"/>
    <w:rsid w:val="60FD284F"/>
    <w:rsid w:val="617D3BF8"/>
    <w:rsid w:val="61841F6A"/>
    <w:rsid w:val="621C6FEF"/>
    <w:rsid w:val="623007A9"/>
    <w:rsid w:val="623C143F"/>
    <w:rsid w:val="631B1054"/>
    <w:rsid w:val="637D7558"/>
    <w:rsid w:val="644F19AC"/>
    <w:rsid w:val="65AA4920"/>
    <w:rsid w:val="65E31D0B"/>
    <w:rsid w:val="66A05667"/>
    <w:rsid w:val="67694F1E"/>
    <w:rsid w:val="69597934"/>
    <w:rsid w:val="6B2C553D"/>
    <w:rsid w:val="6B964DDC"/>
    <w:rsid w:val="6C1C0317"/>
    <w:rsid w:val="6C783074"/>
    <w:rsid w:val="6D9E65C6"/>
    <w:rsid w:val="6DA81947"/>
    <w:rsid w:val="6EB66DE2"/>
    <w:rsid w:val="6ED3075F"/>
    <w:rsid w:val="6F292F4A"/>
    <w:rsid w:val="6F2A2D4B"/>
    <w:rsid w:val="6F51652A"/>
    <w:rsid w:val="6F8A0C1E"/>
    <w:rsid w:val="703F45D4"/>
    <w:rsid w:val="70B76860"/>
    <w:rsid w:val="715D6546"/>
    <w:rsid w:val="71BE069E"/>
    <w:rsid w:val="72FD6539"/>
    <w:rsid w:val="73953409"/>
    <w:rsid w:val="73E069A3"/>
    <w:rsid w:val="77EA2662"/>
    <w:rsid w:val="78104AA8"/>
    <w:rsid w:val="78E257C5"/>
    <w:rsid w:val="794B35BE"/>
    <w:rsid w:val="79A8143C"/>
    <w:rsid w:val="7B0A3A31"/>
    <w:rsid w:val="7B3360ED"/>
    <w:rsid w:val="7BDF037E"/>
    <w:rsid w:val="7BDF6C6B"/>
    <w:rsid w:val="7BF50948"/>
    <w:rsid w:val="7CB60542"/>
    <w:rsid w:val="7CE66A78"/>
    <w:rsid w:val="7D23564C"/>
    <w:rsid w:val="7D5E062D"/>
    <w:rsid w:val="7DF76CD8"/>
    <w:rsid w:val="7F695C26"/>
    <w:rsid w:val="7FCF62D3"/>
    <w:rsid w:val="DCBE0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0.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88.69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109</c:v>
                </c:pt>
                <c:pt idx="2">
                  <c:v>2.6</c:v>
                </c:pt>
                <c:pt idx="3">
                  <c:v>0.95</c:v>
                </c:pt>
                <c:pt idx="4">
                  <c:v>0</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0.35</c:v>
                </c:pt>
                <c:pt idx="1">
                  <c:v>78.38</c:v>
                </c:pt>
                <c:pt idx="2">
                  <c:v>3.47</c:v>
                </c:pt>
                <c:pt idx="3">
                  <c:v>2.46</c:v>
                </c:pt>
                <c:pt idx="4">
                  <c:v>4.02</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0.35</c:v>
                </c:pt>
                <c:pt idx="1">
                  <c:v>0.35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2050201</c:v>
                </c:pt>
                <c:pt idx="1">
                  <c:v>2050299</c:v>
                </c:pt>
                <c:pt idx="2">
                  <c:v>205x</c:v>
                </c:pt>
              </c:strCache>
            </c:strRef>
          </c:cat>
          <c:val>
            <c:numRef>
              <c:f>Sheet1!$B$2:$B$4</c:f>
              <c:numCache>
                <c:formatCode>General</c:formatCode>
                <c:ptCount val="3"/>
                <c:pt idx="0">
                  <c:v>73.45</c:v>
                </c:pt>
                <c:pt idx="1">
                  <c:v>4.94</c:v>
                </c:pt>
                <c:pt idx="2">
                  <c:v>78.38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3.47</c:v>
                </c:pt>
                <c:pt idx="1">
                  <c:v>3.47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2.46</c:v>
                </c:pt>
                <c:pt idx="1">
                  <c:v>2.46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4.02</c:v>
                </c:pt>
                <c:pt idx="1">
                  <c:v>4.02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13.96</c:v>
                </c:pt>
                <c:pt idx="1">
                  <c:v>2.16</c:v>
                </c:pt>
                <c:pt idx="2">
                  <c:v>4.59</c:v>
                </c:pt>
                <c:pt idx="3">
                  <c:v>0</c:v>
                </c:pt>
                <c:pt idx="4">
                  <c:v>4.71</c:v>
                </c:pt>
                <c:pt idx="5">
                  <c:v>3.47</c:v>
                </c:pt>
                <c:pt idx="6">
                  <c:v>0</c:v>
                </c:pt>
                <c:pt idx="7">
                  <c:v>1.65</c:v>
                </c:pt>
                <c:pt idx="8">
                  <c:v>0</c:v>
                </c:pt>
                <c:pt idx="9">
                  <c:v>0.16</c:v>
                </c:pt>
                <c:pt idx="10">
                  <c:v>2.46</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0.35</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2023-11-28T09:47:46Z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B8F80FB34B264E30AB6A472347E05F65_13</vt:lpwstr>
  </property>
</Properties>
</file>