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环江毛南族自治县水源</w:t>
      </w:r>
      <w:r>
        <w:rPr>
          <w:rFonts w:hint="eastAsia" w:ascii="黑体" w:hAnsi="黑体" w:eastAsia="黑体" w:cs="黑体"/>
          <w:b/>
          <w:bCs/>
          <w:sz w:val="52"/>
          <w:szCs w:val="52"/>
          <w:highlight w:val="none"/>
          <w:lang w:eastAsia="zh-CN"/>
        </w:rPr>
        <w:t>镇初级</w:t>
      </w:r>
      <w:r>
        <w:rPr>
          <w:rFonts w:hint="eastAsia" w:ascii="黑体" w:hAnsi="黑体" w:eastAsia="黑体" w:cs="黑体"/>
          <w:b/>
          <w:bCs/>
          <w:sz w:val="52"/>
          <w:szCs w:val="52"/>
          <w:highlight w:val="none"/>
        </w:rPr>
        <w:t>中学2022年度部门决算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环江毛南族自治县水源镇初级中学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lang w:val="en"/>
        </w:rPr>
        <w:t>环江毛南族自治县水源镇初级中学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lang w:val="en"/>
        </w:rPr>
        <w:t>环江毛南族自治县水源镇初级中学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lang w:val="en"/>
        </w:rPr>
        <w:t>环江毛南族自治县水源镇初级中学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jc w:val="left"/>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（一）贯彻执行党和国家的教育方针、政策和法律法规；拟订本校改革与发展规划并组织实施</w:t>
      </w:r>
      <w:r>
        <w:rPr>
          <w:rFonts w:hint="eastAsia" w:ascii="仿宋_GB2312" w:hAnsi="宋体" w:eastAsia="仿宋_GB2312" w:cs="宋体"/>
          <w:sz w:val="32"/>
          <w:szCs w:val="32"/>
          <w:lang w:val="en-US" w:eastAsia="zh-CN"/>
        </w:rPr>
        <w:t>,把国家的每一分钱用在教育的关健点上</w:t>
      </w:r>
      <w:r>
        <w:rPr>
          <w:rFonts w:hint="eastAsia" w:ascii="仿宋_GB2312" w:hAnsi="宋体" w:eastAsia="仿宋_GB2312" w:cs="宋体"/>
          <w:sz w:val="32"/>
          <w:szCs w:val="32"/>
          <w:lang w:eastAsia="zh-CN"/>
        </w:rPr>
        <w:t>。</w:t>
      </w:r>
    </w:p>
    <w:p>
      <w:pPr>
        <w:ind w:firstLine="640" w:firstLineChars="200"/>
        <w:jc w:val="left"/>
        <w:rPr>
          <w:rFonts w:hint="eastAsia" w:ascii="仿宋" w:hAnsi="仿宋" w:eastAsia="仿宋" w:cs="仿宋"/>
          <w:color w:val="FF0000"/>
          <w:sz w:val="32"/>
          <w:szCs w:val="32"/>
          <w:lang w:val="en-US" w:eastAsia="zh-CN"/>
        </w:rPr>
      </w:pPr>
      <w:r>
        <w:rPr>
          <w:rFonts w:hint="eastAsia" w:ascii="仿宋_GB2312" w:hAnsi="宋体" w:eastAsia="仿宋_GB2312" w:cs="宋体"/>
          <w:sz w:val="32"/>
          <w:szCs w:val="32"/>
          <w:lang w:val="en-US" w:eastAsia="zh-CN"/>
        </w:rPr>
        <w:t>(二)围绕“教育教学”为中心展开各项工作，完善学校规章制度，增强老师的社会服务意识，提高教书育人的质量。让社会满意，家长满意。</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jc w:val="left"/>
        <w:rPr>
          <w:rFonts w:hint="eastAsia" w:ascii="黑体" w:hAnsi="黑体" w:eastAsia="黑体" w:cs="黑体"/>
          <w:sz w:val="32"/>
          <w:szCs w:val="32"/>
          <w:highlight w:val="none"/>
          <w:lang w:val="en-US" w:eastAsia="zh-CN"/>
        </w:rPr>
      </w:pPr>
      <w:r>
        <w:rPr>
          <w:rFonts w:hint="eastAsia" w:ascii="仿宋_GB2312" w:hAnsi="宋体" w:eastAsia="仿宋_GB2312" w:cs="宋体"/>
          <w:sz w:val="32"/>
          <w:szCs w:val="32"/>
          <w:lang w:eastAsia="zh-CN"/>
        </w:rPr>
        <w:t>本单位有十个内设机构，分别为：学校党政办公室、政教处、总务处、教务处、语文组、数学组、英语组、政治组、理化组、综合组。</w:t>
      </w:r>
    </w:p>
    <w:p>
      <w:pPr>
        <w:jc w:val="both"/>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lang w:val="en"/>
        </w:rPr>
        <w:t>环江毛南族自治县水源镇初级中学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1008.53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1286.18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1286.18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1008.53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1008.53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1007.58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1007.58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965.29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965.29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1286.18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1106.08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180.10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1008.53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929.39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1007.58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929.39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78.19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965.29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914.72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12.76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12.76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1008.53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1008.53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81.18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81.18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1286.18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1286.18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1286.18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1286.18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1106.08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180.10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1008.53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929.39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1007.58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929.39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78.19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965.29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914.72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27.63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100.96</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849.67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419.65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49.08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15.58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134.79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4.38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86.91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11.20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104.30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21.71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996.89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109.19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color w:val="auto"/>
              </w:rPr>
            </w:pPr>
            <w:r>
              <w:rPr>
                <w:rFonts w:hint="eastAsia" w:ascii="宋体" w:hAnsi="宋体" w:eastAsia="宋体" w:cs="宋体"/>
                <w:color w:val="000000"/>
                <w:kern w:val="0"/>
                <w:sz w:val="22"/>
                <w:szCs w:val="22"/>
                <w:highlight w:val="none"/>
                <w:lang w:eastAsia="zh-CN" w:bidi="ar"/>
              </w:rPr>
              <w:t>说明</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lang w:val="en"/>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lang w:val="en"/>
              </w:rPr>
              <w:t>环江毛南族自治县水源镇初级中学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lang w:val="en"/>
        </w:rPr>
        <w:t>环江毛南族自治县水源镇初级中学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1286.18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减少176.29</w:t>
      </w:r>
      <w:r>
        <w:rPr>
          <w:rFonts w:hint="eastAsia" w:ascii="仿宋" w:hAnsi="仿宋" w:eastAsia="仿宋" w:cs="仿宋"/>
          <w:sz w:val="32"/>
          <w:szCs w:val="32"/>
          <w:highlight w:val="none"/>
        </w:rPr>
        <w:t>万元，</w:t>
      </w:r>
      <w:r>
        <w:rPr>
          <w:rFonts w:ascii="仿宋" w:hAnsi="仿宋" w:eastAsia="仿宋" w:cs="仿宋"/>
          <w:sz w:val="32"/>
          <w:u w:color="auto"/>
        </w:rPr>
        <w:t>下降12.05%</w:t>
      </w:r>
      <w:r>
        <w:rPr>
          <w:rFonts w:hint="eastAsia" w:ascii="仿宋" w:hAnsi="仿宋" w:eastAsia="仿宋" w:cs="仿宋"/>
          <w:sz w:val="32"/>
          <w:szCs w:val="32"/>
          <w:highlight w:val="none"/>
        </w:rPr>
        <w:t>，其中本年收入</w:t>
      </w:r>
      <w:r>
        <w:rPr>
          <w:rFonts w:ascii="仿宋" w:hAnsi="仿宋" w:eastAsia="仿宋" w:cs="仿宋"/>
          <w:sz w:val="32"/>
          <w:u w:color="auto"/>
        </w:rPr>
        <w:t>1286.18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lang w:val="en-US" w:eastAsia="zh-CN"/>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1286.18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增加13.05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增长1.03%</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主要原因：主要原因</w:t>
      </w:r>
      <w:r>
        <w:rPr>
          <w:rFonts w:hint="default"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lang w:eastAsia="zh-CN"/>
        </w:rPr>
        <w:t>职工工资比</w:t>
      </w:r>
      <w:r>
        <w:rPr>
          <w:rFonts w:hint="eastAsia" w:ascii="Times New Roman" w:hAnsi="Times New Roman" w:eastAsia="仿宋_GB2312" w:cs="Times New Roman"/>
          <w:kern w:val="0"/>
          <w:sz w:val="32"/>
          <w:szCs w:val="32"/>
          <w:lang w:val="en-US" w:eastAsia="zh-CN"/>
        </w:rPr>
        <w:t>2021年提高了,</w:t>
      </w:r>
    </w:p>
    <w:p>
      <w:pPr>
        <w:keepNext w:val="0"/>
        <w:keepLines w:val="0"/>
        <w:widowControl w:val="0"/>
        <w:suppressLineNumbers w:val="0"/>
        <w:spacing w:before="0" w:beforeAutospacing="0" w:after="0" w:afterAutospacing="0"/>
        <w:ind w:left="0" w:right="0"/>
        <w:jc w:val="both"/>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w:t>
      </w:r>
      <w:r>
        <w:rPr>
          <w:rFonts w:hint="eastAsia" w:ascii="仿宋" w:hAnsi="仿宋" w:eastAsia="仿宋" w:cs="仿宋"/>
          <w:kern w:val="2"/>
          <w:sz w:val="32"/>
          <w:szCs w:val="32"/>
          <w:highlight w:val="none"/>
          <w:lang w:val="en-US" w:eastAsia="zh-CN" w:bidi="ar"/>
        </w:rPr>
        <w:t>要原因：本部门</w:t>
      </w:r>
      <w:r>
        <w:rPr>
          <w:rFonts w:hint="default" w:ascii="仿宋" w:hAnsi="仿宋" w:eastAsia="仿宋" w:cs="仿宋"/>
          <w:kern w:val="2"/>
          <w:sz w:val="32"/>
          <w:szCs w:val="32"/>
          <w:highlight w:val="none"/>
          <w:lang w:val="en-US" w:eastAsia="zh-CN" w:bidi="ar"/>
        </w:rPr>
        <w:t>2022</w:t>
      </w:r>
      <w:r>
        <w:rPr>
          <w:rFonts w:hint="eastAsia" w:ascii="仿宋" w:hAnsi="仿宋" w:eastAsia="仿宋" w:cs="仿宋"/>
          <w:kern w:val="2"/>
          <w:sz w:val="32"/>
          <w:szCs w:val="32"/>
          <w:highlight w:val="none"/>
          <w:lang w:val="en-US" w:eastAsia="zh-CN" w:bidi="ar"/>
        </w:rPr>
        <w:t>年度没有政府性基金预算财政拨款收入，也没有政府性基金预算财政拨款安排的支出。</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b w:val="0"/>
          <w:bCs w:val="0"/>
          <w:sz w:val="28"/>
          <w:szCs w:val="28"/>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w:t>
      </w:r>
      <w:r>
        <w:rPr>
          <w:rFonts w:hint="eastAsia" w:ascii="仿宋" w:hAnsi="仿宋" w:eastAsia="仿宋" w:cs="仿宋"/>
          <w:kern w:val="2"/>
          <w:sz w:val="32"/>
          <w:szCs w:val="32"/>
          <w:highlight w:val="none"/>
          <w:lang w:val="en-US" w:eastAsia="zh-CN" w:bidi="ar"/>
        </w:rPr>
        <w:t>原因是：本部门</w:t>
      </w:r>
      <w:r>
        <w:rPr>
          <w:rFonts w:hint="default" w:ascii="仿宋" w:hAnsi="仿宋" w:eastAsia="仿宋" w:cs="仿宋"/>
          <w:kern w:val="2"/>
          <w:sz w:val="32"/>
          <w:szCs w:val="32"/>
          <w:highlight w:val="none"/>
          <w:lang w:val="en-US" w:eastAsia="zh-CN" w:bidi="ar"/>
        </w:rPr>
        <w:t>2022</w:t>
      </w:r>
      <w:r>
        <w:rPr>
          <w:rFonts w:hint="eastAsia" w:ascii="仿宋" w:hAnsi="仿宋" w:eastAsia="仿宋" w:cs="仿宋"/>
          <w:kern w:val="2"/>
          <w:sz w:val="32"/>
          <w:szCs w:val="32"/>
          <w:highlight w:val="none"/>
          <w:lang w:val="en-US" w:eastAsia="zh-CN" w:bidi="ar"/>
        </w:rPr>
        <w:t>年度没有国有资本经营预算财政拨款收入，也没有国有资本经营预算财政拨款安排的支出。</w:t>
      </w:r>
    </w:p>
    <w:p>
      <w:pPr>
        <w:keepNext w:val="0"/>
        <w:keepLines w:val="0"/>
        <w:widowControl w:val="0"/>
        <w:suppressLineNumbers w:val="0"/>
        <w:spacing w:before="0" w:beforeAutospacing="0" w:after="0" w:afterAutospacing="0"/>
        <w:ind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本单是财政全额拨款单位,没有上级补助收入.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本单是财政全额拨款单位,本单位没有事业收入。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本单是财政全额拨款单位,本单位没有经营性收入。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本单是财政全额拨款单位,本单位没有非财政拨款结余。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减少189.34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17182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1286.18</w:t>
      </w:r>
      <w:r>
        <w:rPr>
          <w:rFonts w:hint="eastAsia" w:ascii="仿宋" w:hAnsi="仿宋" w:eastAsia="仿宋" w:cs="仿宋"/>
          <w:sz w:val="32"/>
          <w:szCs w:val="32"/>
          <w:highlight w:val="none"/>
        </w:rPr>
        <w:t>万元，其中本年支出</w:t>
      </w:r>
      <w:r>
        <w:rPr>
          <w:rFonts w:ascii="仿宋" w:hAnsi="仿宋" w:eastAsia="仿宋" w:cs="仿宋"/>
          <w:sz w:val="32"/>
          <w:u w:color="auto"/>
        </w:rPr>
        <w:t>1286.18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减少176.29</w:t>
      </w:r>
      <w:r>
        <w:rPr>
          <w:rFonts w:hint="eastAsia" w:ascii="仿宋" w:hAnsi="仿宋" w:eastAsia="仿宋" w:cs="仿宋"/>
          <w:sz w:val="32"/>
          <w:szCs w:val="32"/>
          <w:highlight w:val="none"/>
        </w:rPr>
        <w:t>万元，</w:t>
      </w:r>
      <w:r>
        <w:rPr>
          <w:rFonts w:ascii="仿宋" w:hAnsi="仿宋" w:eastAsia="仿宋" w:cs="仿宋"/>
          <w:sz w:val="32"/>
          <w:u w:color="auto"/>
        </w:rPr>
        <w:t>下降12.05%</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12.76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：学校职工活动经费（工会费）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增加12.76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主要原因是：2021年没有这项经费（没成有会费经费）。</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1008.53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：教师工资福利支出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减少76.21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下降7.03%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主要原因是：本单位教职工人数减少了，2021年领工资人数68人，2022年是59人。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81.18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：缴教职工养老保险单位部分</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减少82.25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下降50.33%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主要原因是：2021年补缴2020年的五险,因此2022年比2021年数据少得多。</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70.74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：缴本单位教职工住房公积金单位部分</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增加5.53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增长8.48%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主要原因是：工资提高了，住房公积金基数也提高了。</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112.96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：缴本单位职工医疗</w:t>
      </w:r>
      <w:r>
        <w:rPr>
          <w:rFonts w:hint="eastAsia" w:ascii="宋体" w:hAnsi="宋体" w:eastAsia="宋体" w:cs="宋体"/>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工伤</w:t>
      </w:r>
      <w:r>
        <w:rPr>
          <w:rFonts w:hint="eastAsia" w:ascii="宋体" w:hAnsi="宋体" w:eastAsia="宋体" w:cs="宋体"/>
          <w:color w:val="000000" w:themeColor="text1"/>
          <w:sz w:val="32"/>
          <w:szCs w:val="32"/>
          <w:highlight w:val="none"/>
          <w:lang w:eastAsia="zh-CN"/>
          <w14:textFill>
            <w14:solidFill>
              <w14:schemeClr w14:val="tx1"/>
            </w14:solidFill>
          </w14:textFill>
        </w:rPr>
        <w:t>、失业保险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减少36.14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下降24.24%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主要原因是：人员减少了，缴的数也减了。</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：国库集中支付，没有结</w:t>
      </w:r>
      <w:r>
        <w:rPr>
          <w:rFonts w:hint="default" w:ascii="仿宋_GB2312" w:hAnsi="微软雅黑" w:eastAsia="仿宋_GB2312" w:cs="仿宋_GB2312"/>
          <w:i w:val="0"/>
          <w:iCs w:val="0"/>
          <w:caps w:val="0"/>
          <w:color w:val="000000"/>
          <w:spacing w:val="0"/>
          <w:sz w:val="31"/>
          <w:szCs w:val="31"/>
          <w:highlight w:val="none"/>
          <w:shd w:val="clear" w:color="auto" w:fill="FFFFFF"/>
        </w:rPr>
        <w:t>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主要原因是：国库集中支付，没有结</w:t>
      </w:r>
      <w:r>
        <w:rPr>
          <w:rFonts w:hint="default" w:ascii="仿宋_GB2312" w:hAnsi="微软雅黑" w:eastAsia="仿宋_GB2312" w:cs="仿宋_GB2312"/>
          <w:i w:val="0"/>
          <w:iCs w:val="0"/>
          <w:caps w:val="0"/>
          <w:color w:val="000000"/>
          <w:spacing w:val="0"/>
          <w:sz w:val="31"/>
          <w:szCs w:val="31"/>
          <w:highlight w:val="none"/>
          <w:shd w:val="clear" w:color="auto" w:fill="FFFFFF"/>
        </w:rPr>
        <w:t>余分配</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32935" cy="2679700"/>
            <wp:effectExtent l="4445" t="4445" r="2032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default" w:ascii="仿宋" w:hAnsi="仿宋" w:eastAsia="仿宋" w:cs="仿宋"/>
          <w:sz w:val="32"/>
          <w:szCs w:val="32"/>
          <w:highlight w:val="none"/>
          <w:lang w:val="en"/>
        </w:rPr>
        <w:t>环江毛南族自治县水源镇初级中学</w:t>
      </w:r>
      <w:r>
        <w:rPr>
          <w:rFonts w:hint="eastAsia" w:ascii="仿宋" w:hAnsi="仿宋" w:eastAsia="仿宋" w:cs="仿宋"/>
          <w:sz w:val="32"/>
          <w:szCs w:val="32"/>
          <w:highlight w:val="none"/>
        </w:rPr>
        <w:t>2022年度一般公共预算财政拨款支出</w:t>
      </w:r>
      <w:r>
        <w:rPr>
          <w:rFonts w:ascii="仿宋" w:hAnsi="仿宋" w:eastAsia="仿宋" w:cs="仿宋"/>
          <w:sz w:val="32"/>
          <w:u w:color="auto"/>
        </w:rPr>
        <w:t>1286.18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减少176.29</w:t>
      </w:r>
      <w:r>
        <w:rPr>
          <w:rFonts w:hint="eastAsia" w:ascii="仿宋" w:hAnsi="仿宋" w:eastAsia="仿宋" w:cs="仿宋"/>
          <w:sz w:val="32"/>
          <w:szCs w:val="32"/>
          <w:highlight w:val="none"/>
        </w:rPr>
        <w:t>万元，</w:t>
      </w:r>
      <w:r>
        <w:rPr>
          <w:rFonts w:ascii="仿宋" w:hAnsi="仿宋" w:eastAsia="仿宋" w:cs="仿宋"/>
          <w:sz w:val="32"/>
          <w:u w:color="auto"/>
        </w:rPr>
        <w:t>下降12.05%</w:t>
      </w:r>
      <w:r>
        <w:rPr>
          <w:rFonts w:hint="eastAsia" w:ascii="仿宋" w:hAnsi="仿宋" w:eastAsia="仿宋" w:cs="仿宋"/>
          <w:sz w:val="32"/>
          <w:szCs w:val="32"/>
          <w:highlight w:val="none"/>
        </w:rPr>
        <w:t>。其中：基本支出</w:t>
      </w:r>
      <w:r>
        <w:rPr>
          <w:rFonts w:ascii="仿宋" w:hAnsi="仿宋" w:eastAsia="仿宋" w:cs="仿宋"/>
          <w:sz w:val="32"/>
          <w:u w:color="auto"/>
        </w:rPr>
        <w:t>1106.08</w:t>
      </w:r>
      <w:r>
        <w:rPr>
          <w:rFonts w:hint="eastAsia" w:ascii="仿宋" w:hAnsi="仿宋" w:eastAsia="仿宋" w:cs="仿宋"/>
          <w:sz w:val="32"/>
          <w:szCs w:val="32"/>
          <w:highlight w:val="none"/>
        </w:rPr>
        <w:t>万元，项目支出</w:t>
      </w:r>
      <w:r>
        <w:rPr>
          <w:rFonts w:ascii="仿宋" w:hAnsi="仿宋" w:eastAsia="仿宋" w:cs="仿宋"/>
          <w:sz w:val="32"/>
          <w:u w:color="auto"/>
        </w:rPr>
        <w:t>180.10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default" w:ascii="仿宋" w:hAnsi="仿宋" w:eastAsia="仿宋" w:cs="仿宋"/>
          <w:sz w:val="32"/>
          <w:szCs w:val="32"/>
          <w:highlight w:val="none"/>
          <w:lang w:val="en"/>
        </w:rPr>
        <w:t>环江毛南族自治县水源镇初级中学</w:t>
      </w:r>
      <w:r>
        <w:rPr>
          <w:rFonts w:hint="eastAsia" w:ascii="仿宋" w:hAnsi="仿宋" w:eastAsia="仿宋" w:cs="仿宋"/>
          <w:sz w:val="32"/>
          <w:szCs w:val="32"/>
          <w:highlight w:val="none"/>
        </w:rPr>
        <w:t>2022 年度一般公共预算财政拨款支出年初预算为</w:t>
      </w:r>
      <w:r>
        <w:rPr>
          <w:rFonts w:ascii="仿宋" w:hAnsi="仿宋" w:eastAsia="仿宋" w:cs="仿宋"/>
          <w:sz w:val="32"/>
          <w:u w:color="auto"/>
        </w:rPr>
        <w:t>928.51</w:t>
      </w:r>
      <w:r>
        <w:rPr>
          <w:rFonts w:hint="eastAsia" w:ascii="仿宋" w:hAnsi="仿宋" w:eastAsia="仿宋" w:cs="仿宋"/>
          <w:sz w:val="32"/>
          <w:szCs w:val="32"/>
          <w:highlight w:val="none"/>
        </w:rPr>
        <w:t>万元，支出决算为</w:t>
      </w:r>
      <w:r>
        <w:rPr>
          <w:rFonts w:ascii="仿宋" w:hAnsi="仿宋" w:eastAsia="仿宋" w:cs="仿宋"/>
          <w:sz w:val="32"/>
          <w:u w:color="auto"/>
        </w:rPr>
        <w:t>1286.18</w:t>
      </w:r>
      <w:r>
        <w:rPr>
          <w:rFonts w:hint="eastAsia" w:ascii="仿宋" w:hAnsi="仿宋" w:eastAsia="仿宋" w:cs="仿宋"/>
          <w:sz w:val="32"/>
          <w:szCs w:val="32"/>
          <w:highlight w:val="none"/>
        </w:rPr>
        <w:t>万元，完成年初预算的</w:t>
      </w:r>
      <w:r>
        <w:rPr>
          <w:rFonts w:ascii="仿宋" w:hAnsi="仿宋" w:eastAsia="仿宋" w:cs="仿宋"/>
          <w:sz w:val="32"/>
          <w:u w:color="auto"/>
        </w:rPr>
        <w:t>138.52%</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12.76</w:t>
      </w:r>
      <w:r>
        <w:rPr>
          <w:rFonts w:hint="eastAsia" w:ascii="仿宋" w:hAnsi="仿宋" w:eastAsia="仿宋"/>
          <w:sz w:val="32"/>
          <w:szCs w:val="32"/>
          <w:highlight w:val="none"/>
        </w:rPr>
        <w:t>万元，支出决算为</w:t>
      </w:r>
      <w:r>
        <w:rPr>
          <w:rFonts w:ascii="仿宋" w:hAnsi="仿宋" w:eastAsia="仿宋"/>
          <w:sz w:val="32"/>
          <w:szCs w:val="32"/>
          <w:highlight w:val="none"/>
        </w:rPr>
        <w:t>12.76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w:t>
      </w:r>
      <w:r>
        <w:rPr>
          <w:rFonts w:hint="eastAsia" w:ascii="仿宋" w:hAnsi="仿宋" w:eastAsia="仿宋"/>
          <w:color w:val="000000" w:themeColor="text1"/>
          <w:sz w:val="32"/>
          <w:szCs w:val="32"/>
          <w:highlight w:val="none"/>
          <w14:textFill>
            <w14:solidFill>
              <w14:schemeClr w14:val="tx1"/>
            </w14:solidFill>
          </w14:textFill>
        </w:rPr>
        <w:t>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eastAsia="zh-CN"/>
                <w14:textFill>
                  <w14:solidFill>
                    <w14:schemeClr w14:val="tx1"/>
                  </w14:solidFill>
                </w14:textFill>
              </w:rPr>
              <w:t>学校职工活动经费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737.04</w:t>
      </w:r>
      <w:r>
        <w:rPr>
          <w:rFonts w:hint="eastAsia" w:ascii="仿宋" w:hAnsi="仿宋" w:eastAsia="仿宋"/>
          <w:sz w:val="32"/>
          <w:szCs w:val="32"/>
          <w:highlight w:val="none"/>
        </w:rPr>
        <w:t>万元，支出决算为</w:t>
      </w:r>
      <w:r>
        <w:rPr>
          <w:rFonts w:ascii="仿宋" w:hAnsi="仿宋" w:eastAsia="仿宋"/>
          <w:sz w:val="32"/>
          <w:szCs w:val="32"/>
          <w:highlight w:val="none"/>
        </w:rPr>
        <w:t>1008.53</w:t>
      </w:r>
      <w:r>
        <w:rPr>
          <w:rFonts w:hint="eastAsia" w:ascii="仿宋" w:hAnsi="仿宋" w:eastAsia="仿宋"/>
          <w:sz w:val="32"/>
          <w:szCs w:val="32"/>
          <w:highlight w:val="none"/>
        </w:rPr>
        <w:t>万元，完成年初预算的</w:t>
      </w:r>
      <w:r>
        <w:rPr>
          <w:rFonts w:ascii="仿宋" w:hAnsi="仿宋" w:eastAsia="仿宋"/>
          <w:sz w:val="32"/>
          <w:szCs w:val="32"/>
          <w:highlight w:val="none"/>
        </w:rPr>
        <w:t>136.84%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原因是：年内教师工资提高了。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737.04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965.29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130.97%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年内工资提高了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特岗老师的工资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年初没有做特岗教师工资预算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9月份新来老师五险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年初没有做预算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737.04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1008.53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102.12</w:t>
      </w:r>
      <w:r>
        <w:rPr>
          <w:rFonts w:hint="eastAsia" w:ascii="仿宋" w:hAnsi="仿宋" w:eastAsia="仿宋"/>
          <w:sz w:val="32"/>
          <w:szCs w:val="32"/>
          <w:highlight w:val="none"/>
        </w:rPr>
        <w:t>万元，支出决算为</w:t>
      </w:r>
      <w:r>
        <w:rPr>
          <w:rFonts w:ascii="仿宋" w:hAnsi="仿宋" w:eastAsia="仿宋"/>
          <w:sz w:val="32"/>
          <w:szCs w:val="32"/>
          <w:highlight w:val="none"/>
        </w:rPr>
        <w:t>81.18</w:t>
      </w:r>
      <w:r>
        <w:rPr>
          <w:rFonts w:hint="eastAsia" w:ascii="仿宋" w:hAnsi="仿宋" w:eastAsia="仿宋"/>
          <w:sz w:val="32"/>
          <w:szCs w:val="32"/>
          <w:highlight w:val="none"/>
        </w:rPr>
        <w:t>万元，完成年初预算的</w:t>
      </w:r>
      <w:r>
        <w:rPr>
          <w:rFonts w:ascii="仿宋" w:hAnsi="仿宋" w:eastAsia="仿宋"/>
          <w:sz w:val="32"/>
          <w:szCs w:val="32"/>
          <w:highlight w:val="none"/>
        </w:rPr>
        <w:t>79.49%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i w:val="0"/>
          <w:iCs w:val="0"/>
          <w:color w:val="auto"/>
          <w:sz w:val="28"/>
          <w:szCs w:val="28"/>
          <w:highlight w:val="none"/>
          <w:u w:val="none"/>
          <w:lang w:val="en-US" w:eastAsia="zh-CN"/>
        </w:rPr>
        <w:t>年内教职工人数减少了。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81.18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主要用于缴单位职工养老保险单位部分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年内教职工人数减少了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81.18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638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sz w:val="28"/>
          <w:szCs w:val="28"/>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76.59</w:t>
      </w:r>
      <w:r>
        <w:rPr>
          <w:rFonts w:hint="eastAsia" w:ascii="仿宋" w:hAnsi="仿宋" w:eastAsia="仿宋"/>
          <w:sz w:val="32"/>
          <w:szCs w:val="32"/>
          <w:highlight w:val="none"/>
        </w:rPr>
        <w:t>万元，支出决算为</w:t>
      </w:r>
      <w:r>
        <w:rPr>
          <w:rFonts w:ascii="仿宋" w:hAnsi="仿宋" w:eastAsia="仿宋"/>
          <w:sz w:val="32"/>
          <w:szCs w:val="32"/>
          <w:highlight w:val="none"/>
        </w:rPr>
        <w:t>70.74</w:t>
      </w:r>
      <w:r>
        <w:rPr>
          <w:rFonts w:hint="eastAsia" w:ascii="仿宋" w:hAnsi="仿宋" w:eastAsia="仿宋"/>
          <w:sz w:val="32"/>
          <w:szCs w:val="32"/>
          <w:highlight w:val="none"/>
        </w:rPr>
        <w:t>万元，完成年初预算的</w:t>
      </w:r>
      <w:r>
        <w:rPr>
          <w:rFonts w:ascii="仿宋" w:hAnsi="仿宋" w:eastAsia="仿宋"/>
          <w:sz w:val="32"/>
          <w:szCs w:val="32"/>
          <w:highlight w:val="none"/>
        </w:rPr>
        <w:t>92.36%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宋体" w:hAnsi="宋体" w:eastAsia="宋体" w:cs="宋体"/>
          <w:i w:val="0"/>
          <w:iCs w:val="0"/>
          <w:color w:val="auto"/>
          <w:sz w:val="28"/>
          <w:szCs w:val="28"/>
          <w:highlight w:val="none"/>
          <w:u w:val="none"/>
          <w:lang w:val="en-US" w:eastAsia="zh-CN"/>
        </w:rPr>
        <w:t>年内教职工人数减少了。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缴本单位教职工住房公积金单位部分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年内教职工人数减少了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129280"/>
            <wp:effectExtent l="4445" t="4445" r="16510" b="952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112.96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原因是：2022年年中执行政府绩效考评奖，新政策年初没有做预算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发放职工</w:t>
            </w:r>
            <w:r>
              <w:rPr>
                <w:rFonts w:hint="eastAsia" w:ascii="仿宋" w:hAnsi="仿宋" w:eastAsia="仿宋"/>
                <w:color w:val="000000" w:themeColor="text1"/>
                <w:sz w:val="21"/>
                <w:szCs w:val="21"/>
                <w:highlight w:val="none"/>
                <w:lang w:val="en-US" w:eastAsia="zh-CN"/>
                <w14:textFill>
                  <w14:solidFill>
                    <w14:schemeClr w14:val="tx1"/>
                  </w14:solidFill>
                </w14:textFill>
              </w:rPr>
              <w:t>政府绩效考评奖</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2022年年中执行政府绩效考评奖，新政策年初没有做预算</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112.96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default" w:ascii="仿宋" w:hAnsi="仿宋" w:eastAsia="仿宋" w:cs="仿宋"/>
          <w:sz w:val="32"/>
          <w:szCs w:val="32"/>
          <w:highlight w:val="none"/>
          <w:lang w:val="en"/>
        </w:rPr>
        <w:t>环江毛南族自治县水源镇初级中学</w:t>
      </w:r>
      <w:r>
        <w:rPr>
          <w:rFonts w:hint="eastAsia" w:ascii="仿宋" w:hAnsi="仿宋" w:eastAsia="仿宋" w:cs="仿宋"/>
          <w:sz w:val="32"/>
          <w:szCs w:val="32"/>
          <w:highlight w:val="none"/>
        </w:rPr>
        <w:t>2022年度一般公共预算财政拨款基本支出</w:t>
      </w:r>
      <w:r>
        <w:rPr>
          <w:rFonts w:ascii="仿宋" w:hAnsi="仿宋" w:eastAsia="仿宋" w:cs="仿宋"/>
          <w:sz w:val="32"/>
          <w:u w:color="auto"/>
        </w:rPr>
        <w:t>1106.08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996.89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109.19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849.67万元，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102.65%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决算超出预算的原因是年内工资福利提高了</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419.65万元，30102津贴补贴49.08万元，30103奖金37.66万元，30107绩效工资134.79万元，30108机关事业单位基本养老保险缴费86.91万元，30110职工基本医疗保险缴费44.59万元，30112其他社会保障缴费5.02万元，30113住房公积金70.74万元，30199其他工资福利支出1.23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93.61万元，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eastAsia" w:ascii="仿宋" w:hAnsi="仿宋" w:eastAsia="仿宋" w:cs="仿宋"/>
          <w:sz w:val="32"/>
          <w:szCs w:val="32"/>
          <w:highlight w:val="none"/>
        </w:rPr>
        <w:t>33.62%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主要原因是：年内维修费和办公费增加了.</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30201办公费37.07万元，30205水费1.51万元，30206电费6.43万元，30207邮电费3.17万元，30211差旅费5.43万元，30213维修（护）费3.32万元，30226劳务费2.21万元，30228工会经费12.76万元，30299其他商品和服务支出21.71万元。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50160"/>
            <wp:effectExtent l="4445" t="4445" r="16510" b="1714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147.22万元，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459.63%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主要原因是：遗属生活补助和退休生活补助都提高了.</w:t>
      </w:r>
      <w:r>
        <w:rPr>
          <w:rFonts w:hint="eastAsia" w:ascii="仿宋" w:hAnsi="仿宋" w:eastAsia="仿宋" w:cs="仿宋"/>
          <w:sz w:val="32"/>
          <w:szCs w:val="32"/>
          <w:highlight w:val="none"/>
          <w:lang w:val="en-US" w:eastAsia="zh-CN"/>
        </w:rPr>
        <w:t>抚恤金是年中增加的项目。</w:t>
      </w:r>
    </w:p>
    <w:p>
      <w:pPr>
        <w:ind w:firstLine="640" w:firstLineChars="200"/>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30304抚恤金8.85万元，30305生活补助34.07万元，30308助学金104.30万</w:t>
      </w:r>
      <w:r>
        <w:rPr>
          <w:rFonts w:hint="eastAsia" w:ascii="仿宋" w:hAnsi="仿宋" w:eastAsia="仿宋" w:cs="仿宋"/>
          <w:sz w:val="32"/>
          <w:szCs w:val="32"/>
          <w:highlight w:val="none"/>
        </w:rPr>
        <w:drawing>
          <wp:inline distT="0" distB="0" distL="114300" distR="114300">
            <wp:extent cx="4474845" cy="289179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8765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15.58万元，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主要原因是：年中增加购买教学一体机。年初没有规划。</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31002办公设备购置4.38万元，31003专用设备购置11.20万元。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8765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default" w:ascii="仿宋" w:hAnsi="仿宋" w:eastAsia="仿宋" w:cs="仿宋"/>
          <w:sz w:val="32"/>
          <w:szCs w:val="32"/>
          <w:highlight w:val="none"/>
          <w:lang w:val="en"/>
        </w:rPr>
        <w:t>环江毛南族自治县水源镇初级中学</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default" w:ascii="仿宋" w:hAnsi="仿宋" w:eastAsia="仿宋" w:cs="仿宋"/>
          <w:sz w:val="32"/>
          <w:szCs w:val="32"/>
          <w:highlight w:val="none"/>
          <w:lang w:val="en"/>
        </w:rPr>
        <w:t>环江毛南族自治县水源镇初级中学</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default" w:ascii="仿宋_GB2312" w:hAnsi="Times New Roman" w:eastAsia="仿宋_GB2312" w:cs="Times New Roman"/>
          <w:color w:val="auto"/>
          <w:sz w:val="32"/>
          <w:szCs w:val="32"/>
          <w:lang w:val="en"/>
        </w:rPr>
        <w:t>环江毛南族自治县水源镇初级中学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default" w:ascii="仿宋" w:hAnsi="仿宋" w:eastAsia="仿宋" w:cs="仿宋"/>
          <w:sz w:val="32"/>
          <w:szCs w:val="32"/>
          <w:highlight w:val="none"/>
          <w:lang w:val="en"/>
        </w:rPr>
        <w:t>环江毛南族自治县水源镇初级中学</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default" w:ascii="仿宋" w:hAnsi="仿宋" w:eastAsia="仿宋" w:cs="仿宋"/>
          <w:sz w:val="32"/>
          <w:szCs w:val="32"/>
          <w:highlight w:val="none"/>
          <w:lang w:val="en"/>
        </w:rPr>
        <w:t>环江毛南族自治县水源镇初级中学</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default" w:ascii="仿宋_GB2312" w:hAnsi="Times New Roman" w:eastAsia="仿宋_GB2312" w:cs="Times New Roman"/>
          <w:color w:val="auto"/>
          <w:sz w:val="32"/>
          <w:szCs w:val="32"/>
          <w:lang w:val="en"/>
        </w:rPr>
        <w:t>环江毛南族自治县水源镇初级中学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主要原因是：本单位没有此项经费。</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本单位没有此项经费。</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本单位没有公务车。</w:t>
      </w:r>
      <w:r>
        <w:rPr>
          <w:rFonts w:hint="eastAsia" w:ascii="仿宋" w:hAnsi="仿宋" w:eastAsia="仿宋" w:cs="仿宋"/>
          <w:sz w:val="32"/>
          <w:szCs w:val="32"/>
          <w:highlight w:val="none"/>
        </w:rPr>
        <w:t>2022年，</w:t>
      </w:r>
      <w:r>
        <w:rPr>
          <w:rFonts w:ascii="仿宋" w:hAnsi="仿宋" w:eastAsia="仿宋" w:cs="仿宋"/>
          <w:sz w:val="32"/>
          <w:u w:color="auto"/>
          <w:lang w:val="en"/>
        </w:rPr>
        <w:t>环江毛南族自治县水源镇初级中学</w:t>
      </w:r>
      <w:r>
        <w:rPr>
          <w:rFonts w:hint="eastAsia" w:ascii="仿宋" w:hAnsi="仿宋" w:eastAsia="仿宋" w:cs="仿宋"/>
          <w:sz w:val="32"/>
          <w:szCs w:val="32"/>
          <w:highlight w:val="none"/>
        </w:rPr>
        <w:t>及</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本单位没有此项经费。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本单位是义务教育学校，</w:t>
      </w:r>
      <w:r>
        <w:rPr>
          <w:rFonts w:hint="eastAsia" w:ascii="仿宋" w:hAnsi="仿宋" w:eastAsia="仿宋" w:cs="仿宋"/>
          <w:sz w:val="32"/>
          <w:szCs w:val="32"/>
          <w:highlight w:val="none"/>
          <w:lang w:val="en-US" w:eastAsia="zh-CN"/>
        </w:rPr>
        <w:t>无机关运行经费支出</w:t>
      </w:r>
      <w:bookmarkStart w:id="5" w:name="_GoBack"/>
      <w:bookmarkEnd w:id="5"/>
      <w:r>
        <w:rPr>
          <w:rFonts w:hint="eastAsia" w:ascii="仿宋" w:hAnsi="仿宋" w:eastAsia="仿宋" w:cs="仿宋"/>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334.11</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25.98</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val="en-US"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eastAsia="zh-CN"/>
          <w14:textFill>
            <w14:solidFill>
              <w14:schemeClr w14:val="tx1"/>
            </w14:solidFill>
          </w14:textFill>
        </w:rPr>
        <w:t>校</w:t>
      </w:r>
      <w:r>
        <w:rPr>
          <w:rFonts w:hint="eastAsia" w:ascii="仿宋" w:hAnsi="仿宋" w:eastAsia="仿宋" w:cs="仿宋"/>
          <w:color w:val="000000" w:themeColor="text1"/>
          <w:sz w:val="32"/>
          <w:szCs w:val="32"/>
          <w14:textFill>
            <w14:solidFill>
              <w14:schemeClr w14:val="tx1"/>
            </w14:solidFill>
          </w14:textFill>
        </w:rPr>
        <w:t>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七个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七个</w:t>
      </w:r>
      <w:r>
        <w:rPr>
          <w:rFonts w:hint="eastAsia" w:ascii="仿宋" w:hAnsi="仿宋" w:eastAsia="仿宋" w:cs="仿宋"/>
          <w:color w:val="000000" w:themeColor="text1"/>
          <w:sz w:val="32"/>
          <w:szCs w:val="32"/>
          <w14:textFill>
            <w14:solidFill>
              <w14:schemeClr w14:val="tx1"/>
            </w14:solidFill>
          </w14:textFill>
        </w:rPr>
        <w:t>项目自评得分</w:t>
      </w:r>
      <w:r>
        <w:rPr>
          <w:rFonts w:hint="eastAsia" w:ascii="仿宋" w:hAnsi="仿宋" w:eastAsia="仿宋" w:cs="仿宋"/>
          <w:color w:val="000000" w:themeColor="text1"/>
          <w:sz w:val="32"/>
          <w:szCs w:val="32"/>
          <w:lang w:eastAsia="zh-CN"/>
          <w14:textFill>
            <w14:solidFill>
              <w14:schemeClr w14:val="tx1"/>
            </w14:solidFill>
          </w14:textFill>
        </w:rPr>
        <w:t>在</w:t>
      </w:r>
      <w:r>
        <w:rPr>
          <w:rFonts w:hint="eastAsia" w:ascii="仿宋" w:hAnsi="仿宋" w:eastAsia="仿宋" w:cs="仿宋"/>
          <w:color w:val="000000" w:themeColor="text1"/>
          <w:sz w:val="32"/>
          <w:szCs w:val="32"/>
          <w:lang w:val="en-US" w:eastAsia="zh-CN"/>
          <w14:textFill>
            <w14:solidFill>
              <w14:schemeClr w14:val="tx1"/>
            </w14:solidFill>
          </w14:textFill>
        </w:rPr>
        <w:t>90分至100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之间</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以下</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以下</w:t>
      </w:r>
      <w:r>
        <w:rPr>
          <w:rFonts w:hint="eastAsia" w:ascii="仿宋" w:hAnsi="仿宋" w:eastAsia="仿宋" w:cs="仿宋"/>
          <w:color w:val="000000" w:themeColor="text1"/>
          <w:sz w:val="32"/>
          <w:szCs w:val="32"/>
          <w14:textFill>
            <w14:solidFill>
              <w14:schemeClr w14:val="tx1"/>
            </w14:solidFill>
          </w14:textFill>
        </w:rPr>
        <w:t>主要问题及原因：</w:t>
      </w:r>
      <w:r>
        <w:rPr>
          <w:rFonts w:hint="eastAsia" w:ascii="仿宋" w:hAnsi="仿宋" w:eastAsia="仿宋" w:cs="仿宋"/>
          <w:color w:val="000000" w:themeColor="text1"/>
          <w:sz w:val="32"/>
          <w:szCs w:val="32"/>
          <w:lang w:eastAsia="zh-CN"/>
          <w14:textFill>
            <w14:solidFill>
              <w14:schemeClr w14:val="tx1"/>
            </w14:solidFill>
          </w14:textFill>
        </w:rPr>
        <w:t>支付率过低</w:t>
      </w:r>
      <w:r>
        <w:rPr>
          <w:rFonts w:hint="eastAsia" w:ascii="仿宋" w:hAnsi="仿宋" w:eastAsia="仿宋" w:cs="仿宋"/>
          <w:color w:val="000000" w:themeColor="text1"/>
          <w:sz w:val="32"/>
          <w:szCs w:val="32"/>
          <w:lang w:val="en-US" w:eastAsia="zh-CN"/>
          <w14:textFill>
            <w14:solidFill>
              <w14:schemeClr w14:val="tx1"/>
            </w14:solidFill>
          </w14:textFill>
        </w:rPr>
        <w:t>,决算数与预算数相差偏大.</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按预算数施行</w:t>
      </w:r>
      <w:r>
        <w:rPr>
          <w:rFonts w:hint="eastAsia" w:ascii="仿宋" w:hAnsi="仿宋" w:eastAsia="仿宋" w:cs="仿宋"/>
          <w:color w:val="000000" w:themeColor="text1"/>
          <w:sz w:val="32"/>
          <w:szCs w:val="32"/>
          <w:lang w:val="en-US" w:eastAsia="zh-CN"/>
          <w14:textFill>
            <w14:solidFill>
              <w14:schemeClr w14:val="tx1"/>
            </w14:solidFill>
          </w14:textFill>
        </w:rPr>
        <w:t>,及时整理材料及时报账</w:t>
      </w:r>
      <w:r>
        <w:rPr>
          <w:rFonts w:hint="eastAsia" w:ascii="仿宋" w:hAnsi="仿宋" w:eastAsia="仿宋" w:cs="仿宋"/>
          <w:color w:val="000000" w:themeColor="text1"/>
          <w:sz w:val="32"/>
          <w:szCs w:val="32"/>
          <w14:textFill>
            <w14:solidFill>
              <w14:schemeClr w14:val="tx1"/>
            </w14:solidFill>
          </w14:textFill>
        </w:rPr>
        <w:t>。</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yZjQ5Y2YxNTQwNTg4YzZhY2M1MzMwMDg5MTY4Mj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510113"/>
    <w:rsid w:val="246E2F77"/>
    <w:rsid w:val="254662CA"/>
    <w:rsid w:val="254B4E2B"/>
    <w:rsid w:val="283D7C94"/>
    <w:rsid w:val="29480E03"/>
    <w:rsid w:val="2983634D"/>
    <w:rsid w:val="2BB02055"/>
    <w:rsid w:val="2C575A56"/>
    <w:rsid w:val="2F257714"/>
    <w:rsid w:val="2F3275E5"/>
    <w:rsid w:val="30AA08EF"/>
    <w:rsid w:val="30D23D1C"/>
    <w:rsid w:val="31221CF5"/>
    <w:rsid w:val="31400178"/>
    <w:rsid w:val="31F10939"/>
    <w:rsid w:val="321E3342"/>
    <w:rsid w:val="327759C8"/>
    <w:rsid w:val="33185FE3"/>
    <w:rsid w:val="342D5D52"/>
    <w:rsid w:val="34EE2E36"/>
    <w:rsid w:val="36777241"/>
    <w:rsid w:val="371E78D5"/>
    <w:rsid w:val="38A951DB"/>
    <w:rsid w:val="38B31605"/>
    <w:rsid w:val="39003F4F"/>
    <w:rsid w:val="3C07002B"/>
    <w:rsid w:val="3C0E3541"/>
    <w:rsid w:val="3D0D152A"/>
    <w:rsid w:val="3DF62756"/>
    <w:rsid w:val="3F1B7587"/>
    <w:rsid w:val="41E57B4F"/>
    <w:rsid w:val="432F26F6"/>
    <w:rsid w:val="43880F63"/>
    <w:rsid w:val="441C5A6F"/>
    <w:rsid w:val="44C44FCC"/>
    <w:rsid w:val="44CC7369"/>
    <w:rsid w:val="457F5108"/>
    <w:rsid w:val="459E78EF"/>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45D265E"/>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2F73AB"/>
    <w:rsid w:val="7D5E062D"/>
    <w:rsid w:val="7DF76CD8"/>
    <w:rsid w:val="7E357CBD"/>
    <w:rsid w:val="7F695C26"/>
    <w:rsid w:val="7FCF62D3"/>
    <w:rsid w:val="CEFFB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1286.18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8.85</c:v>
                </c:pt>
                <c:pt idx="4">
                  <c:v>34.07</c:v>
                </c:pt>
                <c:pt idx="5">
                  <c:v>0</c:v>
                </c:pt>
                <c:pt idx="6">
                  <c:v>0</c:v>
                </c:pt>
                <c:pt idx="7">
                  <c:v>104.3</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4.38</c:v>
                </c:pt>
                <c:pt idx="2">
                  <c:v>11.2</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1084.74</c:v>
                </c:pt>
                <c:pt idx="2">
                  <c:v>163.43</c:v>
                </c:pt>
                <c:pt idx="3">
                  <c:v>65.21</c:v>
                </c:pt>
                <c:pt idx="4">
                  <c:v>149.1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12.76</c:v>
                </c:pt>
                <c:pt idx="1">
                  <c:v>1008.53</c:v>
                </c:pt>
                <c:pt idx="2">
                  <c:v>81.18</c:v>
                </c:pt>
                <c:pt idx="3">
                  <c:v>70.74</c:v>
                </c:pt>
                <c:pt idx="4">
                  <c:v>112.96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12.76</c:v>
                </c:pt>
                <c:pt idx="1">
                  <c:v>12.76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2050203</c:v>
                </c:pt>
                <c:pt idx="1">
                  <c:v>2050299</c:v>
                </c:pt>
                <c:pt idx="2">
                  <c:v>2050999</c:v>
                </c:pt>
                <c:pt idx="3">
                  <c:v>205x</c:v>
                </c:pt>
              </c:strCache>
            </c:strRef>
          </c:cat>
          <c:val>
            <c:numRef>
              <c:f>Sheet1!$B$2:$B$5</c:f>
              <c:numCache>
                <c:formatCode>General</c:formatCode>
                <c:ptCount val="4"/>
                <c:pt idx="0">
                  <c:v>965.29</c:v>
                </c:pt>
                <c:pt idx="1">
                  <c:v>42.3</c:v>
                </c:pt>
                <c:pt idx="2">
                  <c:v>0.95</c:v>
                </c:pt>
                <c:pt idx="3">
                  <c:v>1008.53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81.18</c:v>
                </c:pt>
                <c:pt idx="1">
                  <c:v>81.18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70.74</c:v>
                </c:pt>
                <c:pt idx="1">
                  <c:v>70.74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112.96</c:v>
                </c:pt>
                <c:pt idx="1">
                  <c:v>112.96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419.65</c:v>
                </c:pt>
                <c:pt idx="1">
                  <c:v>49.08</c:v>
                </c:pt>
                <c:pt idx="2">
                  <c:v>37.66</c:v>
                </c:pt>
                <c:pt idx="3">
                  <c:v>0</c:v>
                </c:pt>
                <c:pt idx="4">
                  <c:v>134.79</c:v>
                </c:pt>
                <c:pt idx="5">
                  <c:v>86.91</c:v>
                </c:pt>
                <c:pt idx="6">
                  <c:v>0</c:v>
                </c:pt>
                <c:pt idx="7">
                  <c:v>44.59</c:v>
                </c:pt>
                <c:pt idx="8">
                  <c:v>0</c:v>
                </c:pt>
                <c:pt idx="9">
                  <c:v>5.02</c:v>
                </c:pt>
                <c:pt idx="10">
                  <c:v>70.74</c:v>
                </c:pt>
                <c:pt idx="11">
                  <c:v>0</c:v>
                </c:pt>
                <c:pt idx="12">
                  <c:v>1.23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37.07</c:v>
                </c:pt>
                <c:pt idx="1">
                  <c:v>0</c:v>
                </c:pt>
                <c:pt idx="2">
                  <c:v>0</c:v>
                </c:pt>
                <c:pt idx="3">
                  <c:v>0</c:v>
                </c:pt>
                <c:pt idx="4">
                  <c:v>1.51</c:v>
                </c:pt>
                <c:pt idx="5">
                  <c:v>6.43</c:v>
                </c:pt>
                <c:pt idx="6">
                  <c:v>3.17</c:v>
                </c:pt>
                <c:pt idx="7">
                  <c:v>0</c:v>
                </c:pt>
                <c:pt idx="8">
                  <c:v>0</c:v>
                </c:pt>
                <c:pt idx="9">
                  <c:v>5.43</c:v>
                </c:pt>
                <c:pt idx="10">
                  <c:v>0</c:v>
                </c:pt>
                <c:pt idx="11">
                  <c:v>3.32</c:v>
                </c:pt>
                <c:pt idx="12">
                  <c:v>0</c:v>
                </c:pt>
                <c:pt idx="13">
                  <c:v>0</c:v>
                </c:pt>
                <c:pt idx="14">
                  <c:v>0</c:v>
                </c:pt>
                <c:pt idx="15">
                  <c:v>0</c:v>
                </c:pt>
                <c:pt idx="16">
                  <c:v>0</c:v>
                </c:pt>
                <c:pt idx="17">
                  <c:v>0</c:v>
                </c:pt>
                <c:pt idx="18">
                  <c:v>0</c:v>
                </c:pt>
                <c:pt idx="19">
                  <c:v>2.21</c:v>
                </c:pt>
                <c:pt idx="20">
                  <c:v>0</c:v>
                </c:pt>
                <c:pt idx="21">
                  <c:v>12.76</c:v>
                </c:pt>
                <c:pt idx="22">
                  <c:v>0</c:v>
                </c:pt>
                <c:pt idx="23">
                  <c:v>0</c:v>
                </c:pt>
                <c:pt idx="24">
                  <c:v>0</c:v>
                </c:pt>
                <c:pt idx="25">
                  <c:v>0</c:v>
                </c:pt>
                <c:pt idx="26">
                  <c:v>21.71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2023-11-28T09:52:31Z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