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eastAsia="zh-CN"/>
        </w:rPr>
        <w:t>环江毛南族自治县</w:t>
      </w:r>
      <w:r>
        <w:rPr>
          <w:rFonts w:hint="eastAsia" w:ascii="黑体" w:hAnsi="黑体" w:eastAsia="黑体" w:cs="黑体"/>
          <w:b/>
          <w:bCs/>
          <w:sz w:val="52"/>
          <w:szCs w:val="52"/>
          <w:highlight w:val="none"/>
          <w:lang w:val="en-US" w:eastAsia="zh-CN"/>
        </w:rPr>
        <w:t>水源镇中心小学</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200" w:firstLineChars="500"/>
        <w:jc w:val="both"/>
        <w:rPr>
          <w:rFonts w:hint="eastAsia" w:ascii="黑体" w:eastAsia="黑体" w:cs="黑体"/>
          <w:kern w:val="0"/>
          <w:sz w:val="44"/>
          <w:szCs w:val="44"/>
          <w:lang w:eastAsia="zh-CN"/>
        </w:rPr>
      </w:pPr>
      <w:r>
        <w:rPr>
          <w:rFonts w:hint="eastAsia" w:ascii="黑体" w:eastAsia="黑体" w:cs="黑体"/>
          <w:kern w:val="0"/>
          <w:sz w:val="44"/>
          <w:szCs w:val="44"/>
          <w:lang w:eastAsia="zh-CN"/>
        </w:rPr>
        <w:t>单位负责人：</w:t>
      </w:r>
      <w:r>
        <w:rPr>
          <w:rFonts w:hint="eastAsia" w:ascii="黑体" w:eastAsia="黑体" w:cs="黑体"/>
          <w:kern w:val="0"/>
          <w:sz w:val="44"/>
          <w:szCs w:val="44"/>
          <w:lang w:val="en-US" w:eastAsia="zh-CN"/>
        </w:rPr>
        <w:t>覃春雷</w:t>
      </w: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eastAsia="zh-CN"/>
        </w:rPr>
        <w:t>环江毛南族自治县</w:t>
      </w:r>
      <w:r>
        <w:rPr>
          <w:rFonts w:hint="eastAsia" w:ascii="黑体" w:hAnsi="黑体" w:eastAsia="黑体" w:cs="黑体"/>
          <w:sz w:val="32"/>
          <w:szCs w:val="32"/>
          <w:highlight w:val="none"/>
          <w:lang w:val="en-US" w:eastAsia="zh-CN"/>
        </w:rPr>
        <w:t>水源镇中心小学</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环江毛南族自治县</w:t>
      </w:r>
      <w:r>
        <w:rPr>
          <w:rFonts w:hint="eastAsia" w:ascii="黑体" w:hAnsi="黑体" w:eastAsia="黑体" w:cs="黑体"/>
          <w:sz w:val="32"/>
          <w:szCs w:val="32"/>
          <w:highlight w:val="none"/>
          <w:lang w:val="en-US" w:eastAsia="zh-CN"/>
        </w:rPr>
        <w:t>水源镇中心小学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环江毛南族自治县</w:t>
      </w:r>
      <w:r>
        <w:rPr>
          <w:rFonts w:hint="eastAsia" w:ascii="黑体" w:hAnsi="黑体" w:eastAsia="黑体" w:cs="黑体"/>
          <w:sz w:val="32"/>
          <w:szCs w:val="32"/>
          <w:highlight w:val="none"/>
          <w:lang w:val="en-US" w:eastAsia="zh-CN"/>
        </w:rPr>
        <w:t>水源镇中心小学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第一部分：环江毛南族自治县</w:t>
      </w:r>
      <w:r>
        <w:rPr>
          <w:rFonts w:hint="eastAsia" w:ascii="黑体" w:hAnsi="黑体" w:eastAsia="黑体" w:cs="黑体"/>
          <w:b/>
          <w:bCs/>
          <w:sz w:val="32"/>
          <w:szCs w:val="32"/>
          <w:highlight w:val="none"/>
          <w:lang w:val="en-US" w:eastAsia="zh-CN"/>
        </w:rPr>
        <w:t>水源镇中心小学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（一）贯彻执行党和国家的教育方针、政策和法律法规；拟订全县教育改革与发展规划并组织实施。</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lang w:eastAsia="zh-CN"/>
        </w:rPr>
        <w:t>（二）编制本</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教育事业发展规划并检查实施情况，向自治县人民政府和上级教育部门作出报告。</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（三）督促检查全</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贯彻执行教育方针、政策、法令、法规和上级的各项规定；评估指导全</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教育教学工作。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（四）负责推进义务教育均衡发展和促进教育公平，负责义务教育的宏观指导与协调和教育工作。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五</w:t>
      </w:r>
      <w:r>
        <w:rPr>
          <w:rFonts w:hint="eastAsia" w:ascii="仿宋_GB2312" w:hAnsi="宋体" w:eastAsia="仿宋_GB2312" w:cs="宋体"/>
          <w:sz w:val="32"/>
          <w:szCs w:val="32"/>
          <w:lang w:eastAsia="zh-CN"/>
        </w:rPr>
        <w:t>）负责组织全</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做好</w:t>
      </w:r>
      <w:r>
        <w:rPr>
          <w:rFonts w:hint="eastAsia" w:ascii="仿宋_GB2312" w:hAnsi="宋体" w:eastAsia="仿宋_GB2312" w:cs="宋体"/>
          <w:sz w:val="32"/>
          <w:szCs w:val="32"/>
          <w:lang w:val="en-US" w:eastAsia="zh-CN"/>
        </w:rPr>
        <w:t>期考</w:t>
      </w:r>
      <w:r>
        <w:rPr>
          <w:rFonts w:hint="eastAsia" w:ascii="仿宋_GB2312" w:hAnsi="宋体" w:eastAsia="仿宋_GB2312" w:cs="宋体"/>
          <w:sz w:val="32"/>
          <w:szCs w:val="32"/>
          <w:lang w:eastAsia="zh-CN"/>
        </w:rPr>
        <w:t>的考务工作、招生录取</w:t>
      </w:r>
      <w:r>
        <w:rPr>
          <w:rFonts w:hint="eastAsia" w:ascii="仿宋_GB2312" w:hAnsi="宋体" w:eastAsia="仿宋_GB2312" w:cs="宋体"/>
          <w:sz w:val="32"/>
          <w:szCs w:val="32"/>
          <w:lang w:val="en-US" w:eastAsia="zh-CN"/>
        </w:rPr>
        <w:t>一年级新生</w:t>
      </w:r>
      <w:r>
        <w:rPr>
          <w:rFonts w:hint="eastAsia" w:ascii="仿宋_GB2312" w:hAnsi="宋体" w:eastAsia="仿宋_GB2312" w:cs="宋体"/>
          <w:sz w:val="32"/>
          <w:szCs w:val="32"/>
          <w:lang w:eastAsia="zh-CN"/>
        </w:rPr>
        <w:t>和小学学籍管理工作。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六</w:t>
      </w:r>
      <w:r>
        <w:rPr>
          <w:rFonts w:hint="eastAsia" w:ascii="仿宋_GB2312" w:hAnsi="宋体" w:eastAsia="仿宋_GB2312" w:cs="宋体"/>
          <w:sz w:val="32"/>
          <w:szCs w:val="32"/>
          <w:lang w:eastAsia="zh-CN"/>
        </w:rPr>
        <w:t>）按照中央关于全面推进素质教育要求，负责教育教学管理、教育教学改革及教育教学科学研究工作，检查指导全</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实施素质教育工作，并组织推广先进的教育教学经验。</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七</w:t>
      </w:r>
      <w:r>
        <w:rPr>
          <w:rFonts w:hint="eastAsia" w:ascii="仿宋_GB2312" w:hAnsi="宋体" w:eastAsia="仿宋_GB2312" w:cs="宋体"/>
          <w:sz w:val="32"/>
          <w:szCs w:val="32"/>
          <w:lang w:eastAsia="zh-CN"/>
        </w:rPr>
        <w:t>）检查指导学校教育教学设备的装备、管理和使用工作。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八</w:t>
      </w:r>
      <w:r>
        <w:rPr>
          <w:rFonts w:hint="eastAsia" w:ascii="仿宋_GB2312" w:hAnsi="宋体" w:eastAsia="仿宋_GB2312" w:cs="宋体"/>
          <w:sz w:val="32"/>
          <w:szCs w:val="32"/>
          <w:lang w:eastAsia="zh-CN"/>
        </w:rPr>
        <w:t>）检查指导全</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开展电化教育和信息化教学工作。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九</w:t>
      </w:r>
      <w:r>
        <w:rPr>
          <w:rFonts w:hint="eastAsia" w:ascii="仿宋_GB2312" w:hAnsi="宋体" w:eastAsia="仿宋_GB2312" w:cs="宋体"/>
          <w:sz w:val="32"/>
          <w:szCs w:val="32"/>
          <w:lang w:eastAsia="zh-CN"/>
        </w:rPr>
        <w:t>）负责全县教师初级专业技术职务资格的评审，中、高级专业技术职务资格的申报工作。按照管理权限对教师进行考核、聘任、奖惩、晋升等工作。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（十）负责全</w:t>
      </w:r>
      <w:r>
        <w:rPr>
          <w:rFonts w:hint="eastAsia" w:ascii="仿宋_GB2312" w:hAnsi="宋体" w:eastAsia="仿宋_GB2312" w:cs="宋体"/>
          <w:sz w:val="32"/>
          <w:szCs w:val="32"/>
          <w:lang w:val="en-US" w:eastAsia="zh-CN"/>
        </w:rPr>
        <w:t>镇</w:t>
      </w:r>
      <w:r>
        <w:rPr>
          <w:rFonts w:hint="eastAsia" w:ascii="仿宋_GB2312" w:hAnsi="宋体" w:eastAsia="仿宋_GB2312" w:cs="宋体"/>
          <w:sz w:val="32"/>
          <w:szCs w:val="32"/>
          <w:lang w:eastAsia="zh-CN"/>
        </w:rPr>
        <w:t>小学校教学教育常规管理评估工作，指导全</w:t>
      </w:r>
      <w:r>
        <w:rPr>
          <w:rFonts w:hint="eastAsia" w:ascii="仿宋_GB2312" w:hAnsi="宋体" w:eastAsia="仿宋_GB2312" w:cs="宋体"/>
          <w:sz w:val="32"/>
          <w:szCs w:val="32"/>
          <w:lang w:val="en-US" w:eastAsia="zh-CN"/>
        </w:rPr>
        <w:t>镇</w:t>
      </w:r>
      <w:r>
        <w:rPr>
          <w:rFonts w:hint="eastAsia" w:ascii="仿宋_GB2312" w:hAnsi="宋体" w:eastAsia="仿宋_GB2312" w:cs="宋体"/>
          <w:sz w:val="32"/>
          <w:szCs w:val="32"/>
          <w:lang w:eastAsia="zh-CN"/>
        </w:rPr>
        <w:t>小学德育、体育、卫生、艺术、安全工作以及团组织和少先队工作。</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lang w:eastAsia="zh-CN"/>
        </w:rPr>
        <w:t>（十</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lang w:eastAsia="zh-CN"/>
        </w:rPr>
        <w:t>）负责指导全</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学生资助管理工作。</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  （十</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lang w:eastAsia="zh-CN"/>
        </w:rPr>
        <w:t>）负责语言文字和指导推广普通话工作。</w:t>
      </w:r>
    </w:p>
    <w:p>
      <w:pPr>
        <w:ind w:firstLine="640"/>
        <w:jc w:val="left"/>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）完成自治县人民政府交办的其他工作。</w:t>
      </w:r>
    </w:p>
    <w:p>
      <w:pPr>
        <w:ind w:firstLine="640"/>
        <w:jc w:val="left"/>
        <w:rPr>
          <w:rFonts w:ascii="仿宋" w:hAnsi="仿宋" w:eastAsia="仿宋" w:cs="仿宋"/>
          <w:sz w:val="32"/>
          <w:szCs w:val="32"/>
          <w:highlight w:val="none"/>
        </w:rPr>
      </w:pPr>
      <w:r>
        <w:rPr>
          <w:rFonts w:hint="eastAsia" w:ascii="仿宋_GB2312" w:hAnsi="宋体" w:eastAsia="仿宋_GB2312" w:cs="宋体"/>
          <w:sz w:val="32"/>
          <w:szCs w:val="32"/>
          <w:lang w:eastAsia="zh-CN"/>
        </w:rPr>
        <w:t> </w:t>
      </w:r>
      <w:r>
        <w:rPr>
          <w:rFonts w:hint="eastAsia" w:ascii="黑体" w:hAnsi="黑体" w:eastAsia="黑体" w:cs="黑体"/>
          <w:sz w:val="32"/>
          <w:szCs w:val="32"/>
          <w:highlight w:val="none"/>
        </w:rPr>
        <w:t>二、部门决算单位构成</w:t>
      </w:r>
    </w:p>
    <w:p>
      <w:pPr>
        <w:spacing w:line="460" w:lineRule="exact"/>
        <w:ind w:firstLine="640" w:firstLineChars="200"/>
        <w:rPr>
          <w:rFonts w:hint="eastAsia" w:ascii="仿宋" w:hAnsi="仿宋" w:eastAsia="仿宋" w:cs="仿宋"/>
          <w:color w:val="auto"/>
          <w:sz w:val="32"/>
          <w:szCs w:val="32"/>
        </w:rPr>
      </w:pPr>
      <w:r>
        <w:rPr>
          <w:rFonts w:hint="eastAsia" w:ascii="仿宋_GB2312" w:eastAsia="仿宋_GB2312" w:cs="仿宋_GB2312"/>
          <w:kern w:val="0"/>
          <w:sz w:val="32"/>
          <w:szCs w:val="32"/>
          <w:lang w:eastAsia="zh-CN"/>
        </w:rPr>
        <w:t>水源镇</w:t>
      </w:r>
      <w:r>
        <w:rPr>
          <w:rFonts w:hint="eastAsia" w:ascii="仿宋_GB2312" w:eastAsia="仿宋_GB2312" w:cs="仿宋_GB2312"/>
          <w:kern w:val="0"/>
          <w:sz w:val="32"/>
          <w:szCs w:val="32"/>
          <w:lang w:val="en-US" w:eastAsia="zh-CN"/>
        </w:rPr>
        <w:t>中心</w:t>
      </w:r>
      <w:r>
        <w:rPr>
          <w:rFonts w:hint="eastAsia" w:ascii="仿宋_GB2312" w:eastAsia="仿宋_GB2312" w:cs="仿宋_GB2312"/>
          <w:kern w:val="0"/>
          <w:sz w:val="32"/>
          <w:szCs w:val="32"/>
          <w:lang w:eastAsia="zh-CN"/>
        </w:rPr>
        <w:t>小学</w:t>
      </w:r>
      <w:r>
        <w:rPr>
          <w:rFonts w:hint="eastAsia" w:ascii="仿宋_GB2312" w:eastAsia="仿宋_GB2312" w:cs="仿宋_GB2312"/>
          <w:kern w:val="0"/>
          <w:sz w:val="32"/>
          <w:szCs w:val="32"/>
        </w:rPr>
        <w:t>有</w:t>
      </w:r>
      <w:r>
        <w:rPr>
          <w:rFonts w:hint="eastAsia" w:ascii="仿宋_GB2312" w:eastAsia="仿宋_GB2312" w:cs="仿宋_GB2312"/>
          <w:kern w:val="0"/>
          <w:sz w:val="32"/>
          <w:szCs w:val="32"/>
          <w:lang w:eastAsia="zh-CN"/>
        </w:rPr>
        <w:t>六</w:t>
      </w:r>
      <w:r>
        <w:rPr>
          <w:rFonts w:hint="eastAsia" w:ascii="仿宋_GB2312" w:eastAsia="仿宋_GB2312" w:cs="仿宋_GB2312"/>
          <w:kern w:val="0"/>
          <w:sz w:val="32"/>
          <w:szCs w:val="32"/>
        </w:rPr>
        <w:t>个内设机构，分别为：</w:t>
      </w:r>
      <w:r>
        <w:rPr>
          <w:rFonts w:hint="eastAsia" w:ascii="仿宋_GB2312" w:eastAsia="仿宋_GB2312" w:cs="仿宋_GB2312"/>
          <w:kern w:val="0"/>
          <w:sz w:val="32"/>
          <w:szCs w:val="32"/>
          <w:lang w:eastAsia="zh-CN"/>
        </w:rPr>
        <w:t>书记</w:t>
      </w:r>
      <w:r>
        <w:rPr>
          <w:rFonts w:hint="eastAsia" w:ascii="仿宋_GB2312" w:eastAsia="仿宋_GB2312" w:cs="仿宋_GB2312"/>
          <w:kern w:val="0"/>
          <w:sz w:val="32"/>
          <w:szCs w:val="32"/>
        </w:rPr>
        <w:t>办公室</w:t>
      </w:r>
      <w:r>
        <w:rPr>
          <w:rFonts w:hint="eastAsia" w:ascii="仿宋_GB2312" w:eastAsia="仿宋_GB2312" w:cs="仿宋_GB2312"/>
          <w:kern w:val="0"/>
          <w:sz w:val="32"/>
          <w:szCs w:val="32"/>
          <w:lang w:eastAsia="zh-CN"/>
        </w:rPr>
        <w:t>、校长</w:t>
      </w:r>
      <w:r>
        <w:rPr>
          <w:rFonts w:hint="eastAsia" w:ascii="仿宋_GB2312" w:eastAsia="仿宋_GB2312" w:cs="仿宋_GB2312"/>
          <w:kern w:val="0"/>
          <w:sz w:val="32"/>
          <w:szCs w:val="32"/>
        </w:rPr>
        <w:t>办公室</w:t>
      </w:r>
      <w:r>
        <w:rPr>
          <w:rFonts w:hint="eastAsia" w:ascii="仿宋_GB2312" w:eastAsia="仿宋_GB2312" w:cs="仿宋_GB2312"/>
          <w:kern w:val="0"/>
          <w:sz w:val="32"/>
          <w:szCs w:val="32"/>
          <w:lang w:eastAsia="zh-CN"/>
        </w:rPr>
        <w:t>、行政办公室、财务</w:t>
      </w:r>
      <w:r>
        <w:rPr>
          <w:rFonts w:hint="eastAsia" w:ascii="仿宋_GB2312" w:eastAsia="仿宋_GB2312" w:cs="仿宋_GB2312"/>
          <w:kern w:val="0"/>
          <w:sz w:val="32"/>
          <w:szCs w:val="32"/>
        </w:rPr>
        <w:t>办公室</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教育</w:t>
      </w:r>
      <w:r>
        <w:rPr>
          <w:rFonts w:hint="eastAsia" w:ascii="仿宋_GB2312" w:eastAsia="仿宋_GB2312" w:cs="仿宋_GB2312"/>
          <w:kern w:val="0"/>
          <w:sz w:val="32"/>
          <w:szCs w:val="32"/>
          <w:lang w:eastAsia="zh-CN"/>
        </w:rPr>
        <w:t>辅导</w:t>
      </w:r>
      <w:r>
        <w:rPr>
          <w:rFonts w:hint="eastAsia" w:ascii="仿宋_GB2312" w:eastAsia="仿宋_GB2312" w:cs="仿宋_GB2312"/>
          <w:kern w:val="0"/>
          <w:sz w:val="32"/>
          <w:szCs w:val="32"/>
        </w:rPr>
        <w:t>室、</w:t>
      </w:r>
      <w:r>
        <w:rPr>
          <w:rFonts w:hint="eastAsia" w:ascii="仿宋_GB2312" w:eastAsia="仿宋_GB2312" w:cs="仿宋_GB2312"/>
          <w:kern w:val="0"/>
          <w:sz w:val="32"/>
          <w:szCs w:val="32"/>
          <w:lang w:eastAsia="zh-CN"/>
        </w:rPr>
        <w:t>资助、</w:t>
      </w:r>
      <w:r>
        <w:rPr>
          <w:rFonts w:hint="eastAsia" w:ascii="仿宋_GB2312" w:eastAsia="仿宋_GB2312" w:cs="仿宋_GB2312"/>
          <w:kern w:val="0"/>
          <w:sz w:val="32"/>
          <w:szCs w:val="32"/>
        </w:rPr>
        <w:t>学生营养改善办</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下属机构有</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个，其中</w:t>
      </w:r>
      <w:r>
        <w:rPr>
          <w:rFonts w:hint="eastAsia" w:ascii="仿宋_GB2312" w:eastAsia="仿宋_GB2312" w:cs="仿宋_GB2312"/>
          <w:kern w:val="0"/>
          <w:sz w:val="32"/>
          <w:szCs w:val="32"/>
          <w:lang w:eastAsia="zh-CN"/>
        </w:rPr>
        <w:t>中心校</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eastAsia="zh-CN"/>
        </w:rPr>
        <w:t>村校</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eastAsia="zh-CN"/>
        </w:rPr>
        <w:t>教学点</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eastAsia="zh-CN"/>
        </w:rPr>
        <w:t>；</w:t>
      </w:r>
      <w:r>
        <w:rPr>
          <w:rFonts w:hint="eastAsia" w:ascii="仿宋_GB2312" w:hAnsi="宋体" w:eastAsia="仿宋_GB2312" w:cs="宋体"/>
          <w:sz w:val="32"/>
          <w:szCs w:val="32"/>
          <w:lang w:eastAsia="zh-CN"/>
        </w:rPr>
        <w:t>20</w:t>
      </w:r>
      <w:r>
        <w:rPr>
          <w:rFonts w:hint="eastAsia" w:ascii="仿宋_GB2312" w:hAnsi="宋体" w:eastAsia="仿宋_GB2312" w:cs="宋体"/>
          <w:sz w:val="32"/>
          <w:szCs w:val="32"/>
          <w:lang w:val="en-US" w:eastAsia="zh-CN"/>
        </w:rPr>
        <w:t>22</w:t>
      </w:r>
      <w:r>
        <w:rPr>
          <w:rFonts w:hint="eastAsia" w:ascii="仿宋_GB2312" w:hAnsi="宋体" w:eastAsia="仿宋_GB2312" w:cs="宋体"/>
          <w:sz w:val="32"/>
          <w:szCs w:val="32"/>
          <w:lang w:eastAsia="zh-CN"/>
        </w:rPr>
        <w:t>年全</w:t>
      </w:r>
      <w:r>
        <w:rPr>
          <w:rFonts w:hint="eastAsia" w:ascii="仿宋_GB2312" w:hAnsi="宋体" w:eastAsia="仿宋_GB2312" w:cs="宋体"/>
          <w:sz w:val="32"/>
          <w:szCs w:val="32"/>
          <w:lang w:val="en-US" w:eastAsia="zh-CN"/>
        </w:rPr>
        <w:t>镇小学</w:t>
      </w:r>
      <w:r>
        <w:rPr>
          <w:rFonts w:hint="eastAsia" w:ascii="仿宋_GB2312" w:hAnsi="宋体" w:eastAsia="仿宋_GB2312" w:cs="宋体"/>
          <w:sz w:val="32"/>
          <w:szCs w:val="32"/>
          <w:lang w:eastAsia="zh-CN"/>
        </w:rPr>
        <w:t>事业编制数</w:t>
      </w:r>
      <w:r>
        <w:rPr>
          <w:rFonts w:hint="eastAsia" w:ascii="仿宋_GB2312" w:hAnsi="宋体" w:eastAsia="仿宋_GB2312" w:cs="宋体"/>
          <w:sz w:val="32"/>
          <w:szCs w:val="32"/>
          <w:lang w:val="en-US" w:eastAsia="zh-CN"/>
        </w:rPr>
        <w:t>140</w:t>
      </w:r>
      <w:r>
        <w:rPr>
          <w:rFonts w:hint="eastAsia" w:ascii="仿宋_GB2312" w:hAnsi="宋体" w:eastAsia="仿宋_GB2312" w:cs="宋体"/>
          <w:sz w:val="32"/>
          <w:szCs w:val="32"/>
          <w:lang w:eastAsia="zh-CN"/>
        </w:rPr>
        <w:t>人。实有在职人数</w:t>
      </w:r>
      <w:r>
        <w:rPr>
          <w:rFonts w:hint="eastAsia" w:ascii="仿宋_GB2312" w:hAnsi="宋体" w:eastAsia="仿宋_GB2312" w:cs="宋体"/>
          <w:sz w:val="32"/>
          <w:szCs w:val="32"/>
          <w:lang w:val="en-US" w:eastAsia="zh-CN"/>
        </w:rPr>
        <w:t>150</w:t>
      </w:r>
      <w:r>
        <w:rPr>
          <w:rFonts w:hint="eastAsia" w:ascii="仿宋_GB2312" w:hAnsi="宋体" w:eastAsia="仿宋_GB2312" w:cs="宋体"/>
          <w:sz w:val="32"/>
          <w:szCs w:val="32"/>
          <w:lang w:eastAsia="zh-CN"/>
        </w:rPr>
        <w:t>人，其中行政在职</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lang w:eastAsia="zh-CN"/>
        </w:rPr>
        <w:t>人，事业在职</w:t>
      </w:r>
      <w:r>
        <w:rPr>
          <w:rFonts w:hint="eastAsia" w:ascii="仿宋_GB2312" w:hAnsi="宋体" w:eastAsia="仿宋_GB2312" w:cs="宋体"/>
          <w:sz w:val="32"/>
          <w:szCs w:val="32"/>
          <w:lang w:val="en-US" w:eastAsia="zh-CN"/>
        </w:rPr>
        <w:t>150</w:t>
      </w:r>
      <w:r>
        <w:rPr>
          <w:rFonts w:hint="eastAsia" w:ascii="仿宋_GB2312" w:hAnsi="宋体" w:eastAsia="仿宋_GB2312" w:cs="宋体"/>
          <w:sz w:val="32"/>
          <w:szCs w:val="32"/>
          <w:lang w:eastAsia="zh-CN"/>
        </w:rPr>
        <w:t>人，退休人员</w:t>
      </w:r>
      <w:r>
        <w:rPr>
          <w:rFonts w:hint="eastAsia" w:ascii="仿宋_GB2312" w:hAnsi="宋体" w:eastAsia="仿宋_GB2312" w:cs="宋体"/>
          <w:sz w:val="32"/>
          <w:szCs w:val="32"/>
          <w:lang w:val="en-US" w:eastAsia="zh-CN"/>
        </w:rPr>
        <w:t>110</w:t>
      </w:r>
      <w:r>
        <w:rPr>
          <w:rFonts w:hint="eastAsia" w:ascii="仿宋_GB2312" w:hAnsi="宋体" w:eastAsia="仿宋_GB2312" w:cs="宋体"/>
          <w:sz w:val="32"/>
          <w:szCs w:val="32"/>
          <w:lang w:eastAsia="zh-CN"/>
        </w:rPr>
        <w:t>人,学校专职保安人员</w:t>
      </w:r>
      <w:r>
        <w:rPr>
          <w:rFonts w:hint="eastAsia" w:ascii="仿宋_GB2312" w:hAnsi="宋体" w:eastAsia="仿宋_GB2312" w:cs="宋体"/>
          <w:sz w:val="32"/>
          <w:szCs w:val="32"/>
          <w:lang w:val="en-US" w:eastAsia="zh-CN"/>
        </w:rPr>
        <w:t>14</w:t>
      </w:r>
      <w:r>
        <w:rPr>
          <w:rFonts w:hint="eastAsia" w:ascii="仿宋_GB2312" w:hAnsi="宋体" w:eastAsia="仿宋_GB2312" w:cs="宋体"/>
          <w:sz w:val="32"/>
          <w:szCs w:val="32"/>
          <w:lang w:eastAsia="zh-CN"/>
        </w:rPr>
        <w:t>人，兼职协管人员</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人，食堂钟点工</w:t>
      </w:r>
      <w:r>
        <w:rPr>
          <w:rFonts w:hint="eastAsia" w:ascii="仿宋_GB2312" w:hAnsi="宋体" w:eastAsia="仿宋_GB2312" w:cs="宋体"/>
          <w:sz w:val="32"/>
          <w:szCs w:val="32"/>
          <w:lang w:val="en-US" w:eastAsia="zh-CN"/>
        </w:rPr>
        <w:t>23</w:t>
      </w:r>
      <w:r>
        <w:rPr>
          <w:rFonts w:hint="eastAsia" w:ascii="仿宋_GB2312" w:hAnsi="宋体" w:eastAsia="仿宋_GB2312" w:cs="宋体"/>
          <w:sz w:val="32"/>
          <w:szCs w:val="32"/>
          <w:lang w:eastAsia="zh-CN"/>
        </w:rPr>
        <w:t>人。</w:t>
      </w:r>
      <w:r>
        <w:rPr>
          <w:rFonts w:hint="eastAsia" w:ascii="仿宋" w:hAnsi="仿宋" w:eastAsia="仿宋" w:cs="仿宋"/>
          <w:color w:val="auto"/>
          <w:sz w:val="32"/>
          <w:szCs w:val="32"/>
        </w:rPr>
        <w:t>按照部门决算编报要求，单独编制本部门决算。</w:t>
      </w:r>
    </w:p>
    <w:p>
      <w:pPr>
        <w:spacing w:line="460" w:lineRule="exact"/>
        <w:ind w:firstLine="640" w:firstLineChars="200"/>
        <w:rPr>
          <w:rFonts w:hint="eastAsia" w:ascii="仿宋" w:hAnsi="仿宋" w:eastAsia="仿宋" w:cs="仿宋"/>
          <w:color w:val="auto"/>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2240" w:firstLineChars="7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第二部分：环江毛南族自治县</w:t>
      </w:r>
      <w:r>
        <w:rPr>
          <w:rFonts w:hint="eastAsia" w:ascii="黑体" w:hAnsi="黑体" w:eastAsia="黑体" w:cs="黑体"/>
          <w:sz w:val="32"/>
          <w:szCs w:val="32"/>
          <w:highlight w:val="none"/>
          <w:lang w:val="en-US" w:eastAsia="zh-CN"/>
        </w:rPr>
        <w:t>水源镇中心小学</w:t>
      </w:r>
      <w:r>
        <w:rPr>
          <w:rFonts w:hint="eastAsia" w:ascii="黑体" w:hAnsi="黑体" w:eastAsia="黑体" w:cs="黑体"/>
          <w:sz w:val="32"/>
          <w:szCs w:val="32"/>
          <w:highlight w:val="none"/>
        </w:rPr>
        <w:t>2022年度部门决算报表</w:t>
      </w:r>
    </w:p>
    <w:tbl>
      <w:tblPr>
        <w:tblStyle w:val="6"/>
        <w:tblW w:w="13962" w:type="dxa"/>
        <w:tblInd w:w="93" w:type="dxa"/>
        <w:tblLayout w:type="fixed"/>
        <w:tblCellMar>
          <w:top w:w="0" w:type="dxa"/>
          <w:left w:w="108" w:type="dxa"/>
          <w:bottom w:w="0" w:type="dxa"/>
          <w:right w:w="108" w:type="dxa"/>
        </w:tblCellMar>
      </w:tblPr>
      <w:tblGrid>
        <w:gridCol w:w="3"/>
        <w:gridCol w:w="3894"/>
        <w:gridCol w:w="705"/>
        <w:gridCol w:w="1500"/>
        <w:gridCol w:w="3525"/>
        <w:gridCol w:w="1095"/>
        <w:gridCol w:w="3221"/>
        <w:gridCol w:w="19"/>
      </w:tblGrid>
      <w:tr>
        <w:tblPrEx>
          <w:tblCellMar>
            <w:top w:w="0" w:type="dxa"/>
            <w:left w:w="108" w:type="dxa"/>
            <w:bottom w:w="0" w:type="dxa"/>
            <w:right w:w="108" w:type="dxa"/>
          </w:tblCellMar>
        </w:tblPrEx>
        <w:trPr>
          <w:gridBefore w:val="1"/>
          <w:gridAfter w:val="1"/>
          <w:wBefore w:w="3" w:type="dxa"/>
          <w:wAfter w:w="19" w:type="dxa"/>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firstLine="5440" w:firstLineChars="1700"/>
              <w:jc w:val="both"/>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gridBefore w:val="1"/>
          <w:gridAfter w:val="1"/>
          <w:wBefore w:w="3" w:type="dxa"/>
          <w:wAfter w:w="19" w:type="dxa"/>
          <w:trHeight w:val="301" w:hRule="atLeast"/>
        </w:trPr>
        <w:tc>
          <w:tcPr>
            <w:tcW w:w="38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22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公开01表</w:t>
            </w:r>
          </w:p>
        </w:tc>
      </w:tr>
      <w:tr>
        <w:tblPrEx>
          <w:tblCellMar>
            <w:top w:w="0" w:type="dxa"/>
            <w:left w:w="108" w:type="dxa"/>
            <w:bottom w:w="0" w:type="dxa"/>
            <w:right w:w="108" w:type="dxa"/>
          </w:tblCellMar>
        </w:tblPrEx>
        <w:trPr>
          <w:gridBefore w:val="1"/>
          <w:gridAfter w:val="1"/>
          <w:wBefore w:w="3" w:type="dxa"/>
          <w:wAfter w:w="19" w:type="dxa"/>
          <w:trHeight w:val="301" w:hRule="atLeast"/>
        </w:trPr>
        <w:tc>
          <w:tcPr>
            <w:tcW w:w="3894"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部门：环江毛南族自治县水源镇中心小学</w:t>
            </w:r>
          </w:p>
        </w:tc>
        <w:tc>
          <w:tcPr>
            <w:tcW w:w="70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50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52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221"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gridBefore w:val="1"/>
          <w:gridAfter w:val="1"/>
          <w:wBefore w:w="3" w:type="dxa"/>
          <w:wAfter w:w="19" w:type="dxa"/>
          <w:trHeight w:val="315" w:hRule="atLeast"/>
        </w:trPr>
        <w:tc>
          <w:tcPr>
            <w:tcW w:w="609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收入</w:t>
            </w:r>
          </w:p>
        </w:tc>
        <w:tc>
          <w:tcPr>
            <w:tcW w:w="784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108" w:type="dxa"/>
            <w:bottom w:w="0" w:type="dxa"/>
            <w:right w:w="108" w:type="dxa"/>
          </w:tblCellMar>
        </w:tblPrEx>
        <w:trPr>
          <w:gridBefore w:val="1"/>
          <w:gridAfter w:val="1"/>
          <w:wBefore w:w="3" w:type="dxa"/>
          <w:wAfter w:w="19" w:type="dxa"/>
          <w:trHeight w:val="315"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r>
      <w:tr>
        <w:trPr>
          <w:gridBefore w:val="1"/>
          <w:gridAfter w:val="1"/>
          <w:wBefore w:w="3" w:type="dxa"/>
          <w:wAfter w:w="19" w:type="dxa"/>
          <w:trHeight w:val="315"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r>
      <w:tr>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2,700.94</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28.47</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0.97</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2,133.76</w:t>
            </w:r>
          </w:p>
        </w:tc>
      </w:tr>
      <w:tr>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六、经营收入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203.24</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152.45</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183.99</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24</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25</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26</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2,701.91</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2,701.91</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结余分配</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年末结转和结余</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9" w:type="dxa"/>
          <w:trHeight w:val="334" w:hRule="atLeast"/>
        </w:trPr>
        <w:tc>
          <w:tcPr>
            <w:tcW w:w="3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2,701.91</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2,701.91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62" w:type="dxa"/>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62" w:type="dxa"/>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119"/>
        <w:gridCol w:w="1843"/>
        <w:gridCol w:w="236"/>
        <w:gridCol w:w="236"/>
        <w:gridCol w:w="1285"/>
        <w:gridCol w:w="1290"/>
        <w:gridCol w:w="1335"/>
        <w:gridCol w:w="1245"/>
        <w:gridCol w:w="1182"/>
        <w:gridCol w:w="1218"/>
        <w:gridCol w:w="1702"/>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4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1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71"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734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124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8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1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71"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471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事业收入</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经营收入</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其他收入</w:t>
            </w:r>
          </w:p>
        </w:tc>
      </w:tr>
      <w:tr>
        <w:tblPrEx>
          <w:tblCellMar>
            <w:top w:w="0" w:type="dxa"/>
            <w:left w:w="108" w:type="dxa"/>
            <w:bottom w:w="0" w:type="dxa"/>
            <w:right w:w="108" w:type="dxa"/>
          </w:tblCellMar>
        </w:tblPrEx>
        <w:trPr>
          <w:trHeight w:val="327" w:hRule="atLeast"/>
        </w:trPr>
        <w:tc>
          <w:tcPr>
            <w:tcW w:w="1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36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1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6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1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6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471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108" w:type="dxa"/>
            <w:bottom w:w="0" w:type="dxa"/>
            <w:right w:w="108" w:type="dxa"/>
          </w:tblCellMar>
        </w:tblPrEx>
        <w:trPr>
          <w:trHeight w:val="961" w:hRule="atLeast"/>
        </w:trPr>
        <w:tc>
          <w:tcPr>
            <w:tcW w:w="471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2,701.91</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2,701.91</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28.47</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28.47</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28.47</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28.47</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28.47</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28.47</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教育支出</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2,133.76</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2,133.76</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普通教育</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2,133.49</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2,133.49</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2050202</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2,067.85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2,067.85</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65.64</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65.64</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20509</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0.27</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0.27</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2050999</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0.27</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0.27</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203.24</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203.24</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203.24</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203.24</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203.24</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203.24</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152.45</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152.45</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152.45</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36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183.99</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183.99</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22960</w:t>
            </w:r>
          </w:p>
        </w:tc>
        <w:tc>
          <w:tcPr>
            <w:tcW w:w="3600" w:type="dxa"/>
            <w:gridSpan w:val="4"/>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290"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0.97</w:t>
            </w:r>
          </w:p>
        </w:tc>
        <w:tc>
          <w:tcPr>
            <w:tcW w:w="1335"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0.97</w:t>
            </w:r>
          </w:p>
        </w:tc>
        <w:tc>
          <w:tcPr>
            <w:tcW w:w="1245"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2296004</w:t>
            </w:r>
          </w:p>
        </w:tc>
        <w:tc>
          <w:tcPr>
            <w:tcW w:w="3600" w:type="dxa"/>
            <w:gridSpan w:val="4"/>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用于教育事业的彩票公益金支出</w:t>
            </w:r>
          </w:p>
        </w:tc>
        <w:tc>
          <w:tcPr>
            <w:tcW w:w="1290"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0.97</w:t>
            </w:r>
          </w:p>
        </w:tc>
        <w:tc>
          <w:tcPr>
            <w:tcW w:w="1335"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0.97</w:t>
            </w:r>
          </w:p>
        </w:tc>
        <w:tc>
          <w:tcPr>
            <w:tcW w:w="1245"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3600" w:type="dxa"/>
            <w:gridSpan w:val="4"/>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1290"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183.02</w:t>
            </w:r>
          </w:p>
        </w:tc>
        <w:tc>
          <w:tcPr>
            <w:tcW w:w="1335"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183.02</w:t>
            </w:r>
          </w:p>
        </w:tc>
        <w:tc>
          <w:tcPr>
            <w:tcW w:w="1245"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119"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3600" w:type="dxa"/>
            <w:gridSpan w:val="4"/>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90"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183.02</w:t>
            </w:r>
          </w:p>
        </w:tc>
        <w:tc>
          <w:tcPr>
            <w:tcW w:w="1335"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183.02</w:t>
            </w:r>
          </w:p>
        </w:tc>
        <w:tc>
          <w:tcPr>
            <w:tcW w:w="1245"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182"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218"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059"/>
        <w:gridCol w:w="83"/>
        <w:gridCol w:w="237"/>
        <w:gridCol w:w="303"/>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CellMar>
            <w:top w:w="0" w:type="dxa"/>
            <w:left w:w="108" w:type="dxa"/>
            <w:bottom w:w="0" w:type="dxa"/>
            <w:right w:w="108" w:type="dxa"/>
          </w:tblCellMar>
        </w:tblPrEx>
        <w:trPr>
          <w:trHeight w:val="322" w:hRule="atLeast"/>
        </w:trPr>
        <w:tc>
          <w:tcPr>
            <w:tcW w:w="10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2845"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4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4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2,701.91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2,530.89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171.02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2,133.76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1,963.71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2,133.49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1,963.44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2050202</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2,067.85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1,956.25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111.60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65.64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58.45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20509</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2050999</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183.99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183.02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0.97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22960</w:t>
            </w:r>
          </w:p>
        </w:tc>
        <w:tc>
          <w:tcPr>
            <w:tcW w:w="2845" w:type="dxa"/>
            <w:gridSpan w:val="4"/>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627"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0.97</w:t>
            </w:r>
          </w:p>
        </w:tc>
        <w:tc>
          <w:tcPr>
            <w:tcW w:w="1680"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0.97</w:t>
            </w:r>
          </w:p>
        </w:tc>
        <w:tc>
          <w:tcPr>
            <w:tcW w:w="1653"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2296004</w:t>
            </w:r>
          </w:p>
        </w:tc>
        <w:tc>
          <w:tcPr>
            <w:tcW w:w="2845" w:type="dxa"/>
            <w:gridSpan w:val="4"/>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用于教育事业的彩票公益金支出</w:t>
            </w:r>
          </w:p>
        </w:tc>
        <w:tc>
          <w:tcPr>
            <w:tcW w:w="1627"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0.97</w:t>
            </w:r>
          </w:p>
        </w:tc>
        <w:tc>
          <w:tcPr>
            <w:tcW w:w="1680"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0.97</w:t>
            </w:r>
          </w:p>
        </w:tc>
        <w:tc>
          <w:tcPr>
            <w:tcW w:w="1653"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845" w:type="dxa"/>
            <w:gridSpan w:val="4"/>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183.02</w:t>
            </w:r>
          </w:p>
        </w:tc>
        <w:tc>
          <w:tcPr>
            <w:tcW w:w="1680"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183.02</w:t>
            </w:r>
          </w:p>
        </w:tc>
        <w:tc>
          <w:tcPr>
            <w:tcW w:w="1760"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059"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845" w:type="dxa"/>
            <w:gridSpan w:val="4"/>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27"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183.02</w:t>
            </w:r>
          </w:p>
        </w:tc>
        <w:tc>
          <w:tcPr>
            <w:tcW w:w="1680"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183.02</w:t>
            </w:r>
          </w:p>
        </w:tc>
        <w:tc>
          <w:tcPr>
            <w:tcW w:w="1760"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6006" w:type="pct"/>
        <w:tblInd w:w="0" w:type="dxa"/>
        <w:tblLayout w:type="fixed"/>
        <w:tblCellMar>
          <w:top w:w="0" w:type="dxa"/>
          <w:left w:w="108" w:type="dxa"/>
          <w:bottom w:w="0" w:type="dxa"/>
          <w:right w:w="108" w:type="dxa"/>
        </w:tblCellMar>
      </w:tblPr>
      <w:tblGrid>
        <w:gridCol w:w="2520"/>
        <w:gridCol w:w="990"/>
        <w:gridCol w:w="990"/>
        <w:gridCol w:w="225"/>
        <w:gridCol w:w="3000"/>
        <w:gridCol w:w="885"/>
        <w:gridCol w:w="385"/>
        <w:gridCol w:w="935"/>
        <w:gridCol w:w="236"/>
        <w:gridCol w:w="682"/>
        <w:gridCol w:w="455"/>
        <w:gridCol w:w="142"/>
        <w:gridCol w:w="98"/>
        <w:gridCol w:w="1190"/>
        <w:gridCol w:w="92"/>
        <w:gridCol w:w="120"/>
        <w:gridCol w:w="1155"/>
        <w:gridCol w:w="2928"/>
      </w:tblGrid>
      <w:tr>
        <w:tblPrEx>
          <w:tblCellMar>
            <w:top w:w="0" w:type="dxa"/>
            <w:left w:w="108" w:type="dxa"/>
            <w:bottom w:w="0" w:type="dxa"/>
            <w:right w:w="108" w:type="dxa"/>
          </w:tblCellMar>
        </w:tblPrEx>
        <w:trPr>
          <w:gridAfter w:val="1"/>
          <w:wAfter w:w="859" w:type="pct"/>
          <w:trHeight w:val="527" w:hRule="atLeast"/>
        </w:trPr>
        <w:tc>
          <w:tcPr>
            <w:tcW w:w="4140" w:type="pct"/>
            <w:gridSpan w:val="1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rPr>
          <w:trHeight w:val="264" w:hRule="atLeast"/>
        </w:trPr>
        <w:tc>
          <w:tcPr>
            <w:tcW w:w="73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94" w:type="pct"/>
            <w:gridSpan w:val="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33"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0"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1" w:type="pct"/>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98"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gridAfter w:val="1"/>
          <w:wAfter w:w="859" w:type="pct"/>
          <w:trHeight w:val="264" w:hRule="atLeast"/>
        </w:trPr>
        <w:tc>
          <w:tcPr>
            <w:tcW w:w="2641" w:type="pct"/>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544" w:type="pct"/>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53" w:type="pct"/>
            <w:gridSpan w:val="4"/>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1" w:type="pct"/>
            <w:gridSpan w:val="3"/>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859" w:type="pct"/>
          <w:trHeight w:val="272" w:hRule="atLeast"/>
        </w:trPr>
        <w:tc>
          <w:tcPr>
            <w:tcW w:w="138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     入</w:t>
            </w:r>
          </w:p>
        </w:tc>
        <w:tc>
          <w:tcPr>
            <w:tcW w:w="2752"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     出</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c>
          <w:tcPr>
            <w:tcW w:w="8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合计</w:t>
            </w:r>
          </w:p>
        </w:tc>
        <w:tc>
          <w:tcPr>
            <w:tcW w:w="44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0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CellMar>
            <w:top w:w="0" w:type="dxa"/>
            <w:left w:w="108" w:type="dxa"/>
            <w:bottom w:w="0" w:type="dxa"/>
            <w:right w:w="108" w:type="dxa"/>
          </w:tblCellMar>
        </w:tblPrEx>
        <w:trPr>
          <w:gridAfter w:val="1"/>
          <w:wAfter w:w="859" w:type="pct"/>
          <w:trHeight w:val="461" w:hRule="atLeast"/>
        </w:trPr>
        <w:tc>
          <w:tcPr>
            <w:tcW w:w="7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8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44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40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2,700.94</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28.47</w:t>
            </w:r>
          </w:p>
        </w:tc>
        <w:tc>
          <w:tcPr>
            <w:tcW w:w="44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28.47</w:t>
            </w:r>
          </w:p>
        </w:tc>
        <w:tc>
          <w:tcPr>
            <w:tcW w:w="40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0.97</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二、外交支出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0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三、国防支出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0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272"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0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272"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五、教育支出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2,133.76</w:t>
            </w:r>
          </w:p>
        </w:tc>
        <w:tc>
          <w:tcPr>
            <w:tcW w:w="44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2,133.76</w:t>
            </w:r>
          </w:p>
        </w:tc>
        <w:tc>
          <w:tcPr>
            <w:tcW w:w="40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gridAfter w:val="1"/>
          <w:wAfter w:w="859" w:type="pct"/>
          <w:trHeight w:val="272"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0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0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203.24</w:t>
            </w:r>
          </w:p>
        </w:tc>
        <w:tc>
          <w:tcPr>
            <w:tcW w:w="44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203.24</w:t>
            </w:r>
          </w:p>
        </w:tc>
        <w:tc>
          <w:tcPr>
            <w:tcW w:w="40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272"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0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272"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4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40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272"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272"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272"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272"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gridAfter w:val="1"/>
          <w:wAfter w:w="859" w:type="pct"/>
          <w:trHeight w:val="272"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152.45</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152.45</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272"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183.99</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183.02</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0.97</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272"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272"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gridAfter w:val="1"/>
          <w:wAfter w:w="859" w:type="pct"/>
          <w:trHeight w:val="272"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2,701.91</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2,701.91</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2,700.94</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0.97</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859" w:type="pct"/>
          <w:trHeight w:val="535" w:hRule="atLeast"/>
        </w:trPr>
        <w:tc>
          <w:tcPr>
            <w:tcW w:w="7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w:t>
            </w:r>
          </w:p>
        </w:tc>
        <w:tc>
          <w:tcPr>
            <w:tcW w:w="3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2,701.91</w:t>
            </w:r>
          </w:p>
        </w:tc>
        <w:tc>
          <w:tcPr>
            <w:tcW w:w="8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w:t>
            </w:r>
          </w:p>
        </w:tc>
        <w:tc>
          <w:tcPr>
            <w:tcW w:w="3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2,701.91</w:t>
            </w:r>
          </w:p>
        </w:tc>
        <w:tc>
          <w:tcPr>
            <w:tcW w:w="47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2,700.94</w:t>
            </w:r>
          </w:p>
        </w:tc>
        <w:tc>
          <w:tcPr>
            <w:tcW w:w="3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0.97</w:t>
            </w:r>
          </w:p>
        </w:tc>
        <w:tc>
          <w:tcPr>
            <w:tcW w:w="37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bl>
    <w:p>
      <w:pPr>
        <w:jc w:val="left"/>
        <w:rPr>
          <w:rFonts w:ascii="仿宋" w:hAnsi="仿宋" w:eastAsia="仿宋" w:cs="仿宋"/>
          <w:sz w:val="24"/>
          <w:highlight w:val="none"/>
        </w:rPr>
      </w:pPr>
    </w:p>
    <w:p>
      <w:pPr>
        <w:jc w:val="left"/>
        <w:rPr>
          <w:rFonts w:hint="eastAsia" w:ascii="仿宋" w:hAnsi="仿宋" w:eastAsia="仿宋" w:cs="仿宋"/>
          <w:b/>
          <w:bCs/>
          <w:sz w:val="24"/>
          <w:highlight w:val="none"/>
        </w:rPr>
      </w:pPr>
      <w:r>
        <w:rPr>
          <w:rFonts w:hint="eastAsia" w:ascii="仿宋" w:hAnsi="仿宋" w:eastAsia="仿宋" w:cs="仿宋"/>
          <w:b/>
          <w:bCs/>
          <w:sz w:val="24"/>
          <w:highlight w:val="none"/>
        </w:rPr>
        <w:t>注：本表反映部门本年度一般公共预算财政拨款、政府性基金预算财政拨款和国有资本经营预算财政拨款的总收支和年末结转结余情况。</w:t>
      </w: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49"/>
        <w:gridCol w:w="234"/>
        <w:gridCol w:w="238"/>
        <w:gridCol w:w="238"/>
        <w:gridCol w:w="3970"/>
        <w:gridCol w:w="1255"/>
        <w:gridCol w:w="1100"/>
        <w:gridCol w:w="2007"/>
        <w:gridCol w:w="603"/>
        <w:gridCol w:w="2286"/>
      </w:tblGrid>
      <w:tr>
        <w:tblPrEx>
          <w:tblCellMar>
            <w:top w:w="0" w:type="dxa"/>
            <w:left w:w="108" w:type="dxa"/>
            <w:bottom w:w="0" w:type="dxa"/>
            <w:right w:w="108" w:type="dxa"/>
          </w:tblCellMar>
        </w:tblPrEx>
        <w:trPr>
          <w:trHeight w:val="693" w:hRule="atLeast"/>
        </w:trPr>
        <w:tc>
          <w:tcPr>
            <w:tcW w:w="13980"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9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3107"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672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72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53" w:hRule="atLeast"/>
        </w:trPr>
        <w:tc>
          <w:tcPr>
            <w:tcW w:w="20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468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235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26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22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19" w:hRule="atLeast"/>
        </w:trPr>
        <w:tc>
          <w:tcPr>
            <w:tcW w:w="20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8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5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8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5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1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672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58" w:hRule="atLeast"/>
        </w:trPr>
        <w:tc>
          <w:tcPr>
            <w:tcW w:w="672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2,700.94</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2,530.89</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170.05</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28.47</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28.47</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28.47</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28.47</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28.47</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28.47</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教育支出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2,133.76</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1,963.71</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170.05</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普通教育</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2,133.49</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1,963.44</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170.05</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2050202</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2,067.85</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1,956.25</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111.60</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2050299</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65.64</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7.19</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58.45</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20509</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0.27</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0.27</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2050999</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0.27</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0.27</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203.24</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203.24</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203.24</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203.24</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203.24</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203.24</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152.45</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152.45</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152.45</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152.45</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152.45</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152.45</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183.02</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183.02</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183.02</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183.02</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46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183.02</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183.02</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bl>
    <w:p>
      <w:pPr>
        <w:jc w:val="left"/>
        <w:rPr>
          <w:rFonts w:hint="eastAsia" w:ascii="仿宋" w:hAnsi="仿宋" w:eastAsia="仿宋" w:cs="仿宋"/>
          <w:b/>
          <w:bCs/>
          <w:sz w:val="24"/>
          <w:highlight w:val="none"/>
        </w:rPr>
      </w:pPr>
      <w:r>
        <w:rPr>
          <w:rFonts w:hint="eastAsia" w:ascii="仿宋" w:hAnsi="仿宋" w:eastAsia="仿宋" w:cs="仿宋"/>
          <w:b/>
          <w:bCs/>
          <w:sz w:val="24"/>
          <w:highlight w:val="none"/>
        </w:rPr>
        <w:t>注：本表反映部门本年度一般公共预算财政拨款支出情况。</w:t>
      </w: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984"/>
        <w:gridCol w:w="123"/>
        <w:gridCol w:w="1812"/>
        <w:gridCol w:w="559"/>
        <w:gridCol w:w="596"/>
        <w:gridCol w:w="885"/>
        <w:gridCol w:w="905"/>
        <w:gridCol w:w="1180"/>
        <w:gridCol w:w="1167"/>
        <w:gridCol w:w="138"/>
        <w:gridCol w:w="839"/>
        <w:gridCol w:w="183"/>
        <w:gridCol w:w="1173"/>
        <w:gridCol w:w="1690"/>
        <w:gridCol w:w="457"/>
        <w:gridCol w:w="1309"/>
      </w:tblGrid>
      <w:tr>
        <w:tblPrEx>
          <w:tblCellMar>
            <w:top w:w="0" w:type="dxa"/>
            <w:left w:w="108" w:type="dxa"/>
            <w:bottom w:w="0" w:type="dxa"/>
            <w:right w:w="108" w:type="dxa"/>
          </w:tblCellMar>
        </w:tblPrEx>
        <w:trPr>
          <w:trHeight w:val="614" w:hRule="atLeast"/>
        </w:trPr>
        <w:tc>
          <w:tcPr>
            <w:tcW w:w="14000" w:type="dxa"/>
            <w:gridSpan w:val="1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9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9"/>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1160"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3"/>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0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w:t>
            </w:r>
          </w:p>
        </w:tc>
        <w:tc>
          <w:tcPr>
            <w:tcW w:w="9926"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1237" w:hRule="atLeast"/>
        </w:trPr>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2,043.64</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137.72</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 xml:space="preserve">  基本工资</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850.55</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28.06</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30701</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125.67</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30702</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269.68</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17.38</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31001</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323.37</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1.14</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31002</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13.37</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203.24</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12.42</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31003</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13.42</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31005</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91.01</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31006</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0.95</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31007</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11.45</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17.64</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31008</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152.45</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31009</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18.98</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31010</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16.22</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31011</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332.15</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31012</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31013</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31019</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6.82</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31021</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35.47</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31022</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113.67</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31099</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4.01</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7.54</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39907</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182.99</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28.47</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39908</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0.01</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39909</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39910</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39999</w:t>
            </w: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3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29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2,375.79</w:t>
            </w:r>
          </w:p>
        </w:tc>
        <w:tc>
          <w:tcPr>
            <w:tcW w:w="816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155.10</w:t>
            </w:r>
          </w:p>
        </w:tc>
      </w:tr>
      <w:bookmarkEnd w:id="0"/>
      <w:bookmarkEnd w:id="1"/>
      <w:tr>
        <w:tblPrEx>
          <w:tblCellMar>
            <w:top w:w="0" w:type="dxa"/>
            <w:left w:w="108" w:type="dxa"/>
            <w:bottom w:w="0" w:type="dxa"/>
            <w:right w:w="108" w:type="dxa"/>
          </w:tblCellMar>
        </w:tblPrEx>
        <w:trPr>
          <w:trHeight w:val="319" w:hRule="atLeast"/>
        </w:trPr>
        <w:tc>
          <w:tcPr>
            <w:tcW w:w="14000" w:type="dxa"/>
            <w:gridSpan w:val="16"/>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179"/>
        <w:gridCol w:w="118"/>
        <w:gridCol w:w="240"/>
        <w:gridCol w:w="236"/>
        <w:gridCol w:w="1986"/>
        <w:gridCol w:w="1785"/>
        <w:gridCol w:w="1480"/>
        <w:gridCol w:w="1600"/>
        <w:gridCol w:w="69"/>
        <w:gridCol w:w="1611"/>
        <w:gridCol w:w="58"/>
        <w:gridCol w:w="1670"/>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8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168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7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7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本年收入</w:t>
            </w:r>
          </w:p>
        </w:tc>
        <w:tc>
          <w:tcPr>
            <w:tcW w:w="50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1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258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7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6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16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1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8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1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8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7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gridAfter w:val="1"/>
          <w:wAfter w:w="2" w:type="dxa"/>
          <w:trHeight w:val="277" w:hRule="atLeast"/>
        </w:trPr>
        <w:tc>
          <w:tcPr>
            <w:tcW w:w="37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0.97</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0.97</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0.97</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77" w:hRule="atLeast"/>
        </w:trPr>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25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0.97</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0.97</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0.97</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77" w:hRule="atLeast"/>
        </w:trPr>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22960</w:t>
            </w:r>
          </w:p>
        </w:tc>
        <w:tc>
          <w:tcPr>
            <w:tcW w:w="25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0.97</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0.97</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0.97</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77" w:hRule="atLeast"/>
        </w:trPr>
        <w:tc>
          <w:tcPr>
            <w:tcW w:w="11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2296004</w:t>
            </w:r>
          </w:p>
        </w:tc>
        <w:tc>
          <w:tcPr>
            <w:tcW w:w="25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用于教育事业的彩票公益金支出</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0.97</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0.97</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0.97</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77" w:hRule="atLeast"/>
        </w:trPr>
        <w:tc>
          <w:tcPr>
            <w:tcW w:w="117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580" w:type="dxa"/>
            <w:gridSpan w:val="4"/>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78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4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69"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69"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7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rPr>
          <w:rFonts w:hint="eastAsia" w:ascii="仿宋" w:hAnsi="仿宋" w:eastAsia="仿宋" w:cs="仿宋"/>
          <w:b/>
          <w:bCs/>
          <w:sz w:val="24"/>
          <w:highlight w:val="none"/>
        </w:rPr>
      </w:pPr>
      <w:r>
        <w:rPr>
          <w:rFonts w:hint="eastAsia" w:ascii="仿宋" w:hAnsi="仿宋" w:eastAsia="仿宋" w:cs="仿宋"/>
          <w:b/>
          <w:bCs/>
          <w:sz w:val="24"/>
          <w:highlight w:val="none"/>
        </w:rPr>
        <w:t>注：本表反映部门本年度政府性基金预算财政拨款收入、支出及结转和结余情况。</w:t>
      </w:r>
    </w:p>
    <w:p>
      <w:pPr>
        <w:rPr>
          <w:rFonts w:hint="eastAsia"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环江毛南族自治县水源镇中心小学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color w:val="000000"/>
                <w:sz w:val="22"/>
                <w:szCs w:val="22"/>
                <w:highlight w:val="none"/>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color w:val="000000"/>
                <w:sz w:val="22"/>
                <w:szCs w:val="22"/>
                <w:highlight w:val="none"/>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color w:val="000000"/>
                <w:sz w:val="22"/>
                <w:szCs w:val="22"/>
                <w:highlight w:val="none"/>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b/>
                <w:bCs/>
                <w:color w:val="000000"/>
                <w:sz w:val="22"/>
                <w:szCs w:val="22"/>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环江毛南族自治县水源镇中心小学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keepNext w:val="0"/>
        <w:keepLines w:val="0"/>
        <w:widowControl w:val="0"/>
        <w:numPr>
          <w:ilvl w:val="0"/>
          <w:numId w:val="1"/>
        </w:numPr>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本部门2022年度总收入2701.91万元，较2021年度决算数减少256.44万元，下降8.67%，其中本年收入2701.91万元。收入具体情况如下。</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1.一般公共预算财政拨款收入2700.94万元，为环江毛南族自治县本级财政当年拨付的资金。较2021年度决算数减少42.96万元，下降1.57%，</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主要原因：（1）有退休人员增加，在职人员减少；（2）有在职人员调出；（3）上级专款收入减少。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2.政府性基金预算财政拨款收入0.97万元，为环江毛南族自治县本级财政当年拨付的资金。较2021年度决算数增加0.97万元，增长100%，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主要原因：因</w:t>
      </w:r>
      <w:r>
        <w:rPr>
          <w:rFonts w:hint="eastAsia" w:ascii="仿宋" w:hAnsi="仿宋" w:eastAsia="仿宋" w:cs="仿宋"/>
          <w:color w:val="auto"/>
          <w:kern w:val="2"/>
          <w:sz w:val="32"/>
          <w:szCs w:val="32"/>
          <w:highlight w:val="none"/>
          <w:lang w:val="en-US" w:eastAsia="zh-CN" w:bidi="ar"/>
        </w:rPr>
        <w:t>科目分类调整，</w:t>
      </w:r>
      <w:r>
        <w:rPr>
          <w:rFonts w:hint="eastAsia" w:ascii="华文仿宋" w:hAnsi="华文仿宋" w:eastAsia="华文仿宋" w:cs="华文仿宋"/>
          <w:kern w:val="0"/>
          <w:sz w:val="32"/>
          <w:szCs w:val="32"/>
          <w:lang w:val="en-US" w:eastAsia="zh-CN"/>
        </w:rPr>
        <w:t>主要用于少年宫教师辅导劳务费、少年宫课外辅导费用</w:t>
      </w:r>
      <w:r>
        <w:rPr>
          <w:rFonts w:hint="eastAsia" w:ascii="华文仿宋" w:hAnsi="华文仿宋" w:eastAsia="华文仿宋" w:cs="华文仿宋"/>
          <w:kern w:val="0"/>
          <w:sz w:val="32"/>
          <w:szCs w:val="32"/>
        </w:rPr>
        <w:t>支出</w:t>
      </w:r>
      <w:r>
        <w:rPr>
          <w:rFonts w:hint="eastAsia" w:ascii="仿宋" w:hAnsi="仿宋" w:eastAsia="仿宋" w:cs="仿宋"/>
          <w:sz w:val="32"/>
          <w:u w:color="auto"/>
        </w:rPr>
        <w:t>0.97</w:t>
      </w:r>
      <w:r>
        <w:rPr>
          <w:rFonts w:hint="eastAsia" w:ascii="华文仿宋" w:hAnsi="华文仿宋" w:eastAsia="华文仿宋" w:cs="华文仿宋"/>
          <w:kern w:val="0"/>
          <w:sz w:val="32"/>
          <w:szCs w:val="32"/>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3.国有资本经营预算财政拨款收入0.00万元。为环江毛南族自治县本级财政当年拨付的资金。较2021年度决算数增加0.00万元,增长0%，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主要原因是：本部门2022年度没有国有资本经营预算财政拨款收入，也没有国有资本经营预算财政拨款安排的支出。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8.其他收入0.00万元,为预算单位在“财政拨款收入”“事业收入”“经营收入”之外取得的收入。较2021年度决算数增加0.00万元，增长0%，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万元，为以前年度支出，预算已执行完毕，</w:t>
      </w:r>
      <w:r>
        <w:rPr>
          <w:rFonts w:hint="eastAsia" w:ascii="仿宋" w:hAnsi="仿宋" w:eastAsia="仿宋" w:cs="仿宋"/>
          <w:color w:val="auto"/>
          <w:kern w:val="2"/>
          <w:sz w:val="32"/>
          <w:szCs w:val="32"/>
          <w:highlight w:val="none"/>
          <w:lang w:val="en-US" w:eastAsia="zh-CN" w:bidi="ar"/>
        </w:rPr>
        <w:t>不需要结转至本年继续执行。</w:t>
      </w:r>
      <w:r>
        <w:rPr>
          <w:rFonts w:hint="eastAsia" w:ascii="仿宋" w:hAnsi="仿宋" w:eastAsia="仿宋" w:cs="仿宋"/>
          <w:kern w:val="2"/>
          <w:sz w:val="32"/>
          <w:szCs w:val="32"/>
          <w:highlight w:val="none"/>
          <w:lang w:val="en-US" w:eastAsia="zh-CN" w:bidi="ar"/>
        </w:rPr>
        <w:t>较2021年度决算数</w:t>
      </w:r>
      <w:r>
        <w:rPr>
          <w:rFonts w:ascii="仿宋" w:hAnsi="仿宋" w:eastAsia="仿宋" w:cs="仿宋"/>
          <w:sz w:val="32"/>
          <w:u w:color="auto"/>
        </w:rPr>
        <w:t>减少</w:t>
      </w:r>
      <w:r>
        <w:rPr>
          <w:rFonts w:hint="eastAsia" w:ascii="仿宋" w:hAnsi="仿宋" w:eastAsia="仿宋" w:cs="仿宋"/>
          <w:sz w:val="32"/>
          <w:u w:color="auto"/>
        </w:rPr>
        <w:t>214.45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所有项目已在本年执行完毕，不需要结转至下年继续执行。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2638425"/>
            <wp:effectExtent l="4445" t="4445" r="2095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2701.91</w:t>
      </w:r>
      <w:r>
        <w:rPr>
          <w:rFonts w:hint="eastAsia" w:ascii="仿宋" w:hAnsi="仿宋" w:eastAsia="仿宋" w:cs="仿宋"/>
          <w:sz w:val="32"/>
          <w:szCs w:val="32"/>
          <w:highlight w:val="none"/>
        </w:rPr>
        <w:t>万元，其中本年支出</w:t>
      </w:r>
      <w:r>
        <w:rPr>
          <w:rFonts w:ascii="仿宋" w:hAnsi="仿宋" w:eastAsia="仿宋" w:cs="仿宋"/>
          <w:sz w:val="32"/>
          <w:u w:color="auto"/>
        </w:rPr>
        <w:t>2701.91</w:t>
      </w:r>
      <w:r>
        <w:rPr>
          <w:rFonts w:hint="eastAsia" w:ascii="仿宋" w:hAnsi="仿宋" w:eastAsia="仿宋" w:cs="仿宋"/>
          <w:sz w:val="32"/>
          <w:szCs w:val="32"/>
          <w:highlight w:val="none"/>
        </w:rPr>
        <w:t>万元，较2021年度决算数</w:t>
      </w:r>
      <w:r>
        <w:rPr>
          <w:rFonts w:ascii="仿宋" w:hAnsi="仿宋" w:eastAsia="仿宋" w:cs="仿宋"/>
          <w:sz w:val="32"/>
          <w:u w:color="auto"/>
        </w:rPr>
        <w:t>减少256.44</w:t>
      </w:r>
      <w:r>
        <w:rPr>
          <w:rFonts w:hint="eastAsia" w:ascii="仿宋" w:hAnsi="仿宋" w:eastAsia="仿宋" w:cs="仿宋"/>
          <w:sz w:val="32"/>
          <w:szCs w:val="32"/>
          <w:highlight w:val="none"/>
        </w:rPr>
        <w:t>万元，</w:t>
      </w:r>
      <w:r>
        <w:rPr>
          <w:rFonts w:ascii="仿宋" w:hAnsi="仿宋" w:eastAsia="仿宋" w:cs="仿宋"/>
          <w:sz w:val="32"/>
          <w:u w:color="auto"/>
        </w:rPr>
        <w:t>下降8.67%</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yellow"/>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2133.76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lang w:eastAsia="zh-CN"/>
          <w14:textFill>
            <w14:solidFill>
              <w14:schemeClr w14:val="tx1"/>
            </w14:solidFill>
          </w14:textFill>
        </w:rPr>
        <w:t>主要用于全镇教职工工资及为开展教育教学活动的支出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48.03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2.25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在职教师数比2021年有所减少，2022年转出的学生较多，新生也有所减少。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类）203.24万元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lang w:eastAsia="zh-CN"/>
          <w14:textFill>
            <w14:solidFill>
              <w14:schemeClr w14:val="tx1"/>
            </w14:solidFill>
          </w14:textFill>
        </w:rPr>
        <w:t>主要用于缴纳教职工“五险”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46.76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18.7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华文仿宋" w:hAnsi="华文仿宋" w:eastAsia="华文仿宋" w:cs="华文仿宋"/>
          <w:color w:val="auto"/>
          <w:kern w:val="0"/>
          <w:sz w:val="32"/>
          <w:szCs w:val="32"/>
          <w:lang w:val="en-US" w:eastAsia="zh-CN"/>
        </w:rPr>
        <w:t>是</w:t>
      </w:r>
      <w:r>
        <w:rPr>
          <w:rFonts w:hint="eastAsia" w:ascii="华文仿宋" w:hAnsi="华文仿宋" w:eastAsia="华文仿宋" w:cs="华文仿宋"/>
          <w:kern w:val="0"/>
          <w:sz w:val="32"/>
          <w:szCs w:val="32"/>
          <w:lang w:val="en-US" w:eastAsia="zh-CN"/>
        </w:rPr>
        <w:t>2022年有几个调出教师</w:t>
      </w:r>
      <w:r>
        <w:rPr>
          <w:rFonts w:hint="eastAsia" w:ascii="华文仿宋" w:hAnsi="华文仿宋" w:eastAsia="华文仿宋" w:cs="华文仿宋"/>
          <w:kern w:val="0"/>
          <w:sz w:val="32"/>
          <w:szCs w:val="32"/>
        </w:rPr>
        <w:t>，</w:t>
      </w:r>
      <w:r>
        <w:rPr>
          <w:rFonts w:hint="eastAsia" w:ascii="华文仿宋" w:hAnsi="华文仿宋" w:eastAsia="华文仿宋" w:cs="华文仿宋"/>
          <w:kern w:val="0"/>
          <w:sz w:val="32"/>
          <w:szCs w:val="32"/>
          <w:lang w:val="en-US" w:eastAsia="zh-CN"/>
        </w:rPr>
        <w:t>退休人员有所增加，</w:t>
      </w:r>
      <w:r>
        <w:rPr>
          <w:rFonts w:hint="eastAsia" w:ascii="华文仿宋" w:hAnsi="华文仿宋" w:eastAsia="华文仿宋" w:cs="华文仿宋"/>
          <w:kern w:val="0"/>
          <w:sz w:val="32"/>
          <w:szCs w:val="32"/>
        </w:rPr>
        <w:t>教职工“五险”比去年有所</w:t>
      </w:r>
      <w:r>
        <w:rPr>
          <w:rFonts w:hint="eastAsia" w:ascii="华文仿宋" w:hAnsi="华文仿宋" w:eastAsia="华文仿宋" w:cs="华文仿宋"/>
          <w:kern w:val="0"/>
          <w:sz w:val="32"/>
          <w:szCs w:val="32"/>
          <w:lang w:val="en-US" w:eastAsia="zh-CN"/>
        </w:rPr>
        <w:t>减少</w:t>
      </w:r>
      <w:r>
        <w:rPr>
          <w:rFonts w:hint="eastAsia" w:ascii="华文仿宋" w:hAnsi="华文仿宋" w:eastAsia="华文仿宋" w:cs="华文仿宋"/>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u w:color="auto"/>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类）152.45万元：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华文仿宋" w:hAnsi="华文仿宋" w:eastAsia="华文仿宋" w:cs="华文仿宋"/>
          <w:kern w:val="0"/>
          <w:sz w:val="32"/>
          <w:szCs w:val="32"/>
        </w:rPr>
        <w:t>教职工</w:t>
      </w:r>
      <w:r>
        <w:rPr>
          <w:rFonts w:hint="eastAsia" w:ascii="仿宋" w:hAnsi="仿宋" w:eastAsia="仿宋" w:cs="仿宋"/>
          <w:color w:val="000000" w:themeColor="text1"/>
          <w:sz w:val="32"/>
          <w:szCs w:val="32"/>
          <w:highlight w:val="none"/>
          <w:lang w:val="en-US" w:eastAsia="zh-CN"/>
          <w14:textFill>
            <w14:solidFill>
              <w14:schemeClr w14:val="tx1"/>
            </w14:solidFill>
          </w14:textFill>
        </w:rPr>
        <w:t>住房保障</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增加44.54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增加29.22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主要原因是教职工的工资比往年有所增加，缴纳的住房公积金也有所增加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4、一般公共服务支出（201类）28.47万元，主要用于教职工工会活动费用、慰问特困、重病、退休教师。较2021年度决算数增加28.47万元，增加100%，主要原因是科目分类调整。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5、其他支出（229类）183.99万元，主要用于教职工奖励性补贴以及少年宫教师辅导劳务费、少年宫课外辅导费用。较2021年度决算数减少234.66万元，下降56.05%，主要原因是科目分类调整。</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val="en-US" w:eastAsia="zh-CN"/>
          <w14:textFill>
            <w14:solidFill>
              <w14:schemeClr w14:val="tx1"/>
            </w14:solidFill>
          </w14:textFill>
        </w:rPr>
        <w:t>是我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单位按规定提取的职工福利基金、事业基金和缴纳的所得税。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为本年度预算安排</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按原计划实施，</w:t>
      </w:r>
      <w:r>
        <w:rPr>
          <w:rFonts w:hint="eastAsia" w:ascii="仿宋" w:hAnsi="仿宋" w:eastAsia="仿宋" w:cs="仿宋"/>
          <w:color w:val="000000" w:themeColor="text1"/>
          <w:sz w:val="32"/>
          <w:szCs w:val="32"/>
          <w:highlight w:val="none"/>
          <w:lang w:val="en-US" w:eastAsia="zh-CN"/>
          <w14:textFill>
            <w14:solidFill>
              <w14:schemeClr w14:val="tx1"/>
            </w14:solidFill>
          </w14:textFill>
        </w:rPr>
        <w:t>不</w:t>
      </w:r>
      <w:r>
        <w:rPr>
          <w:rFonts w:hint="eastAsia" w:ascii="仿宋" w:hAnsi="仿宋" w:eastAsia="仿宋" w:cs="仿宋"/>
          <w:color w:val="000000" w:themeColor="text1"/>
          <w:sz w:val="32"/>
          <w:szCs w:val="32"/>
          <w:highlight w:val="none"/>
          <w14:textFill>
            <w14:solidFill>
              <w14:schemeClr w14:val="tx1"/>
            </w14:solidFill>
          </w14:textFill>
        </w:rPr>
        <w:t>需要延迟到以后年度继续使用的资金</w:t>
      </w:r>
      <w:r>
        <w:rPr>
          <w:rFonts w:hint="eastAsia" w:ascii="仿宋" w:hAnsi="仿宋" w:eastAsia="仿宋" w:cs="仿宋"/>
          <w:sz w:val="32"/>
          <w:szCs w:val="32"/>
          <w:highlight w:val="none"/>
        </w:rPr>
        <w:t>。较2021年度决算数</w:t>
      </w:r>
      <w:r>
        <w:rPr>
          <w:rFonts w:hint="eastAsia" w:ascii="仿宋" w:hAnsi="仿宋" w:eastAsia="仿宋" w:cs="仿宋"/>
          <w:sz w:val="32"/>
          <w:u w:color="auto"/>
          <w:lang w:val="en-US" w:eastAsia="zh-CN"/>
        </w:rPr>
        <w:t>减少214.45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减少100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主要原因是按年初</w:t>
      </w:r>
      <w:r>
        <w:rPr>
          <w:rFonts w:hint="eastAsia" w:ascii="仿宋" w:hAnsi="仿宋" w:eastAsia="仿宋" w:cs="仿宋"/>
          <w:kern w:val="2"/>
          <w:sz w:val="32"/>
          <w:szCs w:val="32"/>
          <w:highlight w:val="none"/>
          <w:lang w:val="en-US" w:eastAsia="zh-CN" w:bidi="ar"/>
        </w:rPr>
        <w:t>预算已执行完毕，</w:t>
      </w:r>
      <w:r>
        <w:rPr>
          <w:rFonts w:hint="eastAsia" w:ascii="仿宋" w:hAnsi="仿宋" w:eastAsia="仿宋" w:cs="仿宋"/>
          <w:color w:val="auto"/>
          <w:kern w:val="2"/>
          <w:sz w:val="32"/>
          <w:szCs w:val="32"/>
          <w:highlight w:val="none"/>
          <w:lang w:val="en-US" w:eastAsia="zh-CN" w:bidi="ar"/>
        </w:rPr>
        <w:t>不需要结转至明年继续执行。</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756785" cy="2717800"/>
            <wp:effectExtent l="4445" t="4445" r="20320"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环江毛南族自治县水源镇中心小学2022年度一般公共预算财政拨款支出2700.94万元，较2021年度决算数减少257.39万元，下降8.70%。其中：基本支出2530.89万元，项目支出170.05万元。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环江毛南族自治县水源镇中心小学2022 年度一般公共预算财政拨款支出年初预算为1968.87万元，支出决算为2700.94万元，完成年初预算的137.18%。</w:t>
      </w:r>
    </w:p>
    <w:p>
      <w:pPr>
        <w:keepNext w:val="0"/>
        <w:keepLines w:val="0"/>
        <w:widowControl w:val="0"/>
        <w:numPr>
          <w:ilvl w:val="0"/>
          <w:numId w:val="2"/>
        </w:numPr>
        <w:suppressLineNumbers w:val="0"/>
        <w:spacing w:before="0" w:beforeAutospacing="0" w:after="0" w:afterAutospacing="0"/>
        <w:ind w:left="-420" w:leftChars="0" w:right="0" w:rightChars="0" w:firstLine="420" w:firstLineChars="0"/>
        <w:jc w:val="left"/>
        <w:rPr>
          <w:rFonts w:hint="eastAsia" w:eastAsia="仿宋"/>
          <w:color w:val="FF0000"/>
          <w:highlight w:val="none"/>
          <w:lang w:val="en-US" w:eastAsia="zh-CN"/>
        </w:rPr>
      </w:pPr>
      <w:bookmarkStart w:id="3" w:name="OLE_LINK2"/>
      <w:bookmarkEnd w:id="3"/>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类）年初预算为1541.</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万元，支出决算为</w:t>
      </w:r>
      <w:r>
        <w:rPr>
          <w:rFonts w:hint="eastAsia" w:ascii="仿宋" w:hAnsi="仿宋" w:eastAsia="仿宋" w:cs="仿宋"/>
          <w:sz w:val="32"/>
          <w:szCs w:val="32"/>
          <w:highlight w:val="none"/>
          <w:lang w:bidi="ar"/>
        </w:rPr>
        <w:t>2133.76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138.39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原因是2022年教师工资上调以及</w:t>
      </w:r>
      <w:r>
        <w:rPr>
          <w:rFonts w:hint="eastAsia" w:ascii="华文仿宋" w:hAnsi="华文仿宋" w:eastAsia="华文仿宋" w:cs="华文仿宋"/>
          <w:kern w:val="0"/>
          <w:sz w:val="32"/>
          <w:szCs w:val="32"/>
          <w:lang w:val="en-US" w:eastAsia="zh-CN"/>
        </w:rPr>
        <w:t>2022年中学生营养餐经费和办公经费支出较多</w:t>
      </w:r>
      <w:r>
        <w:rPr>
          <w:rFonts w:hint="eastAsia" w:ascii="华文仿宋" w:hAnsi="华文仿宋" w:eastAsia="华文仿宋" w:cs="华文仿宋"/>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52"/>
        <w:gridCol w:w="918"/>
        <w:gridCol w:w="867"/>
        <w:gridCol w:w="1036"/>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1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2050202</w:t>
            </w:r>
          </w:p>
        </w:tc>
        <w:tc>
          <w:tcPr>
            <w:tcW w:w="11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 xml:space="preserve"> 小学教育</w:t>
            </w:r>
          </w:p>
        </w:tc>
        <w:tc>
          <w:tcPr>
            <w:tcW w:w="9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1541.8</w:t>
            </w:r>
          </w:p>
        </w:tc>
        <w:tc>
          <w:tcPr>
            <w:tcW w:w="8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2067.85</w:t>
            </w:r>
          </w:p>
        </w:tc>
        <w:tc>
          <w:tcPr>
            <w:tcW w:w="10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134.11</w:t>
            </w:r>
            <w:r>
              <w:rPr>
                <w:rFonts w:hint="default" w:ascii="宋体" w:hAnsi="宋体" w:eastAsia="宋体" w:cs="宋体"/>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主要用于全镇教职工工资及为开展教育教学活动的支出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2022年有调出教师，在职人员减少，退休人员有所增加</w:t>
            </w:r>
            <w:r>
              <w:rPr>
                <w:rFonts w:hint="eastAsia" w:ascii="宋体" w:hAnsi="宋体" w:eastAsia="宋体" w:cs="宋体"/>
                <w:i w:val="0"/>
                <w:iCs w:val="0"/>
                <w:color w:val="auto"/>
                <w:sz w:val="18"/>
                <w:szCs w:val="18"/>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2050299</w:t>
            </w:r>
          </w:p>
        </w:tc>
        <w:tc>
          <w:tcPr>
            <w:tcW w:w="11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65.64</w:t>
            </w:r>
          </w:p>
        </w:tc>
        <w:tc>
          <w:tcPr>
            <w:tcW w:w="10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主要用于付10</w:t>
            </w:r>
            <w:r>
              <w:rPr>
                <w:rFonts w:hint="eastAsia" w:ascii="宋体" w:hAnsi="宋体" w:eastAsia="宋体" w:cs="宋体"/>
                <w:i w:val="0"/>
                <w:iCs w:val="0"/>
                <w:color w:val="auto"/>
                <w:sz w:val="18"/>
                <w:szCs w:val="18"/>
                <w:highlight w:val="none"/>
                <w:u w:val="none"/>
                <w:lang w:val="en-US" w:eastAsia="zh-CN"/>
              </w:rPr>
              <w:t>、11</w:t>
            </w:r>
            <w:r>
              <w:rPr>
                <w:rFonts w:hint="default" w:ascii="宋体" w:hAnsi="宋体" w:eastAsia="宋体" w:cs="宋体"/>
                <w:i w:val="0"/>
                <w:iCs w:val="0"/>
                <w:color w:val="auto"/>
                <w:sz w:val="18"/>
                <w:szCs w:val="18"/>
                <w:highlight w:val="none"/>
                <w:u w:val="none"/>
                <w:lang w:val="en-US" w:eastAsia="zh-CN"/>
              </w:rPr>
              <w:t>月学生营养餐经</w:t>
            </w:r>
            <w:r>
              <w:rPr>
                <w:rFonts w:hint="eastAsia" w:ascii="宋体" w:hAnsi="宋体" w:eastAsia="宋体" w:cs="宋体"/>
                <w:i w:val="0"/>
                <w:iCs w:val="0"/>
                <w:color w:val="auto"/>
                <w:sz w:val="18"/>
                <w:szCs w:val="18"/>
                <w:highlight w:val="none"/>
                <w:u w:val="none"/>
                <w:lang w:val="en-US" w:eastAsia="zh-CN"/>
              </w:rPr>
              <w:t>费和部分办公经费支出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付10、11月学生营养餐</w:t>
            </w:r>
            <w:r>
              <w:rPr>
                <w:rFonts w:hint="eastAsia" w:ascii="宋体" w:hAnsi="宋体" w:eastAsia="宋体" w:cs="宋体"/>
                <w:i w:val="0"/>
                <w:iCs w:val="0"/>
                <w:color w:val="auto"/>
                <w:sz w:val="18"/>
                <w:szCs w:val="18"/>
                <w:highlight w:val="none"/>
                <w:u w:val="none"/>
                <w:lang w:val="en-US" w:eastAsia="zh-CN"/>
              </w:rPr>
              <w:t>经费和部分办公经费需要该项目支出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1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其他教育费附加安排的支出</w:t>
            </w:r>
          </w:p>
        </w:tc>
        <w:tc>
          <w:tcPr>
            <w:tcW w:w="9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0.27</w:t>
            </w:r>
          </w:p>
        </w:tc>
        <w:tc>
          <w:tcPr>
            <w:tcW w:w="10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主要用于付</w:t>
            </w:r>
            <w:r>
              <w:rPr>
                <w:rFonts w:hint="eastAsia" w:ascii="宋体" w:hAnsi="宋体" w:eastAsia="宋体" w:cs="宋体"/>
                <w:i w:val="0"/>
                <w:iCs w:val="0"/>
                <w:color w:val="auto"/>
                <w:sz w:val="18"/>
                <w:szCs w:val="18"/>
                <w:highlight w:val="none"/>
                <w:u w:val="none"/>
                <w:lang w:val="en-US" w:eastAsia="zh-CN"/>
              </w:rPr>
              <w:t>2022年学校安全协管员工资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付2022年学校安全协管员工资</w:t>
            </w:r>
            <w:r>
              <w:rPr>
                <w:rFonts w:hint="eastAsia" w:ascii="宋体" w:hAnsi="宋体" w:eastAsia="宋体" w:cs="宋体"/>
                <w:i w:val="0"/>
                <w:iCs w:val="0"/>
                <w:color w:val="auto"/>
                <w:sz w:val="18"/>
                <w:szCs w:val="18"/>
                <w:highlight w:val="none"/>
                <w:u w:val="none"/>
                <w:lang w:val="en-US" w:eastAsia="zh-CN"/>
              </w:rPr>
              <w:t>需要该项目支出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1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1541.8</w:t>
            </w:r>
          </w:p>
        </w:tc>
        <w:tc>
          <w:tcPr>
            <w:tcW w:w="8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2133.76</w:t>
            </w:r>
          </w:p>
        </w:tc>
        <w:tc>
          <w:tcPr>
            <w:tcW w:w="10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主要用于全镇教职工工资及为开展教育教学活动的支出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2022年有调出教师，在职人员减少，退休人员有所增加</w:t>
            </w:r>
            <w:r>
              <w:rPr>
                <w:rFonts w:hint="eastAsia" w:ascii="宋体" w:hAnsi="宋体" w:eastAsia="宋体" w:cs="宋体"/>
                <w:i w:val="0"/>
                <w:iCs w:val="0"/>
                <w:color w:val="auto"/>
                <w:sz w:val="18"/>
                <w:szCs w:val="18"/>
                <w:highlight w:val="none"/>
                <w:u w:val="none"/>
                <w:lang w:val="en-US" w:eastAsia="zh-CN"/>
              </w:rPr>
              <w:t>。</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42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类）年初预算为227.7</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万元，支出决算为203.24万元，完成年初预算的</w:t>
      </w:r>
      <w:r>
        <w:rPr>
          <w:rFonts w:hint="eastAsia" w:ascii="仿宋" w:hAnsi="仿宋" w:eastAsia="仿宋"/>
          <w:sz w:val="32"/>
          <w:szCs w:val="32"/>
          <w:highlight w:val="none"/>
          <w:lang w:val="en-US" w:eastAsia="zh-CN"/>
        </w:rPr>
        <w:t>89.23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原因是：2022年中有调出教师，在职人员减少，年中退休人员有所增加，教职工基本养老保险缴费实际支出比年初预算有所减少。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227.77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203.24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w:t>
            </w:r>
            <w:r>
              <w:rPr>
                <w:rFonts w:hint="default" w:ascii="宋体" w:hAnsi="宋体" w:eastAsia="宋体" w:cs="宋体"/>
                <w:i w:val="0"/>
                <w:iCs w:val="0"/>
                <w:color w:val="auto"/>
                <w:sz w:val="18"/>
                <w:szCs w:val="18"/>
                <w:highlight w:val="none"/>
                <w:u w:val="none"/>
                <w:lang w:val="en-US" w:eastAsia="zh-CN"/>
              </w:rPr>
              <w:t>022年中有调出教师，在职人员减少，年中退休人员有所增加</w:t>
            </w:r>
            <w:r>
              <w:rPr>
                <w:rFonts w:hint="eastAsia" w:ascii="宋体" w:hAnsi="宋体" w:eastAsia="宋体" w:cs="宋体"/>
                <w:i w:val="0"/>
                <w:iCs w:val="0"/>
                <w:color w:val="auto"/>
                <w:sz w:val="18"/>
                <w:szCs w:val="18"/>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sz w:val="18"/>
                <w:szCs w:val="18"/>
                <w:highlight w:val="none"/>
                <w:u w:val="none"/>
                <w:lang w:val="en-US" w:eastAsia="zh-CN"/>
              </w:rPr>
              <w:t>227.77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203.24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89.23%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eastAsia="zh-CN"/>
              </w:rPr>
              <w:t>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2</w:t>
            </w:r>
            <w:r>
              <w:rPr>
                <w:rFonts w:hint="default" w:ascii="宋体" w:hAnsi="宋体" w:eastAsia="宋体" w:cs="宋体"/>
                <w:i w:val="0"/>
                <w:iCs w:val="0"/>
                <w:color w:val="auto"/>
                <w:sz w:val="18"/>
                <w:szCs w:val="18"/>
                <w:highlight w:val="none"/>
                <w:u w:val="none"/>
                <w:lang w:val="en-US" w:eastAsia="zh-CN"/>
              </w:rPr>
              <w:t>022年中有调出教师，在职人员减少，年中退休人员有所增加</w:t>
            </w:r>
            <w:r>
              <w:rPr>
                <w:rFonts w:hint="eastAsia" w:ascii="宋体" w:hAnsi="宋体" w:eastAsia="宋体" w:cs="宋体"/>
                <w:i w:val="0"/>
                <w:iCs w:val="0"/>
                <w:color w:val="auto"/>
                <w:sz w:val="18"/>
                <w:szCs w:val="18"/>
                <w:highlight w:val="none"/>
                <w:u w:val="none"/>
                <w:lang w:val="en-US" w:eastAsia="zh-CN"/>
              </w:rPr>
              <w:t>。</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420" w:leftChars="0" w:right="0" w:rightChars="0" w:firstLine="420" w:firstLine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类）年初预算为170.8</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万元，支出决算为152.45万元，完成年初预算的</w:t>
      </w:r>
      <w:r>
        <w:rPr>
          <w:rFonts w:hint="eastAsia" w:ascii="仿宋" w:hAnsi="仿宋" w:eastAsia="仿宋"/>
          <w:sz w:val="32"/>
          <w:szCs w:val="32"/>
          <w:highlight w:val="none"/>
          <w:lang w:val="en-US" w:eastAsia="zh-CN"/>
        </w:rPr>
        <w:t>89.24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原因是：2022年中有调出教师，在职人员减少，年中退休人员有所增加，教职工住房公积金缴费实际支出比年初预算有所减少。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170.83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152.45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89.24%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教职工住房公积金缴费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2022年中有调出教师，在职人员减少，年中退休人员有所增加</w:t>
            </w:r>
            <w:r>
              <w:rPr>
                <w:rFonts w:hint="eastAsia" w:ascii="宋体" w:hAnsi="宋体" w:eastAsia="宋体" w:cs="宋体"/>
                <w:i w:val="0"/>
                <w:iCs w:val="0"/>
                <w:color w:val="auto"/>
                <w:sz w:val="18"/>
                <w:szCs w:val="18"/>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default" w:ascii="宋体" w:hAnsi="宋体" w:eastAsia="宋体" w:cs="宋体"/>
                <w:i w:val="0"/>
                <w:iCs w:val="0"/>
                <w:color w:val="000000"/>
                <w:sz w:val="18"/>
                <w:szCs w:val="18"/>
                <w:highlight w:val="none"/>
                <w:u w:val="none"/>
                <w:lang w:val="en-US" w:eastAsia="zh-CN"/>
              </w:rPr>
              <w:t>170.83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152.45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89.24%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教职工住房公积金缴费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2022年中有调出教师，在职人员减少，年中退休人员有所增加</w:t>
            </w:r>
            <w:r>
              <w:rPr>
                <w:rFonts w:hint="eastAsia" w:ascii="宋体" w:hAnsi="宋体" w:eastAsia="宋体" w:cs="宋体"/>
                <w:i w:val="0"/>
                <w:iCs w:val="0"/>
                <w:color w:val="auto"/>
                <w:sz w:val="18"/>
                <w:szCs w:val="18"/>
                <w:highlight w:val="none"/>
                <w:u w:val="none"/>
                <w:lang w:val="en-US" w:eastAsia="zh-CN"/>
              </w:rPr>
              <w:t>。</w:t>
            </w: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58465"/>
            <wp:effectExtent l="4445" t="4445" r="16510" b="8890"/>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420" w:leftChars="0" w:right="0" w:rightChars="0" w:firstLine="420" w:firstLine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其他支出</w:t>
      </w:r>
      <w:r>
        <w:rPr>
          <w:rFonts w:ascii="仿宋" w:hAnsi="仿宋" w:eastAsia="仿宋"/>
          <w:sz w:val="32"/>
          <w:u w:color="auto"/>
        </w:rPr>
        <w:t>（</w:t>
      </w:r>
      <w:r>
        <w:rPr>
          <w:rFonts w:hint="eastAsia"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万元，支出决算为183.</w:t>
      </w:r>
      <w:r>
        <w:rPr>
          <w:rFonts w:hint="eastAsia" w:ascii="仿宋" w:hAnsi="仿宋" w:eastAsia="仿宋"/>
          <w:sz w:val="32"/>
          <w:szCs w:val="32"/>
          <w:highlight w:val="none"/>
          <w:lang w:val="en-US" w:eastAsia="zh-CN"/>
        </w:rPr>
        <w:t>02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原因是：2022年年初没有预算</w:t>
      </w:r>
      <w:r>
        <w:rPr>
          <w:rFonts w:hint="eastAsia" w:ascii="仿宋" w:hAnsi="仿宋" w:eastAsia="仿宋"/>
          <w:sz w:val="32"/>
          <w:szCs w:val="32"/>
          <w:highlight w:val="none"/>
        </w:rPr>
        <w:t>其他支出</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年</w:t>
      </w:r>
      <w:r>
        <w:rPr>
          <w:rFonts w:hint="eastAsia" w:ascii="仿宋" w:hAnsi="仿宋" w:eastAsia="仿宋"/>
          <w:color w:val="000000" w:themeColor="text1"/>
          <w:sz w:val="32"/>
          <w:szCs w:val="32"/>
          <w:highlight w:val="none"/>
          <w:lang w:val="en-US" w:eastAsia="zh-CN"/>
          <w14:textFill>
            <w14:solidFill>
              <w14:schemeClr w14:val="tx1"/>
            </w14:solidFill>
          </w14:textFill>
        </w:rPr>
        <w:t>中有所调整支出教育事业的</w:t>
      </w:r>
      <w:r>
        <w:rPr>
          <w:rFonts w:hint="eastAsia" w:ascii="仿宋" w:hAnsi="仿宋" w:eastAsia="仿宋"/>
          <w:sz w:val="32"/>
          <w:szCs w:val="32"/>
          <w:highlight w:val="none"/>
        </w:rPr>
        <w:t>其他支出</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default" w:ascii="宋体" w:hAnsi="宋体" w:eastAsia="宋体" w:cs="宋体"/>
                <w:i w:val="0"/>
                <w:iCs w:val="0"/>
                <w:color w:val="000000"/>
                <w:kern w:val="2"/>
                <w:sz w:val="18"/>
                <w:szCs w:val="18"/>
                <w:highlight w:val="none"/>
                <w:u w:val="none"/>
                <w:lang w:val="en-US" w:eastAsia="zh-CN" w:bidi="ar-SA"/>
              </w:rPr>
              <w:t>183.02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 xml:space="preserve"> </w:t>
            </w:r>
            <w:r>
              <w:rPr>
                <w:rFonts w:hint="eastAsia" w:ascii="宋体" w:hAnsi="宋体" w:eastAsia="宋体" w:cs="宋体"/>
                <w:i w:val="0"/>
                <w:iCs w:val="0"/>
                <w:color w:val="auto"/>
                <w:sz w:val="18"/>
                <w:szCs w:val="18"/>
                <w:highlight w:val="none"/>
                <w:u w:val="none"/>
                <w:lang w:val="en-US" w:eastAsia="zh-CN"/>
              </w:rPr>
              <w:t>用于</w:t>
            </w:r>
            <w:r>
              <w:rPr>
                <w:rFonts w:hint="default" w:ascii="宋体" w:hAnsi="宋体" w:eastAsia="宋体" w:cs="宋体"/>
                <w:i w:val="0"/>
                <w:iCs w:val="0"/>
                <w:color w:val="auto"/>
                <w:sz w:val="18"/>
                <w:szCs w:val="18"/>
                <w:highlight w:val="none"/>
                <w:u w:val="none"/>
                <w:lang w:val="en-US" w:eastAsia="zh-CN"/>
              </w:rPr>
              <w:t>其他支出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年初没有预算其他支出，年中有所调整</w:t>
            </w:r>
            <w:r>
              <w:rPr>
                <w:rFonts w:hint="eastAsia" w:ascii="宋体" w:hAnsi="宋体" w:eastAsia="宋体" w:cs="宋体"/>
                <w:i w:val="0"/>
                <w:iCs w:val="0"/>
                <w:color w:val="auto"/>
                <w:sz w:val="18"/>
                <w:szCs w:val="18"/>
                <w:highlight w:val="none"/>
                <w:u w:val="none"/>
                <w:lang w:val="en-US" w:eastAsia="zh-CN"/>
              </w:rPr>
              <w:t>用于</w:t>
            </w:r>
            <w:r>
              <w:rPr>
                <w:rFonts w:hint="default" w:ascii="宋体" w:hAnsi="宋体" w:eastAsia="宋体" w:cs="宋体"/>
                <w:i w:val="0"/>
                <w:iCs w:val="0"/>
                <w:color w:val="auto"/>
                <w:sz w:val="18"/>
                <w:szCs w:val="18"/>
                <w:highlight w:val="none"/>
                <w:u w:val="none"/>
                <w:lang w:val="en-US" w:eastAsia="zh-CN"/>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183.02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w:t>
            </w:r>
            <w:r>
              <w:rPr>
                <w:rFonts w:hint="default" w:ascii="宋体" w:hAnsi="宋体" w:eastAsia="宋体" w:cs="宋体"/>
                <w:i w:val="0"/>
                <w:iCs w:val="0"/>
                <w:color w:val="auto"/>
                <w:sz w:val="18"/>
                <w:szCs w:val="18"/>
                <w:highlight w:val="none"/>
                <w:u w:val="none"/>
                <w:lang w:val="en-US" w:eastAsia="zh-CN"/>
              </w:rPr>
              <w:t>支出教育事业的彩票公益金和其他支出。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年初没有预算其他支出，年中有所调整支出教育事业的其他支出。</w:t>
            </w:r>
          </w:p>
        </w:tc>
      </w:tr>
    </w:tbl>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63825"/>
            <wp:effectExtent l="4445" t="4445" r="16510" b="17780"/>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420" w:leftChars="0" w:right="0" w:rightChars="0" w:firstLine="420" w:firstLine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auto"/>
          <w:kern w:val="2"/>
          <w:sz w:val="32"/>
          <w:szCs w:val="32"/>
          <w:highlight w:val="none"/>
          <w:lang w:val="en-US" w:eastAsia="zh-CN" w:bidi="ar"/>
        </w:rPr>
        <w:t>一般公共服务支出（201类）</w:t>
      </w:r>
      <w:r>
        <w:rPr>
          <w:rFonts w:hint="eastAsia" w:ascii="仿宋" w:hAnsi="仿宋" w:eastAsia="仿宋"/>
          <w:sz w:val="32"/>
          <w:szCs w:val="32"/>
          <w:highlight w:val="none"/>
        </w:rPr>
        <w:t>年初预算为</w:t>
      </w:r>
      <w:r>
        <w:rPr>
          <w:rFonts w:hint="eastAsia" w:ascii="仿宋" w:hAnsi="仿宋" w:eastAsia="仿宋" w:cs="仿宋"/>
          <w:color w:val="auto"/>
          <w:kern w:val="2"/>
          <w:sz w:val="32"/>
          <w:szCs w:val="32"/>
          <w:highlight w:val="none"/>
          <w:lang w:val="en-US" w:eastAsia="zh-CN" w:bidi="ar"/>
        </w:rPr>
        <w:t>28.47万元，</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28.47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 xml:space="preserve">  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28.47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教职工工会活动费用、慰问特困、重病、退休教师</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科目分类调整。</w:t>
            </w:r>
          </w:p>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28.47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leftChars="0" w:right="0" w:right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4474845" cy="2415540"/>
            <wp:effectExtent l="4445" t="4445" r="16510" b="18415"/>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0"/>
        </w:numPr>
        <w:suppressLineNumbers w:val="0"/>
        <w:spacing w:before="0" w:beforeAutospacing="0" w:after="0" w:afterAutospacing="0"/>
        <w:ind w:leftChars="0" w:right="0" w:right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环江毛南族自治县水源镇中心小学2022年度一般公共预算财政拨款基本支出</w:t>
      </w:r>
      <w:r>
        <w:rPr>
          <w:rFonts w:hint="eastAsia" w:ascii="仿宋" w:hAnsi="仿宋" w:eastAsia="仿宋" w:cs="仿宋"/>
          <w:sz w:val="32"/>
          <w:u w:color="auto"/>
          <w:lang w:val="en-US" w:eastAsia="zh-CN"/>
        </w:rPr>
        <w:t>2530.89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其中：人员经费支出2375.79万元，公用经费支出155.1万元，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2043.64万元，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110.05%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2022年单位职工工资有所上调。</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850.55万元，30102津贴补贴125.67万元，30103奖金269.68万元，30106伙食补助费0万元，30107绩效工资323.37万元，30108机关事业单位基本养老保险缴费203.24万元，30110职工基本医疗保险缴费91.01万元，30112其他社会保障缴费11.45万元，30113住房公积金152.45万元，30199其他工资福利支出16.22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97200"/>
            <wp:effectExtent l="5080" t="4445" r="15875" b="825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rPr>
        <w:t>137.72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446.71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主要原因是：学校办公费、学校维修（护）费、电费、邮电费和差旅费实际支出较多。</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支出具体情况如下：30201办公费28.06万元，30205水费1.14万元，30206电费12.42万元，30207邮电费13.42万元，30209物业管理费0.95万元，30211差旅费17.64万元，30213维修（护）费18.98万元，30218专用材料费6.82万元，30226劳务费7.54万元，30228工会经费28.47万元，30299其他商品和服务支出2.29万元。</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5010785" cy="3191510"/>
            <wp:effectExtent l="4445" t="4445" r="13970" b="23495"/>
            <wp:docPr id="5"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rPr>
        <w:t>332.15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432.88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主要原因是：本年度抚恤金支出以及学生的助学金有所增加。</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 xml:space="preserve">  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 抚恤金35.47万元，30305生活补助113.67万元，30308  助学金182.99万元，30309 奖励金0.01万元。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16530"/>
            <wp:effectExtent l="4445" t="4445" r="16510" b="2222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本单位无债务。</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1142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资本性支出</w:t>
      </w:r>
      <w:r>
        <w:rPr>
          <w:rFonts w:hint="eastAsia" w:ascii="仿宋" w:hAnsi="仿宋" w:eastAsia="仿宋" w:cs="仿宋"/>
          <w:sz w:val="32"/>
          <w:u w:color="auto"/>
        </w:rPr>
        <w:t>17.38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年中办公设备购置支出较多。</w:t>
      </w:r>
    </w:p>
    <w:p>
      <w:pPr>
        <w:keepNext w:val="0"/>
        <w:keepLines w:val="0"/>
        <w:widowControl w:val="0"/>
        <w:numPr>
          <w:ilvl w:val="0"/>
          <w:numId w:val="0"/>
        </w:numPr>
        <w:suppressLineNumbers w:val="0"/>
        <w:spacing w:before="0" w:beforeAutospacing="0" w:after="0" w:afterAutospacing="0"/>
        <w:ind w:right="0" w:rightChars="0"/>
        <w:jc w:val="left"/>
        <w:rPr>
          <w:rFonts w:hint="default" w:ascii="仿宋" w:hAnsi="仿宋" w:eastAsia="仿宋" w:cs="仿宋"/>
          <w:color w:val="FF0000"/>
          <w:sz w:val="32"/>
          <w:szCs w:val="32"/>
          <w:highlight w:val="none"/>
          <w:lang w:val="en-US"/>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31002办公设备购置13.37万元，31099 其他资本性支出4.01万元。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黑体" w:hAnsi="黑体" w:eastAsia="黑体" w:cs="黑体"/>
          <w:sz w:val="32"/>
          <w:szCs w:val="32"/>
          <w:highlight w:val="none"/>
        </w:rPr>
      </w:pPr>
      <w:bookmarkStart w:id="4" w:name="PO_part3A5B1C1DiffReason1"/>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环江毛南族自治县水源镇中心小学2022年度政府性基金支出</w:t>
      </w:r>
      <w:r>
        <w:rPr>
          <w:rFonts w:ascii="仿宋" w:hAnsi="仿宋" w:eastAsia="仿宋" w:cs="仿宋"/>
          <w:sz w:val="32"/>
          <w:szCs w:val="32"/>
          <w:highlight w:val="none"/>
        </w:rPr>
        <w:t>0.97</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增加0.96</w:t>
      </w:r>
      <w:r>
        <w:rPr>
          <w:rFonts w:hint="eastAsia" w:ascii="仿宋" w:hAnsi="仿宋" w:eastAsia="仿宋" w:cs="仿宋"/>
          <w:sz w:val="32"/>
          <w:szCs w:val="32"/>
          <w:highlight w:val="none"/>
        </w:rPr>
        <w:t>万元，</w:t>
      </w:r>
      <w:r>
        <w:rPr>
          <w:rFonts w:ascii="仿宋" w:hAnsi="仿宋" w:eastAsia="仿宋" w:cs="仿宋"/>
          <w:sz w:val="32"/>
          <w:szCs w:val="32"/>
          <w:highlight w:val="none"/>
        </w:rPr>
        <w:t>增长9600.00%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0.97</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环江毛南族自治县水源镇中心小学2022年度政府性基金支出年初预算为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0.97</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其他支出（</w:t>
      </w:r>
      <w:r>
        <w:rPr>
          <w:rFonts w:hint="eastAsia" w:ascii="仿宋" w:hAnsi="仿宋" w:eastAsia="仿宋" w:cs="仿宋"/>
          <w:sz w:val="32"/>
          <w:szCs w:val="32"/>
          <w:highlight w:val="none"/>
          <w:lang w:val="en-US" w:eastAsia="zh-CN"/>
        </w:rPr>
        <w:t>229</w:t>
      </w:r>
      <w:r>
        <w:rPr>
          <w:rFonts w:hint="eastAsia" w:ascii="仿宋" w:hAnsi="仿宋" w:eastAsia="仿宋" w:cs="仿宋"/>
          <w:sz w:val="32"/>
          <w:szCs w:val="32"/>
          <w:highlight w:val="none"/>
          <w:lang w:eastAsia="zh-CN"/>
        </w:rPr>
        <w:t>类）</w:t>
      </w:r>
      <w:r>
        <w:rPr>
          <w:rFonts w:hint="eastAsia" w:ascii="仿宋" w:hAnsi="仿宋" w:eastAsia="仿宋" w:cs="仿宋"/>
          <w:sz w:val="32"/>
          <w:szCs w:val="32"/>
          <w:highlight w:val="none"/>
          <w:lang w:val="en-US" w:eastAsia="zh-CN"/>
        </w:rPr>
        <w:t>彩票公益金安排的支出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22960</w:t>
      </w:r>
      <w:r>
        <w:rPr>
          <w:rFonts w:hint="eastAsia" w:ascii="仿宋" w:hAnsi="仿宋" w:eastAsia="仿宋" w:cs="仿宋"/>
          <w:sz w:val="32"/>
          <w:szCs w:val="32"/>
          <w:highlight w:val="none"/>
          <w:lang w:eastAsia="zh-CN"/>
        </w:rPr>
        <w:t>款）</w:t>
      </w:r>
      <w:r>
        <w:rPr>
          <w:rFonts w:hint="eastAsia" w:ascii="仿宋" w:hAnsi="仿宋" w:eastAsia="仿宋" w:cs="仿宋"/>
          <w:sz w:val="32"/>
          <w:szCs w:val="32"/>
          <w:highlight w:val="none"/>
          <w:lang w:val="en-US" w:eastAsia="zh-CN"/>
        </w:rPr>
        <w:t>用于教育事业的彩票公益金支出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2296004</w:t>
      </w:r>
      <w:r>
        <w:rPr>
          <w:rFonts w:hint="eastAsia" w:ascii="仿宋" w:hAnsi="仿宋" w:eastAsia="仿宋" w:cs="仿宋"/>
          <w:sz w:val="32"/>
          <w:szCs w:val="32"/>
          <w:highlight w:val="none"/>
          <w:lang w:eastAsia="zh-CN"/>
        </w:rPr>
        <w:t>项）年初预算为0.00万元，支出决算为0.97万元，完成年初预算的100%。</w:t>
      </w:r>
      <w:r>
        <w:rPr>
          <w:rFonts w:hint="eastAsia" w:ascii="仿宋" w:hAnsi="仿宋" w:eastAsia="仿宋" w:cs="仿宋"/>
          <w:sz w:val="32"/>
          <w:szCs w:val="32"/>
          <w:highlight w:val="none"/>
          <w:lang w:val="en-US" w:eastAsia="zh-CN"/>
        </w:rPr>
        <w:t>形成</w:t>
      </w:r>
      <w:r>
        <w:rPr>
          <w:rFonts w:hint="eastAsia" w:ascii="仿宋" w:hAnsi="仿宋" w:eastAsia="仿宋" w:cs="仿宋"/>
          <w:sz w:val="32"/>
          <w:szCs w:val="32"/>
          <w:highlight w:val="none"/>
          <w:lang w:eastAsia="zh-CN"/>
        </w:rPr>
        <w:t>预决算差异</w:t>
      </w:r>
      <w:r>
        <w:rPr>
          <w:rFonts w:hint="eastAsia" w:ascii="仿宋" w:hAnsi="仿宋" w:eastAsia="仿宋" w:cs="仿宋"/>
          <w:sz w:val="32"/>
          <w:szCs w:val="32"/>
          <w:highlight w:val="none"/>
          <w:lang w:val="en-US" w:eastAsia="zh-CN"/>
        </w:rPr>
        <w:t>原因是：</w:t>
      </w:r>
      <w:r>
        <w:rPr>
          <w:rFonts w:hint="eastAsia" w:ascii="仿宋" w:hAnsi="仿宋" w:eastAsia="仿宋"/>
          <w:sz w:val="32"/>
          <w:szCs w:val="32"/>
          <w:highlight w:val="none"/>
          <w:lang w:val="en-US" w:eastAsia="zh-CN"/>
        </w:rPr>
        <w:t>年</w:t>
      </w:r>
      <w:r>
        <w:rPr>
          <w:rFonts w:hint="eastAsia" w:ascii="仿宋" w:hAnsi="仿宋" w:eastAsia="仿宋"/>
          <w:color w:val="000000" w:themeColor="text1"/>
          <w:sz w:val="32"/>
          <w:szCs w:val="32"/>
          <w:highlight w:val="none"/>
          <w:lang w:val="en-US" w:eastAsia="zh-CN"/>
          <w14:textFill>
            <w14:solidFill>
              <w14:schemeClr w14:val="tx1"/>
            </w14:solidFill>
          </w14:textFill>
        </w:rPr>
        <w:t>中项目有所调整。</w:t>
      </w:r>
    </w:p>
    <w:p>
      <w:pPr>
        <w:autoSpaceDE w:val="0"/>
        <w:autoSpaceDN w:val="0"/>
        <w:adjustRightIn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五、202</w:t>
      </w:r>
      <w:r>
        <w:rPr>
          <w:rFonts w:hint="eastAsia" w:ascii="Times New Roman" w:hAnsi="Times New Roman" w:eastAsia="黑体" w:cs="Times New Roman"/>
          <w:sz w:val="32"/>
          <w:szCs w:val="32"/>
          <w:lang w:val="en-US" w:eastAsia="zh-CN"/>
        </w:rPr>
        <w:t>2</w:t>
      </w:r>
      <w:r>
        <w:rPr>
          <w:rFonts w:ascii="Times New Roman" w:hAnsi="Times New Roman" w:eastAsia="黑体" w:cs="Times New Roman"/>
          <w:sz w:val="32"/>
          <w:szCs w:val="32"/>
        </w:rPr>
        <w:t>年度国有资本经营预算支出决算情况</w:t>
      </w:r>
    </w:p>
    <w:p>
      <w:pPr>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仿宋"/>
          <w:sz w:val="32"/>
          <w:szCs w:val="32"/>
          <w:highlight w:val="none"/>
          <w:lang w:eastAsia="zh-CN"/>
        </w:rPr>
        <w:t>环江毛南族自治县水源镇中心小学</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 xml:space="preserve">年度国有资本经营预算支出 </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 xml:space="preserve">万元。其中：基本支出 </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 xml:space="preserve">万元，项目支出 </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p>
    <w:p>
      <w:pPr>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仿宋"/>
          <w:sz w:val="32"/>
          <w:szCs w:val="32"/>
          <w:highlight w:val="none"/>
          <w:lang w:eastAsia="zh-CN"/>
        </w:rPr>
        <w:t>环江毛南族自治县水源镇中心小学</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年度国有资本经营预算支出年初预算为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 xml:space="preserve"> 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 xml:space="preserve">万元，完成年初预算的 </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 xml:space="preserve"> %。</w:t>
      </w:r>
    </w:p>
    <w:p>
      <w:pPr>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环江毛南族自治县水源镇中心小学</w:t>
      </w:r>
      <w:r>
        <w:rPr>
          <w:rFonts w:ascii="Times New Roman" w:hAnsi="Times New Roman" w:eastAsia="仿宋_GB2312" w:cs="Times New Roman"/>
          <w:sz w:val="32"/>
          <w:szCs w:val="32"/>
        </w:rPr>
        <w:t>没有国有资本经营预算收入，也没有国有资本经营预算收入</w:t>
      </w:r>
      <w:r>
        <w:rPr>
          <w:rFonts w:hint="eastAsia" w:ascii="Times New Roman" w:hAnsi="Times New Roman" w:eastAsia="仿宋_GB2312" w:cs="Times New Roman"/>
          <w:sz w:val="32"/>
          <w:szCs w:val="32"/>
          <w:lang w:eastAsia="zh-CN"/>
        </w:rPr>
        <w:t>。</w:t>
      </w:r>
      <w:r>
        <w:rPr>
          <w:rFonts w:hint="eastAsia" w:ascii="仿宋" w:hAnsi="仿宋" w:eastAsia="仿宋" w:cs="仿宋"/>
          <w:sz w:val="32"/>
          <w:szCs w:val="32"/>
          <w:highlight w:val="none"/>
          <w:lang w:val="en-US" w:eastAsia="zh-CN"/>
        </w:rPr>
        <w:t>也没有</w:t>
      </w:r>
      <w:r>
        <w:rPr>
          <w:rFonts w:ascii="Times New Roman" w:hAnsi="Times New Roman" w:eastAsia="仿宋_GB2312" w:cs="Times New Roman"/>
          <w:sz w:val="32"/>
          <w:szCs w:val="32"/>
        </w:rPr>
        <w:t>国有资本经营</w:t>
      </w:r>
      <w:r>
        <w:rPr>
          <w:rFonts w:hint="eastAsia" w:ascii="Times New Roman" w:hAnsi="Times New Roman" w:eastAsia="仿宋_GB2312" w:cs="Times New Roman"/>
          <w:sz w:val="32"/>
          <w:szCs w:val="32"/>
          <w:lang w:val="en-US" w:eastAsia="zh-CN"/>
        </w:rPr>
        <w:t>经费</w:t>
      </w:r>
      <w:r>
        <w:rPr>
          <w:rFonts w:hint="eastAsia" w:ascii="Times New Roman" w:hAnsi="Times New Roman" w:eastAsia="仿宋_GB2312" w:cs="Times New Roman"/>
          <w:sz w:val="32"/>
          <w:szCs w:val="32"/>
        </w:rPr>
        <w:t>安排的支出。</w:t>
      </w:r>
    </w:p>
    <w:bookmarkEnd w:id="4"/>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本部门2022年度没有一般公共预算财政拨款“三公”经费收入，也没有一般公共预算财政拨款“三公”经费安排的支出。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w:t>
      </w:r>
      <w:r>
        <w:rPr>
          <w:rFonts w:hint="eastAsia" w:ascii="仿宋" w:hAnsi="仿宋" w:eastAsia="仿宋" w:cs="仿宋"/>
          <w:sz w:val="32"/>
          <w:szCs w:val="32"/>
          <w:highlight w:val="none"/>
        </w:rPr>
        <w:t>因公出国（境）费支出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w:t>
      </w:r>
      <w:r>
        <w:rPr>
          <w:rFonts w:hint="eastAsia" w:ascii="仿宋" w:hAnsi="仿宋" w:eastAsia="仿宋" w:cs="仿宋"/>
          <w:sz w:val="32"/>
          <w:szCs w:val="32"/>
          <w:highlight w:val="none"/>
        </w:rPr>
        <w:t>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w:t>
      </w:r>
      <w:r>
        <w:rPr>
          <w:rFonts w:hint="eastAsia" w:ascii="仿宋" w:hAnsi="仿宋" w:eastAsia="仿宋" w:cs="仿宋"/>
          <w:color w:val="auto"/>
          <w:sz w:val="32"/>
          <w:szCs w:val="32"/>
          <w:highlight w:val="none"/>
        </w:rPr>
        <w:t>元。</w:t>
      </w:r>
      <w:bookmarkStart w:id="5" w:name="PO_part3A6B2IncReason1"/>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本部门无</w:t>
      </w:r>
      <w:r>
        <w:rPr>
          <w:rFonts w:hint="eastAsia" w:ascii="仿宋" w:hAnsi="仿宋" w:eastAsia="仿宋" w:cs="仿宋"/>
          <w:sz w:val="32"/>
          <w:szCs w:val="32"/>
          <w:highlight w:val="none"/>
        </w:rPr>
        <w:t>公务用车运行维</w:t>
      </w:r>
      <w:r>
        <w:rPr>
          <w:rFonts w:hint="eastAsia" w:ascii="仿宋" w:hAnsi="仿宋" w:eastAsia="仿宋" w:cs="仿宋"/>
          <w:color w:val="auto"/>
          <w:sz w:val="32"/>
          <w:szCs w:val="32"/>
          <w:highlight w:val="none"/>
        </w:rPr>
        <w:t>护支出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val="en-US" w:eastAsia="zh-CN"/>
        </w:rPr>
        <w:t>本</w:t>
      </w:r>
      <w:r>
        <w:rPr>
          <w:rFonts w:hint="eastAsia" w:ascii="仿宋" w:hAnsi="仿宋" w:eastAsia="仿宋" w:cs="仿宋"/>
          <w:color w:val="auto"/>
          <w:sz w:val="32"/>
          <w:szCs w:val="32"/>
          <w:highlight w:val="none"/>
        </w:rPr>
        <w:t>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color w:val="FFFF00"/>
          <w:sz w:val="32"/>
          <w:szCs w:val="32"/>
          <w:highlight w:val="none"/>
        </w:rPr>
      </w:pPr>
      <w:r>
        <w:rPr>
          <w:rFonts w:hint="eastAsia" w:ascii="黑体" w:hAnsi="黑体" w:eastAsia="黑体" w:cs="黑体"/>
          <w:sz w:val="32"/>
          <w:szCs w:val="32"/>
          <w:highlight w:val="none"/>
        </w:rPr>
        <w:t xml:space="preserve">（一） </w:t>
      </w:r>
      <w:r>
        <w:rPr>
          <w:rFonts w:hint="eastAsia" w:ascii="黑体" w:hAnsi="黑体" w:eastAsia="黑体" w:cs="黑体"/>
          <w:color w:val="auto"/>
          <w:sz w:val="32"/>
          <w:szCs w:val="32"/>
          <w:highlight w:val="none"/>
          <w:lang w:val="en-US" w:eastAsia="zh-CN"/>
        </w:rPr>
        <w:t>机关</w:t>
      </w:r>
      <w:r>
        <w:rPr>
          <w:rFonts w:hint="eastAsia" w:ascii="黑体" w:hAnsi="黑体" w:eastAsia="黑体" w:cs="黑体"/>
          <w:color w:val="auto"/>
          <w:sz w:val="32"/>
          <w:szCs w:val="32"/>
          <w:highlight w:val="none"/>
        </w:rPr>
        <w:t>运行经费支出情况说明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个，共涉及资金492</w:t>
      </w:r>
      <w:r>
        <w:rPr>
          <w:rFonts w:hint="eastAsia" w:ascii="仿宋" w:hAnsi="仿宋" w:eastAsia="仿宋" w:cs="仿宋"/>
          <w:color w:val="000000" w:themeColor="text1"/>
          <w:sz w:val="32"/>
          <w:szCs w:val="32"/>
          <w:lang w:val="en-US" w:eastAsia="zh-CN"/>
          <w14:textFill>
            <w14:solidFill>
              <w14:schemeClr w14:val="tx1"/>
            </w14:solidFill>
          </w14:textFill>
        </w:rPr>
        <w:t>.36</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91.03</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0.2</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我单位</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个项目进行了部门评价，涉及一般公共预算支出540</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85万元，政府性基金预算支出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1.25</w:t>
      </w:r>
      <w:r>
        <w:rPr>
          <w:rFonts w:hint="eastAsia" w:ascii="仿宋" w:hAnsi="仿宋" w:eastAsia="仿宋" w:cs="仿宋"/>
          <w:color w:val="000000" w:themeColor="text1"/>
          <w:sz w:val="32"/>
          <w:szCs w:val="32"/>
          <w14:textFill>
            <w14:solidFill>
              <w14:schemeClr w14:val="tx1"/>
            </w14:solidFill>
          </w14:textFill>
        </w:rPr>
        <w:t>万元。从评价情况来看，我们认为</w:t>
      </w:r>
      <w:r>
        <w:rPr>
          <w:rFonts w:hint="eastAsia" w:ascii="仿宋" w:hAnsi="仿宋" w:eastAsia="仿宋" w:cs="仿宋"/>
          <w:color w:val="000000" w:themeColor="text1"/>
          <w:sz w:val="32"/>
          <w:szCs w:val="32"/>
          <w:lang w:val="en-US" w:eastAsia="zh-CN"/>
          <w14:textFill>
            <w14:solidFill>
              <w14:schemeClr w14:val="tx1"/>
            </w14:solidFill>
          </w14:textFill>
        </w:rPr>
        <w:t>各</w:t>
      </w:r>
      <w:r>
        <w:rPr>
          <w:rFonts w:hint="eastAsia" w:ascii="仿宋" w:hAnsi="仿宋" w:eastAsia="仿宋" w:cs="仿宋"/>
          <w:color w:val="000000" w:themeColor="text1"/>
          <w:sz w:val="32"/>
          <w:szCs w:val="32"/>
          <w14:textFill>
            <w14:solidFill>
              <w14:schemeClr w14:val="tx1"/>
            </w14:solidFill>
          </w14:textFill>
        </w:rPr>
        <w:t>项目目标明确，组织管理到位，执行项目有力，资金管理规范，综合评价结果为优。</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我部门根据年初设定的绩效目标，班主任津贴项目自评得分为95.03分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发现的主要问题及原因：2022年春季学期班主任津贴已足额发放，2022年秋季学期班主任津贴</w:t>
      </w:r>
      <w:r>
        <w:rPr>
          <w:rFonts w:hint="eastAsia" w:ascii="仿宋" w:hAnsi="仿宋" w:eastAsia="仿宋" w:cs="仿宋"/>
          <w:color w:val="000000" w:themeColor="text1"/>
          <w:sz w:val="32"/>
          <w:szCs w:val="32"/>
          <w:lang w:val="en-US" w:eastAsia="zh-CN"/>
          <w14:textFill>
            <w14:solidFill>
              <w14:schemeClr w14:val="tx1"/>
            </w14:solidFill>
          </w14:textFill>
        </w:rPr>
        <w:t>暂未发放。</w:t>
      </w:r>
      <w:r>
        <w:rPr>
          <w:rFonts w:hint="eastAsia" w:ascii="仿宋" w:hAnsi="仿宋" w:eastAsia="仿宋" w:cs="仿宋"/>
          <w:color w:val="000000" w:themeColor="text1"/>
          <w:sz w:val="32"/>
          <w:szCs w:val="32"/>
          <w14:textFill>
            <w14:solidFill>
              <w14:schemeClr w14:val="tx1"/>
            </w14:solidFill>
          </w14:textFill>
        </w:rPr>
        <w:t>下一步改进措施：2022年秋季学期班主任津贴已跟财政协商好将于2023年初支付完毕。全县校长绩效工资项目自评得分为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分。义务教育中央级公用经费项目自评得分为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98.48</w:t>
      </w:r>
      <w:r>
        <w:rPr>
          <w:rFonts w:hint="eastAsia" w:ascii="仿宋" w:hAnsi="仿宋" w:eastAsia="仿宋" w:cs="仿宋"/>
          <w:color w:val="000000" w:themeColor="text1"/>
          <w:sz w:val="32"/>
          <w:szCs w:val="32"/>
          <w14:textFill>
            <w14:solidFill>
              <w14:schemeClr w14:val="tx1"/>
            </w14:solidFill>
          </w14:textFill>
        </w:rPr>
        <w:t>分。发现的主要问题及原因：还有不少项目没有报账。下一步改进措施：2023年已向财政申请拨回使用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保障了学校教学正常运转。退休人员居住修缮费(覃东阁2500)项目自评得分为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分。伙食补助项目自评得分为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分。营养改善计划膳食补助资金项目自评得分为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98.83</w:t>
      </w:r>
      <w:r>
        <w:rPr>
          <w:rFonts w:hint="eastAsia" w:ascii="仿宋" w:hAnsi="仿宋" w:eastAsia="仿宋" w:cs="仿宋"/>
          <w:color w:val="000000" w:themeColor="text1"/>
          <w:sz w:val="32"/>
          <w:szCs w:val="32"/>
          <w14:textFill>
            <w14:solidFill>
              <w14:schemeClr w14:val="tx1"/>
            </w14:solidFill>
          </w14:textFill>
        </w:rPr>
        <w:t>分。发现的主要问题及原因：因本年疫情提前放假。全县校园安全保卫经费项目自评得分为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93.7</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支付发票不得及时整理，</w:t>
      </w:r>
      <w:r>
        <w:rPr>
          <w:rFonts w:hint="eastAsia" w:ascii="仿宋" w:hAnsi="仿宋" w:eastAsia="仿宋" w:cs="仿宋"/>
          <w:color w:val="000000" w:themeColor="text1"/>
          <w:sz w:val="32"/>
          <w:szCs w:val="32"/>
          <w14:textFill>
            <w14:solidFill>
              <w14:schemeClr w14:val="tx1"/>
            </w14:solidFill>
          </w14:textFill>
        </w:rPr>
        <w:t>已支付65.8%</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下一步改进措施：余下部分按一学期结束再支付，将于2023年初支付。食堂钟点工补贴资金项目自评得分为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分。水源镇中心小学2022年年初预算经费(门面租金)项目自评得分为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分。发现的主要问题及原因：因采购办公用品发票不及时整理，所以不得支付。下一步改进措施：2023年已向财政申请拨回使用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保障了学校教学正常运转。特岗教师工资项目自评得分为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分。义务教育阶段家庭经济困难学生生活中央补助资金项目自评得分为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分。自治区公用经费项目自评得分为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94.37</w:t>
      </w:r>
      <w:r>
        <w:rPr>
          <w:rFonts w:hint="eastAsia" w:ascii="仿宋" w:hAnsi="仿宋" w:eastAsia="仿宋" w:cs="仿宋"/>
          <w:color w:val="000000" w:themeColor="text1"/>
          <w:sz w:val="32"/>
          <w:szCs w:val="32"/>
          <w14:textFill>
            <w14:solidFill>
              <w14:schemeClr w14:val="tx1"/>
            </w14:solidFill>
          </w14:textFill>
        </w:rPr>
        <w:t>分。发现的主要问题及原因：不少项目已经交易，但没有及时报账，没有支付给老板。下一步改进措施：2023年已向财政申请拨回使用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保障了学校教学正常运转。教师节经费项目自评得分为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分。六一儿童节慰问金项目自评得分为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发现的主要问题及原因：因六一活动支付发票不得及时整理。下一步改进措施：六一儿童节慰问金已跟财政协商好这笔款将于2023年初支付完毕。水源镇中心小学2022年年初预算经费(行政办公务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91.3</w:t>
      </w:r>
      <w:r>
        <w:rPr>
          <w:rFonts w:hint="eastAsia" w:ascii="仿宋" w:hAnsi="仿宋" w:eastAsia="仿宋" w:cs="仿宋"/>
          <w:color w:val="000000" w:themeColor="text1"/>
          <w:sz w:val="32"/>
          <w:szCs w:val="32"/>
          <w14:textFill>
            <w14:solidFill>
              <w14:schemeClr w14:val="tx1"/>
            </w14:solidFill>
          </w14:textFill>
        </w:rPr>
        <w:t>分。发现的主要问题及原因：2022年年初预算经费未支付部分已与财政沟通协商，于下一年度支付。下一步改进措施：积极与财政沟通，该项目经费未支付部分于下一年度完成支付。往后年度按时完成上级下达的指标支付。自治区级乡村教师生活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99.9</w:t>
      </w:r>
      <w:r>
        <w:rPr>
          <w:rFonts w:hint="eastAsia" w:ascii="仿宋" w:hAnsi="仿宋" w:eastAsia="仿宋" w:cs="仿宋"/>
          <w:color w:val="000000" w:themeColor="text1"/>
          <w:sz w:val="32"/>
          <w:szCs w:val="32"/>
          <w14:textFill>
            <w14:solidFill>
              <w14:schemeClr w14:val="tx1"/>
            </w14:solidFill>
          </w14:textFill>
        </w:rPr>
        <w:t>分。发现的主要问题及原因：水源镇中心小学严格按照相关文件要求，但因覃丹老师2022年9月份辞职，所以2022年乡村教师生活补助项目共计支付331327元，该项目预算执行率达99.03%。</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后附表：《2022年环江毛南族自治县水源镇中心小学</w:t>
      </w:r>
      <w:r>
        <w:rPr>
          <w:rFonts w:hint="eastAsia" w:ascii="仿宋" w:hAnsi="仿宋" w:eastAsia="仿宋" w:cs="仿宋"/>
          <w:color w:val="auto"/>
          <w:sz w:val="32"/>
          <w:szCs w:val="32"/>
        </w:rPr>
        <w:t>项目支出绩效自评表》。</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6" w:name="_GoBack"/>
      <w:bookmarkEnd w:id="6"/>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420" w:firstLine="420"/>
      </w:pPr>
      <w:rPr>
        <w:rFonts w:hint="eastAsia"/>
        <w:color w:val="auto"/>
        <w:sz w:val="32"/>
        <w:szCs w:val="32"/>
      </w:rPr>
    </w:lvl>
  </w:abstractNum>
  <w:abstractNum w:abstractNumId="1">
    <w:nsid w:val="C898EB9C"/>
    <w:multiLevelType w:val="singleLevel"/>
    <w:tmpl w:val="C898EB9C"/>
    <w:lvl w:ilvl="0" w:tentative="0">
      <w:start w:val="1"/>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wNmU3ZjRiZGNmMTE2M2Y2ZWJjMmJhMmQ1MGI4M2I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1C43C2"/>
    <w:rsid w:val="03BF7419"/>
    <w:rsid w:val="04E54546"/>
    <w:rsid w:val="04F62757"/>
    <w:rsid w:val="0526590B"/>
    <w:rsid w:val="052B448C"/>
    <w:rsid w:val="05992762"/>
    <w:rsid w:val="06DA7DFB"/>
    <w:rsid w:val="07B0770E"/>
    <w:rsid w:val="0942143F"/>
    <w:rsid w:val="0A4E08BB"/>
    <w:rsid w:val="0BCB0A0C"/>
    <w:rsid w:val="0D100297"/>
    <w:rsid w:val="0D202B45"/>
    <w:rsid w:val="0F495E5D"/>
    <w:rsid w:val="0F8D4C87"/>
    <w:rsid w:val="10505FAA"/>
    <w:rsid w:val="105F7E7E"/>
    <w:rsid w:val="11E56B5B"/>
    <w:rsid w:val="125C77AB"/>
    <w:rsid w:val="13151908"/>
    <w:rsid w:val="13820E14"/>
    <w:rsid w:val="14721C87"/>
    <w:rsid w:val="14CB726E"/>
    <w:rsid w:val="14F50379"/>
    <w:rsid w:val="17E92249"/>
    <w:rsid w:val="183C162D"/>
    <w:rsid w:val="18D304F1"/>
    <w:rsid w:val="19F32577"/>
    <w:rsid w:val="19F45B80"/>
    <w:rsid w:val="1B0C078D"/>
    <w:rsid w:val="1B2B31E2"/>
    <w:rsid w:val="1B4C295A"/>
    <w:rsid w:val="1B973C63"/>
    <w:rsid w:val="1BA1001E"/>
    <w:rsid w:val="1CD970FD"/>
    <w:rsid w:val="1D317259"/>
    <w:rsid w:val="1D762A54"/>
    <w:rsid w:val="1E664F5B"/>
    <w:rsid w:val="1EB34BE1"/>
    <w:rsid w:val="1FC12569"/>
    <w:rsid w:val="215E639F"/>
    <w:rsid w:val="21EC3183"/>
    <w:rsid w:val="225E72CD"/>
    <w:rsid w:val="2451033D"/>
    <w:rsid w:val="245B49D0"/>
    <w:rsid w:val="246E2F77"/>
    <w:rsid w:val="254B4E2B"/>
    <w:rsid w:val="25D16D75"/>
    <w:rsid w:val="279573F5"/>
    <w:rsid w:val="28223EE3"/>
    <w:rsid w:val="283D7C94"/>
    <w:rsid w:val="2847465D"/>
    <w:rsid w:val="29480E03"/>
    <w:rsid w:val="29692900"/>
    <w:rsid w:val="2983634D"/>
    <w:rsid w:val="29AE54BD"/>
    <w:rsid w:val="2B1F3431"/>
    <w:rsid w:val="2BB02055"/>
    <w:rsid w:val="2C575A56"/>
    <w:rsid w:val="2C785045"/>
    <w:rsid w:val="2CB1353E"/>
    <w:rsid w:val="2DC545CD"/>
    <w:rsid w:val="2F257714"/>
    <w:rsid w:val="2F3275E5"/>
    <w:rsid w:val="30AA08EF"/>
    <w:rsid w:val="30D23D1C"/>
    <w:rsid w:val="31221CF5"/>
    <w:rsid w:val="31400178"/>
    <w:rsid w:val="320052B6"/>
    <w:rsid w:val="321E3342"/>
    <w:rsid w:val="324059AE"/>
    <w:rsid w:val="327759C8"/>
    <w:rsid w:val="33185FE3"/>
    <w:rsid w:val="33F02472"/>
    <w:rsid w:val="34EE2E36"/>
    <w:rsid w:val="36777241"/>
    <w:rsid w:val="38A951DB"/>
    <w:rsid w:val="38B31605"/>
    <w:rsid w:val="39003F4F"/>
    <w:rsid w:val="3A290D39"/>
    <w:rsid w:val="3B300657"/>
    <w:rsid w:val="3C07002B"/>
    <w:rsid w:val="3D0D152A"/>
    <w:rsid w:val="3DF52681"/>
    <w:rsid w:val="3DF62756"/>
    <w:rsid w:val="3E570F2A"/>
    <w:rsid w:val="3E5B28EE"/>
    <w:rsid w:val="3F1B7587"/>
    <w:rsid w:val="41E57B4F"/>
    <w:rsid w:val="422019F0"/>
    <w:rsid w:val="42914506"/>
    <w:rsid w:val="432F26F6"/>
    <w:rsid w:val="43880F63"/>
    <w:rsid w:val="43E22ED7"/>
    <w:rsid w:val="441C5A6F"/>
    <w:rsid w:val="44C44FCC"/>
    <w:rsid w:val="44CC7369"/>
    <w:rsid w:val="457F5108"/>
    <w:rsid w:val="46034E02"/>
    <w:rsid w:val="46951B6B"/>
    <w:rsid w:val="47167CCA"/>
    <w:rsid w:val="47DF6624"/>
    <w:rsid w:val="4977185E"/>
    <w:rsid w:val="49A34401"/>
    <w:rsid w:val="4A3E30AB"/>
    <w:rsid w:val="4AC14DAC"/>
    <w:rsid w:val="4D154C85"/>
    <w:rsid w:val="4D8B64EC"/>
    <w:rsid w:val="4EC8553A"/>
    <w:rsid w:val="50190A40"/>
    <w:rsid w:val="508F4E24"/>
    <w:rsid w:val="51461E90"/>
    <w:rsid w:val="51463753"/>
    <w:rsid w:val="52553A93"/>
    <w:rsid w:val="53521F8B"/>
    <w:rsid w:val="53DC7D3D"/>
    <w:rsid w:val="53E22F47"/>
    <w:rsid w:val="54522FF8"/>
    <w:rsid w:val="54FE5E6C"/>
    <w:rsid w:val="55450629"/>
    <w:rsid w:val="55F847C8"/>
    <w:rsid w:val="56692963"/>
    <w:rsid w:val="568B0F48"/>
    <w:rsid w:val="5786217B"/>
    <w:rsid w:val="58597148"/>
    <w:rsid w:val="59337A15"/>
    <w:rsid w:val="59810274"/>
    <w:rsid w:val="5B4B595C"/>
    <w:rsid w:val="5BA45629"/>
    <w:rsid w:val="5BB90D8B"/>
    <w:rsid w:val="5CA96A00"/>
    <w:rsid w:val="5CF730BC"/>
    <w:rsid w:val="5E0922F1"/>
    <w:rsid w:val="5E5F0DCE"/>
    <w:rsid w:val="5F9E4C52"/>
    <w:rsid w:val="5FA40A7B"/>
    <w:rsid w:val="5FD56D29"/>
    <w:rsid w:val="5FEC7F3F"/>
    <w:rsid w:val="600B47B7"/>
    <w:rsid w:val="607C3FDC"/>
    <w:rsid w:val="60F74BC3"/>
    <w:rsid w:val="617D3BF8"/>
    <w:rsid w:val="61841F6A"/>
    <w:rsid w:val="623007A9"/>
    <w:rsid w:val="63387E58"/>
    <w:rsid w:val="637D7558"/>
    <w:rsid w:val="63B4311D"/>
    <w:rsid w:val="644F19AC"/>
    <w:rsid w:val="645F00F0"/>
    <w:rsid w:val="65AA4920"/>
    <w:rsid w:val="663F52E0"/>
    <w:rsid w:val="67694F1E"/>
    <w:rsid w:val="68433062"/>
    <w:rsid w:val="68BB5EFD"/>
    <w:rsid w:val="69597934"/>
    <w:rsid w:val="6B964DDC"/>
    <w:rsid w:val="6C783074"/>
    <w:rsid w:val="6D9E65C6"/>
    <w:rsid w:val="6DA81947"/>
    <w:rsid w:val="6EB66DE2"/>
    <w:rsid w:val="6ED3075F"/>
    <w:rsid w:val="6F2A2D4B"/>
    <w:rsid w:val="6F8A0C1E"/>
    <w:rsid w:val="703F45D4"/>
    <w:rsid w:val="70BB36E1"/>
    <w:rsid w:val="715D6546"/>
    <w:rsid w:val="71BE069E"/>
    <w:rsid w:val="73953409"/>
    <w:rsid w:val="73E069A3"/>
    <w:rsid w:val="76A54A72"/>
    <w:rsid w:val="78104AA8"/>
    <w:rsid w:val="787A4560"/>
    <w:rsid w:val="78E257C5"/>
    <w:rsid w:val="79425E76"/>
    <w:rsid w:val="794B35BE"/>
    <w:rsid w:val="7A490C12"/>
    <w:rsid w:val="7B0A3A31"/>
    <w:rsid w:val="7B3360ED"/>
    <w:rsid w:val="7B5319F3"/>
    <w:rsid w:val="7BDF037E"/>
    <w:rsid w:val="7BF50948"/>
    <w:rsid w:val="7C955444"/>
    <w:rsid w:val="7CE66A78"/>
    <w:rsid w:val="7D23564C"/>
    <w:rsid w:val="7D5E062D"/>
    <w:rsid w:val="7D5E50FF"/>
    <w:rsid w:val="7DF76CD8"/>
    <w:rsid w:val="7E9B63FC"/>
    <w:rsid w:val="7F433B12"/>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a:t>
            </a:r>
            <a:r>
              <a:rPr altLang="zh-CN" u="heavy"/>
              <a:t>支出</a:t>
            </a:r>
            <a:r>
              <a:rPr lang="en-US" altLang="zh-CN"/>
              <a:t>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2700.94</c:v>
                </c:pt>
                <c:pt idx="1">
                  <c:v>0.97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35.47</c:v>
                </c:pt>
                <c:pt idx="4">
                  <c:v>113.67</c:v>
                </c:pt>
                <c:pt idx="5">
                  <c:v>0</c:v>
                </c:pt>
                <c:pt idx="6">
                  <c:v>0</c:v>
                </c:pt>
                <c:pt idx="7">
                  <c:v>182.99</c:v>
                </c:pt>
                <c:pt idx="8">
                  <c:v>0.01</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13.37</c:v>
                </c:pt>
                <c:pt idx="2">
                  <c:v>0</c:v>
                </c:pt>
                <c:pt idx="3">
                  <c:v>0</c:v>
                </c:pt>
                <c:pt idx="4">
                  <c:v>0</c:v>
                </c:pt>
                <c:pt idx="5">
                  <c:v>0</c:v>
                </c:pt>
                <c:pt idx="6">
                  <c:v>0</c:v>
                </c:pt>
                <c:pt idx="7">
                  <c:v>0</c:v>
                </c:pt>
                <c:pt idx="8">
                  <c:v>0</c:v>
                </c:pt>
                <c:pt idx="9">
                  <c:v>0</c:v>
                </c:pt>
                <c:pt idx="10">
                  <c:v>0</c:v>
                </c:pt>
                <c:pt idx="11">
                  <c:v>0</c:v>
                </c:pt>
                <c:pt idx="12">
                  <c:v>0</c:v>
                </c:pt>
                <c:pt idx="13">
                  <c:v>0</c:v>
                </c:pt>
                <c:pt idx="14">
                  <c:v>0</c:v>
                </c:pt>
                <c:pt idx="15">
                  <c:v>4.01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教育支出</c:v>
                </c:pt>
                <c:pt idx="1">
                  <c:v>社会保障和就业支出</c:v>
                </c:pt>
                <c:pt idx="2">
                  <c:v>一般公共服务支出</c:v>
                </c:pt>
                <c:pt idx="3">
                  <c:v>其他支出</c:v>
                </c:pt>
                <c:pt idx="4">
                  <c:v>住房保障支出</c:v>
                </c:pt>
              </c:strCache>
            </c:strRef>
          </c:cat>
          <c:val>
            <c:numRef>
              <c:f>Sheet1!$B$2:$B$6</c:f>
              <c:numCache>
                <c:formatCode>General</c:formatCode>
                <c:ptCount val="5"/>
                <c:pt idx="0">
                  <c:v>2181.79</c:v>
                </c:pt>
                <c:pt idx="1">
                  <c:v>250</c:v>
                </c:pt>
                <c:pt idx="2">
                  <c:v>0</c:v>
                </c:pt>
                <c:pt idx="3">
                  <c:v>418.65</c:v>
                </c:pt>
                <c:pt idx="4">
                  <c:v>107.91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教育支出</c:v>
                </c:pt>
                <c:pt idx="1">
                  <c:v>社会保障和就业支出</c:v>
                </c:pt>
                <c:pt idx="2">
                  <c:v>一般公共服务支出</c:v>
                </c:pt>
                <c:pt idx="3">
                  <c:v>其他支出</c:v>
                </c:pt>
                <c:pt idx="4">
                  <c:v>住房保障支出</c:v>
                </c:pt>
              </c:strCache>
            </c:strRef>
          </c:cat>
          <c:val>
            <c:numRef>
              <c:f>Sheet1!$C$2:$C$6</c:f>
              <c:numCache>
                <c:formatCode>General</c:formatCode>
                <c:ptCount val="5"/>
                <c:pt idx="0">
                  <c:v>2133.76</c:v>
                </c:pt>
                <c:pt idx="1">
                  <c:v>203.24</c:v>
                </c:pt>
                <c:pt idx="2">
                  <c:v>28.47</c:v>
                </c:pt>
                <c:pt idx="3">
                  <c:v>183.99</c:v>
                </c:pt>
                <c:pt idx="4">
                  <c:v>152.45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Sheet1!$A$2:$A$10</c15:sqref>
                  </c15:fullRef>
                </c:ext>
              </c:extLst>
              <c:f>(Sheet1!$A$2,Sheet1!$A$5:$A$6,Sheet1!$A$10)</c:f>
              <c:strCache>
                <c:ptCount val="4"/>
                <c:pt idx="0">
                  <c:v>2050202</c:v>
                </c:pt>
                <c:pt idx="1">
                  <c:v>2050299</c:v>
                </c:pt>
                <c:pt idx="2">
                  <c:v>2050999</c:v>
                </c:pt>
                <c:pt idx="3">
                  <c:v>205x</c:v>
                </c:pt>
              </c:strCache>
            </c:strRef>
          </c:cat>
          <c:val>
            <c:numRef>
              <c:extLst>
                <c:ext xmlns:c15="http://schemas.microsoft.com/office/drawing/2012/chart" uri="{02D57815-91ED-43cb-92C2-25804820EDAC}">
                  <c15:fullRef>
                    <c15:sqref>Sheet1!$B$2:$B$10</c15:sqref>
                  </c15:fullRef>
                </c:ext>
              </c:extLst>
              <c:f>(Sheet1!$B$2,Sheet1!$B$5:$B$6,Sheet1!$B$10)</c:f>
              <c:numCache>
                <c:formatCode>General</c:formatCode>
                <c:ptCount val="4"/>
                <c:pt idx="0">
                  <c:v>2067.85</c:v>
                </c:pt>
                <c:pt idx="1">
                  <c:v>65.64</c:v>
                </c:pt>
                <c:pt idx="2">
                  <c:v>0.27</c:v>
                </c:pt>
                <c:pt idx="3">
                  <c:v>2133.76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400" b="1" i="0" u="none" strike="noStrike" kern="1200" baseline="0">
                <a:solidFill>
                  <a:schemeClr val="dk1">
                    <a:lumMod val="75000"/>
                    <a:lumOff val="25000"/>
                  </a:schemeClr>
                </a:solidFill>
                <a:latin typeface="+mn-lt"/>
                <a:ea typeface="+mn-ea"/>
                <a:cs typeface="+mn-cs"/>
              </a:defRPr>
            </a:pPr>
            <a:r>
              <a:t>社会保障和就业支出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1">
                  <c:v>2080801</c:v>
                </c:pt>
                <c:pt idx="2">
                  <c:v>2089999</c:v>
                </c:pt>
                <c:pt idx="3">
                  <c:v>208x</c:v>
                </c:pt>
              </c:strCache>
            </c:strRef>
          </c:cat>
          <c:val>
            <c:numRef>
              <c:f>Sheet1!$B$2:$B$5</c:f>
              <c:numCache>
                <c:formatCode>General</c:formatCode>
                <c:ptCount val="4"/>
                <c:pt idx="0">
                  <c:v>203.24</c:v>
                </c:pt>
                <c:pt idx="1">
                  <c:v>0</c:v>
                </c:pt>
                <c:pt idx="2">
                  <c:v>0</c:v>
                </c:pt>
                <c:pt idx="3">
                  <c:v>203.24</c:v>
                </c:pt>
              </c:numCache>
            </c:numRef>
          </c:val>
        </c:ser>
        <c:dLbls>
          <c:showLegendKey val="0"/>
          <c:showVal val="0"/>
          <c:showCatName val="0"/>
          <c:showSerName val="0"/>
          <c:showPercent val="0"/>
          <c:showBubbleSize val="0"/>
        </c:dLbls>
        <c:gapWidth val="246"/>
        <c:overlap val="-28"/>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152.45</c:v>
                </c:pt>
                <c:pt idx="1">
                  <c:v>152.45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680" b="1" i="0" u="none" strike="noStrike" kern="1200" baseline="0">
                <a:solidFill>
                  <a:schemeClr val="tx1"/>
                </a:solidFill>
                <a:latin typeface="+mn-lt"/>
                <a:ea typeface="+mn-ea"/>
                <a:cs typeface="+mn-cs"/>
              </a:defRPr>
            </a:pPr>
            <a:r>
              <a:rPr altLang="en-US" sz="1680"/>
              <a:t>其他支出</a:t>
            </a:r>
            <a:endParaRPr lang="en-US" sz="168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229x</c:v>
                </c:pt>
                <c:pt idx="1">
                  <c:v>22999</c:v>
                </c:pt>
              </c:strCache>
            </c:strRef>
          </c:cat>
          <c:val>
            <c:numRef>
              <c:f>Sheet1!$B$2:$B$3</c:f>
              <c:numCache>
                <c:formatCode>General</c:formatCode>
                <c:ptCount val="2"/>
                <c:pt idx="0">
                  <c:v>183.02</c:v>
                </c:pt>
                <c:pt idx="1">
                  <c:v>183.02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4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680" b="1" i="0" u="none" strike="noStrike" kern="1200" baseline="0">
                <a:solidFill>
                  <a:schemeClr val="tx1"/>
                </a:solidFill>
                <a:latin typeface="+mn-lt"/>
                <a:ea typeface="+mn-ea"/>
                <a:cs typeface="+mn-cs"/>
              </a:defRPr>
            </a:pPr>
            <a:r>
              <a:rPr altLang="en-US" sz="1680"/>
              <a:t>一般公共服务支出</a:t>
            </a:r>
            <a:endParaRPr lang="en-US" sz="1680"/>
          </a:p>
        </c:rich>
      </c:tx>
      <c:layout/>
      <c:overlay val="0"/>
      <c:spPr>
        <a:noFill/>
        <a:ln>
          <a:noFill/>
        </a:ln>
        <a:effectLst/>
      </c:spPr>
    </c:title>
    <c:autoTitleDeleted val="0"/>
    <c:plotArea>
      <c:layout>
        <c:manualLayout>
          <c:layoutTarget val="inner"/>
          <c:xMode val="edge"/>
          <c:yMode val="edge"/>
          <c:x val="0.0937420178799489"/>
          <c:y val="0.199432463110102"/>
          <c:w val="0.877735206470839"/>
          <c:h val="0.497366628830874"/>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201x</c:v>
                </c:pt>
                <c:pt idx="1">
                  <c:v>2012999</c:v>
                </c:pt>
              </c:strCache>
            </c:strRef>
          </c:cat>
          <c:val>
            <c:numRef>
              <c:f>Sheet1!$B$2:$B$3</c:f>
              <c:numCache>
                <c:formatCode>General</c:formatCode>
                <c:ptCount val="2"/>
                <c:pt idx="0">
                  <c:v>28.47</c:v>
                </c:pt>
                <c:pt idx="1">
                  <c:v>28.47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1"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400"/>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extLst>
                <c:ext xmlns:c15="http://schemas.microsoft.com/office/drawing/2012/chart" uri="{02D57815-91ED-43cb-92C2-25804820EDAC}">
                  <c15:fullRef>
                    <c15:sqref>Sheet1!$A$2:$A$14</c15:sqref>
                  </c15:fullRef>
                </c:ext>
              </c:extLst>
              <c:f>(Sheet1!$A$2:$A$7,Sheet1!$A$9,Sheet1!$A$11:$A$12,Sheet1!$A$14)</c:f>
              <c:numCache>
                <c:formatCode>General</c:formatCode>
                <c:ptCount val="10"/>
                <c:pt idx="0">
                  <c:v>30101</c:v>
                </c:pt>
                <c:pt idx="1">
                  <c:v>30102</c:v>
                </c:pt>
                <c:pt idx="2">
                  <c:v>30103</c:v>
                </c:pt>
                <c:pt idx="3">
                  <c:v>30106</c:v>
                </c:pt>
                <c:pt idx="4">
                  <c:v>30107</c:v>
                </c:pt>
                <c:pt idx="5">
                  <c:v>30108</c:v>
                </c:pt>
                <c:pt idx="6">
                  <c:v>30110</c:v>
                </c:pt>
                <c:pt idx="7">
                  <c:v>30112</c:v>
                </c:pt>
                <c:pt idx="8">
                  <c:v>30113</c:v>
                </c:pt>
                <c:pt idx="9">
                  <c:v>30199</c:v>
                </c:pt>
              </c:numCache>
            </c:numRef>
          </c:cat>
          <c:val>
            <c:numRef>
              <c:extLst>
                <c:ext xmlns:c15="http://schemas.microsoft.com/office/drawing/2012/chart" uri="{02D57815-91ED-43cb-92C2-25804820EDAC}">
                  <c15:fullRef>
                    <c15:sqref>Sheet1!$B$2:$B$14</c15:sqref>
                  </c15:fullRef>
                </c:ext>
              </c:extLst>
              <c:f>(Sheet1!$B$2:$B$7,Sheet1!$B$9,Sheet1!$B$11:$B$12,Sheet1!$B$14)</c:f>
              <c:numCache>
                <c:formatCode>General</c:formatCode>
                <c:ptCount val="10"/>
                <c:pt idx="0">
                  <c:v>850.55</c:v>
                </c:pt>
                <c:pt idx="1">
                  <c:v>125.67</c:v>
                </c:pt>
                <c:pt idx="2">
                  <c:v>269.68</c:v>
                </c:pt>
                <c:pt idx="3">
                  <c:v>0</c:v>
                </c:pt>
                <c:pt idx="4">
                  <c:v>323.37</c:v>
                </c:pt>
                <c:pt idx="5">
                  <c:v>203.24</c:v>
                </c:pt>
                <c:pt idx="6">
                  <c:v>91.01</c:v>
                </c:pt>
                <c:pt idx="7">
                  <c:v>11.45</c:v>
                </c:pt>
                <c:pt idx="8">
                  <c:v>152.45</c:v>
                </c:pt>
                <c:pt idx="9">
                  <c:v>16.22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rtlCol="0" anchor="t" anchorCtr="1"/>
          <a:lstStyle/>
          <a:p>
            <a:pPr algn="l">
              <a:defRPr lang="zh-CN" sz="1800" b="1" i="0" u="none" strike="noStrike" kern="1200" baseline="0">
                <a:solidFill>
                  <a:sysClr val="windowText" lastClr="000000"/>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rgbClr val="5B9BD5"/>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28.06</c:v>
                </c:pt>
                <c:pt idx="1">
                  <c:v>0</c:v>
                </c:pt>
                <c:pt idx="2">
                  <c:v>0</c:v>
                </c:pt>
                <c:pt idx="3">
                  <c:v>0</c:v>
                </c:pt>
                <c:pt idx="4">
                  <c:v>1.14</c:v>
                </c:pt>
                <c:pt idx="5">
                  <c:v>12.42</c:v>
                </c:pt>
                <c:pt idx="6">
                  <c:v>13.42</c:v>
                </c:pt>
                <c:pt idx="7">
                  <c:v>0</c:v>
                </c:pt>
                <c:pt idx="8">
                  <c:v>0.95</c:v>
                </c:pt>
                <c:pt idx="9">
                  <c:v>17.64</c:v>
                </c:pt>
                <c:pt idx="10">
                  <c:v>0</c:v>
                </c:pt>
                <c:pt idx="11">
                  <c:v>18.98</c:v>
                </c:pt>
                <c:pt idx="12">
                  <c:v>0</c:v>
                </c:pt>
                <c:pt idx="13">
                  <c:v>0</c:v>
                </c:pt>
                <c:pt idx="14">
                  <c:v>0</c:v>
                </c:pt>
                <c:pt idx="15">
                  <c:v>0</c:v>
                </c:pt>
                <c:pt idx="16">
                  <c:v>6.82</c:v>
                </c:pt>
                <c:pt idx="17">
                  <c:v>0</c:v>
                </c:pt>
                <c:pt idx="18">
                  <c:v>0</c:v>
                </c:pt>
                <c:pt idx="19">
                  <c:v>7.54</c:v>
                </c:pt>
                <c:pt idx="20">
                  <c:v>0</c:v>
                </c:pt>
                <c:pt idx="21">
                  <c:v>28.47</c:v>
                </c:pt>
                <c:pt idx="22">
                  <c:v>0</c:v>
                </c:pt>
                <c:pt idx="23">
                  <c:v>0</c:v>
                </c:pt>
                <c:pt idx="24">
                  <c:v>0</c:v>
                </c:pt>
                <c:pt idx="25">
                  <c:v>0</c:v>
                </c:pt>
                <c:pt idx="26">
                  <c:v>2.29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ysClr val="windowText" lastClr="000000">
                <a:lumMod val="15000"/>
                <a:lumOff val="85000"/>
              </a:sysClr>
            </a:solidFill>
            <a:prstDash val="solid"/>
            <a:round/>
          </a:ln>
          <a:effectLst/>
        </c:spPr>
        <c:txPr>
          <a:bodyPr rot="0" spcFirstLastPara="1" vertOverflow="ellipsis" vert="eaVert"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ysClr val="windowText" lastClr="000000">
                  <a:lumMod val="15000"/>
                  <a:lumOff val="85000"/>
                </a:sys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2023-11-28T09:57:28Z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