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spacing w:line="560" w:lineRule="exact"/>
        <w:jc w:val="center"/>
        <w:rPr>
          <w:rFonts w:ascii="Times New Roman" w:hAnsi="Times New Roman" w:eastAsia="方正小标宋简体" w:cs="Times New Roman"/>
          <w:b/>
          <w:bCs/>
          <w:kern w:val="0"/>
          <w:sz w:val="48"/>
          <w:szCs w:val="48"/>
        </w:rPr>
      </w:pPr>
      <w:r>
        <w:rPr>
          <w:rFonts w:ascii="Times New Roman" w:hAnsi="Times New Roman" w:eastAsia="方正小标宋简体" w:cs="Times New Roman"/>
          <w:b/>
          <w:bCs/>
          <w:kern w:val="0"/>
          <w:sz w:val="48"/>
          <w:szCs w:val="48"/>
        </w:rPr>
        <w:t>环江毛南族自治县</w:t>
      </w:r>
      <w:r>
        <w:rPr>
          <w:rFonts w:hint="eastAsia" w:ascii="Times New Roman" w:hAnsi="Times New Roman" w:eastAsia="方正小标宋简体" w:cs="Times New Roman"/>
          <w:b/>
          <w:bCs/>
          <w:kern w:val="0"/>
          <w:sz w:val="48"/>
          <w:szCs w:val="48"/>
        </w:rPr>
        <w:t>洛阳镇初级中学</w:t>
      </w:r>
      <w:r>
        <w:rPr>
          <w:rFonts w:ascii="Times New Roman" w:hAnsi="Times New Roman" w:eastAsia="方正小标宋简体" w:cs="Times New Roman"/>
          <w:b/>
          <w:bCs/>
          <w:kern w:val="0"/>
          <w:sz w:val="48"/>
          <w:szCs w:val="48"/>
        </w:rPr>
        <w:t>2022年度部门决算</w:t>
      </w:r>
    </w:p>
    <w:p>
      <w:pPr>
        <w:spacing w:line="560" w:lineRule="exact"/>
        <w:jc w:val="center"/>
        <w:rPr>
          <w:rFonts w:ascii="Times New Roman" w:hAnsi="Times New Roman" w:eastAsia="方正小标宋简体" w:cs="Times New Roman"/>
          <w:b/>
          <w:bCs/>
          <w:kern w:val="0"/>
          <w:sz w:val="44"/>
          <w:szCs w:val="44"/>
        </w:rPr>
      </w:pPr>
    </w:p>
    <w:p>
      <w:pPr>
        <w:spacing w:line="560" w:lineRule="exact"/>
        <w:jc w:val="center"/>
        <w:rPr>
          <w:rFonts w:ascii="Times New Roman" w:hAnsi="Times New Roman" w:eastAsia="方正小标宋简体" w:cs="Times New Roman"/>
          <w:b/>
          <w:bCs/>
          <w:kern w:val="0"/>
          <w:sz w:val="44"/>
          <w:szCs w:val="44"/>
        </w:rPr>
      </w:pPr>
    </w:p>
    <w:p>
      <w:pPr>
        <w:spacing w:line="560" w:lineRule="exact"/>
        <w:jc w:val="center"/>
        <w:rPr>
          <w:rFonts w:ascii="Times New Roman" w:hAnsi="Times New Roman" w:eastAsia="方正小标宋简体" w:cs="Times New Roman"/>
          <w:b/>
          <w:bCs/>
          <w:kern w:val="0"/>
          <w:sz w:val="44"/>
          <w:szCs w:val="44"/>
        </w:rPr>
      </w:pPr>
    </w:p>
    <w:p>
      <w:pPr>
        <w:spacing w:line="560" w:lineRule="exact"/>
        <w:jc w:val="center"/>
        <w:rPr>
          <w:rFonts w:ascii="Times New Roman" w:hAnsi="Times New Roman" w:eastAsia="方正小标宋简体" w:cs="Times New Roman"/>
          <w:b/>
          <w:bCs/>
          <w:kern w:val="0"/>
          <w:sz w:val="44"/>
          <w:szCs w:val="44"/>
        </w:rPr>
      </w:pPr>
    </w:p>
    <w:p>
      <w:pPr>
        <w:spacing w:line="560" w:lineRule="exact"/>
        <w:rPr>
          <w:rFonts w:ascii="Times New Roman" w:hAnsi="Times New Roman" w:eastAsia="方正小标宋简体" w:cs="Times New Roman"/>
          <w:b/>
          <w:bCs/>
          <w:kern w:val="0"/>
          <w:sz w:val="44"/>
          <w:szCs w:val="44"/>
        </w:rPr>
      </w:pPr>
    </w:p>
    <w:p>
      <w:pPr>
        <w:spacing w:line="560" w:lineRule="exact"/>
        <w:rPr>
          <w:rFonts w:ascii="Times New Roman" w:hAnsi="Times New Roman" w:eastAsia="方正小标宋简体" w:cs="Times New Roman"/>
          <w:b/>
          <w:bCs/>
          <w:kern w:val="0"/>
          <w:sz w:val="44"/>
          <w:szCs w:val="44"/>
        </w:rPr>
      </w:pPr>
    </w:p>
    <w:p>
      <w:pPr>
        <w:spacing w:line="560" w:lineRule="exact"/>
        <w:jc w:val="center"/>
        <w:rPr>
          <w:rFonts w:ascii="Times New Roman" w:hAnsi="Times New Roman" w:eastAsia="方正小标宋简体" w:cs="Times New Roman"/>
          <w:b/>
          <w:bCs/>
          <w:kern w:val="0"/>
          <w:sz w:val="44"/>
          <w:szCs w:val="44"/>
        </w:rPr>
      </w:pPr>
    </w:p>
    <w:p>
      <w:pPr>
        <w:spacing w:line="560" w:lineRule="exact"/>
        <w:jc w:val="center"/>
        <w:rPr>
          <w:rFonts w:ascii="Times New Roman" w:hAnsi="Times New Roman" w:eastAsia="方正小标宋简体" w:cs="Times New Roman"/>
          <w:b/>
          <w:bCs/>
          <w:kern w:val="0"/>
          <w:sz w:val="44"/>
          <w:szCs w:val="44"/>
        </w:rPr>
      </w:pPr>
    </w:p>
    <w:p>
      <w:pPr>
        <w:spacing w:line="560" w:lineRule="exact"/>
        <w:jc w:val="center"/>
        <w:rPr>
          <w:rFonts w:ascii="Times New Roman" w:hAnsi="Times New Roman" w:eastAsia="方正小标宋简体" w:cs="Times New Roman"/>
          <w:b/>
          <w:bCs/>
          <w:kern w:val="0"/>
          <w:sz w:val="44"/>
          <w:szCs w:val="44"/>
        </w:rPr>
      </w:pPr>
    </w:p>
    <w:p>
      <w:pPr>
        <w:spacing w:line="560" w:lineRule="exact"/>
        <w:jc w:val="center"/>
        <w:rPr>
          <w:rFonts w:ascii="Times New Roman" w:hAnsi="Times New Roman" w:eastAsia="方正小标宋简体" w:cs="Times New Roman"/>
          <w:b/>
          <w:bCs/>
          <w:kern w:val="0"/>
          <w:sz w:val="44"/>
          <w:szCs w:val="44"/>
        </w:rPr>
      </w:pPr>
    </w:p>
    <w:p>
      <w:pPr>
        <w:spacing w:line="560" w:lineRule="exact"/>
        <w:jc w:val="center"/>
        <w:rPr>
          <w:rFonts w:ascii="Times New Roman" w:hAnsi="Times New Roman" w:eastAsia="方正小标宋简体" w:cs="Times New Roman"/>
          <w:b/>
          <w:bCs/>
          <w:kern w:val="0"/>
          <w:sz w:val="44"/>
          <w:szCs w:val="44"/>
        </w:rPr>
      </w:pPr>
    </w:p>
    <w:p>
      <w:pPr>
        <w:spacing w:line="560" w:lineRule="exact"/>
        <w:jc w:val="center"/>
        <w:rPr>
          <w:rFonts w:ascii="Times New Roman" w:hAnsi="Times New Roman" w:eastAsia="方正小标宋简体" w:cs="Times New Roman"/>
          <w:b/>
          <w:bCs/>
          <w:kern w:val="0"/>
          <w:sz w:val="44"/>
          <w:szCs w:val="44"/>
        </w:rPr>
      </w:pPr>
    </w:p>
    <w:p>
      <w:pPr>
        <w:spacing w:line="560" w:lineRule="exact"/>
        <w:jc w:val="center"/>
        <w:rPr>
          <w:rFonts w:hint="eastAsia" w:ascii="Times New Roman" w:hAnsi="Times New Roman" w:eastAsia="方正小标宋简体" w:cs="Times New Roman"/>
          <w:b/>
          <w:bCs/>
          <w:kern w:val="0"/>
          <w:sz w:val="44"/>
          <w:szCs w:val="44"/>
        </w:rPr>
      </w:pPr>
    </w:p>
    <w:p>
      <w:pPr>
        <w:spacing w:line="560" w:lineRule="exact"/>
        <w:jc w:val="center"/>
        <w:rPr>
          <w:rFonts w:hint="eastAsia" w:ascii="Times New Roman" w:hAnsi="Times New Roman" w:eastAsia="方正小标宋简体" w:cs="Times New Roman"/>
          <w:b/>
          <w:bCs/>
          <w:kern w:val="0"/>
          <w:sz w:val="44"/>
          <w:szCs w:val="44"/>
        </w:rPr>
      </w:pPr>
    </w:p>
    <w:p>
      <w:pPr>
        <w:spacing w:line="560" w:lineRule="exact"/>
        <w:jc w:val="center"/>
        <w:rPr>
          <w:rFonts w:hint="eastAsia" w:ascii="Times New Roman" w:hAnsi="Times New Roman" w:eastAsia="方正小标宋简体" w:cs="Times New Roman"/>
          <w:b/>
          <w:bCs/>
          <w:kern w:val="0"/>
          <w:sz w:val="44"/>
          <w:szCs w:val="44"/>
        </w:rPr>
      </w:pPr>
    </w:p>
    <w:p>
      <w:pPr>
        <w:spacing w:line="560" w:lineRule="exact"/>
        <w:jc w:val="center"/>
        <w:rPr>
          <w:rFonts w:hint="eastAsia" w:ascii="Times New Roman" w:hAnsi="Times New Roman" w:eastAsia="方正小标宋简体" w:cs="Times New Roman"/>
          <w:b/>
          <w:bCs/>
          <w:kern w:val="0"/>
          <w:sz w:val="44"/>
          <w:szCs w:val="44"/>
        </w:rPr>
      </w:pPr>
    </w:p>
    <w:p>
      <w:pPr>
        <w:spacing w:line="560" w:lineRule="exact"/>
        <w:jc w:val="center"/>
        <w:rPr>
          <w:rFonts w:ascii="Times New Roman" w:hAnsi="Times New Roman" w:eastAsia="方正小标宋简体" w:cs="Times New Roman"/>
          <w:b/>
          <w:bCs/>
          <w:kern w:val="0"/>
          <w:sz w:val="44"/>
          <w:szCs w:val="44"/>
        </w:rPr>
      </w:pPr>
      <w:r>
        <w:rPr>
          <w:rFonts w:hint="eastAsia" w:ascii="Times New Roman" w:hAnsi="Times New Roman" w:eastAsia="方正小标宋简体" w:cs="Times New Roman"/>
          <w:b/>
          <w:bCs/>
          <w:kern w:val="0"/>
          <w:sz w:val="44"/>
          <w:szCs w:val="44"/>
        </w:rPr>
        <w:t>202</w:t>
      </w:r>
      <w:r>
        <w:rPr>
          <w:rFonts w:ascii="Times New Roman" w:hAnsi="Times New Roman" w:eastAsia="方正小标宋简体" w:cs="Times New Roman"/>
          <w:b/>
          <w:bCs/>
          <w:kern w:val="0"/>
          <w:sz w:val="44"/>
          <w:szCs w:val="44"/>
        </w:rPr>
        <w:t>3</w:t>
      </w:r>
      <w:r>
        <w:rPr>
          <w:rFonts w:hint="eastAsia" w:ascii="Times New Roman" w:hAnsi="Times New Roman" w:eastAsia="方正小标宋简体" w:cs="Times New Roman"/>
          <w:b/>
          <w:bCs/>
          <w:kern w:val="0"/>
          <w:sz w:val="44"/>
          <w:szCs w:val="44"/>
        </w:rPr>
        <w:t>年10月</w:t>
      </w:r>
    </w:p>
    <w:p>
      <w:pPr>
        <w:spacing w:line="560" w:lineRule="exact"/>
        <w:jc w:val="center"/>
        <w:rPr>
          <w:rFonts w:ascii="Times New Roman" w:hAnsi="Times New Roman" w:eastAsia="方正小标宋简体" w:cs="Times New Roman"/>
          <w:kern w:val="0"/>
          <w:sz w:val="44"/>
          <w:szCs w:val="44"/>
        </w:rPr>
      </w:pPr>
    </w:p>
    <w:p>
      <w:pPr>
        <w:spacing w:line="560" w:lineRule="exact"/>
        <w:jc w:val="center"/>
        <w:rPr>
          <w:rFonts w:ascii="Times New Roman" w:hAnsi="Times New Roman" w:eastAsia="方正小标宋简体" w:cs="Times New Roman"/>
          <w:kern w:val="0"/>
          <w:sz w:val="44"/>
          <w:szCs w:val="44"/>
        </w:rPr>
      </w:pP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环江毛南族自治县洛阳镇初级中学</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环江毛南族自治县洛阳镇初级中学</w:t>
      </w:r>
      <w:r>
        <w:rPr>
          <w:rFonts w:hint="eastAsia" w:ascii="黑体" w:hAnsi="黑体" w:eastAsia="黑体" w:cs="黑体"/>
          <w:sz w:val="32"/>
          <w:szCs w:val="32"/>
          <w:highlight w:val="none"/>
        </w:rPr>
        <w:t>2022年度部门决算报表</w:t>
      </w:r>
    </w:p>
    <w:p>
      <w:pPr>
        <w:rPr>
          <w:rFonts w:hint="eastAsia" w:ascii="仿宋" w:hAnsi="仿宋" w:eastAsia="仿宋" w:cs="仿宋"/>
          <w:sz w:val="32"/>
          <w:szCs w:val="32"/>
          <w:highlight w:val="none"/>
        </w:rPr>
      </w:pPr>
      <w:r>
        <w:rPr>
          <w:rFonts w:hint="eastAsia" w:ascii="仿宋" w:hAnsi="仿宋" w:eastAsia="仿宋" w:cs="仿宋"/>
          <w:sz w:val="32"/>
          <w:szCs w:val="32"/>
          <w:highlight w:val="none"/>
        </w:rPr>
        <w:t>表一：收入支出决算总表</w:t>
      </w:r>
    </w:p>
    <w:p>
      <w:pPr>
        <w:rPr>
          <w:rFonts w:hint="eastAsia" w:ascii="仿宋" w:hAnsi="仿宋" w:eastAsia="仿宋" w:cs="仿宋"/>
          <w:sz w:val="32"/>
          <w:szCs w:val="32"/>
          <w:highlight w:val="none"/>
        </w:rPr>
      </w:pPr>
      <w:r>
        <w:rPr>
          <w:rFonts w:hint="eastAsia" w:ascii="仿宋" w:hAnsi="仿宋" w:eastAsia="仿宋" w:cs="仿宋"/>
          <w:sz w:val="32"/>
          <w:szCs w:val="32"/>
          <w:highlight w:val="none"/>
        </w:rPr>
        <w:t>表二：收入决算表</w:t>
      </w:r>
    </w:p>
    <w:p>
      <w:pPr>
        <w:rPr>
          <w:rFonts w:hint="eastAsia" w:ascii="仿宋" w:hAnsi="仿宋" w:eastAsia="仿宋" w:cs="仿宋"/>
          <w:sz w:val="32"/>
          <w:szCs w:val="32"/>
          <w:highlight w:val="none"/>
        </w:rPr>
      </w:pPr>
      <w:r>
        <w:rPr>
          <w:rFonts w:hint="eastAsia" w:ascii="仿宋" w:hAnsi="仿宋" w:eastAsia="仿宋" w:cs="仿宋"/>
          <w:sz w:val="32"/>
          <w:szCs w:val="32"/>
          <w:highlight w:val="none"/>
        </w:rPr>
        <w:t>表三：支出决算表</w:t>
      </w:r>
    </w:p>
    <w:p>
      <w:pPr>
        <w:rPr>
          <w:rFonts w:hint="eastAsia" w:ascii="仿宋" w:hAnsi="仿宋" w:eastAsia="仿宋" w:cs="仿宋"/>
          <w:sz w:val="32"/>
          <w:szCs w:val="32"/>
          <w:highlight w:val="none"/>
        </w:rPr>
      </w:pPr>
      <w:r>
        <w:rPr>
          <w:rFonts w:hint="eastAsia" w:ascii="仿宋" w:hAnsi="仿宋" w:eastAsia="仿宋" w:cs="仿宋"/>
          <w:sz w:val="32"/>
          <w:szCs w:val="32"/>
          <w:highlight w:val="none"/>
        </w:rPr>
        <w:t>表四：财政拨款收入支出决算总表</w:t>
      </w:r>
    </w:p>
    <w:p>
      <w:pPr>
        <w:rPr>
          <w:rFonts w:hint="eastAsia" w:ascii="仿宋" w:hAnsi="仿宋" w:eastAsia="仿宋" w:cs="仿宋"/>
          <w:sz w:val="32"/>
          <w:szCs w:val="32"/>
          <w:highlight w:val="none"/>
        </w:rPr>
      </w:pPr>
      <w:r>
        <w:rPr>
          <w:rFonts w:hint="eastAsia" w:ascii="仿宋" w:hAnsi="仿宋" w:eastAsia="仿宋" w:cs="仿宋"/>
          <w:sz w:val="32"/>
          <w:szCs w:val="32"/>
          <w:highlight w:val="none"/>
        </w:rPr>
        <w:t>表五：一般公共预算财政拨款支出决算表</w:t>
      </w:r>
    </w:p>
    <w:p>
      <w:pPr>
        <w:rPr>
          <w:rFonts w:hint="eastAsia" w:ascii="仿宋" w:hAnsi="仿宋" w:eastAsia="仿宋" w:cs="仿宋"/>
          <w:sz w:val="32"/>
          <w:szCs w:val="32"/>
          <w:highlight w:val="none"/>
        </w:rPr>
      </w:pPr>
      <w:r>
        <w:rPr>
          <w:rFonts w:hint="eastAsia" w:ascii="仿宋" w:hAnsi="仿宋" w:eastAsia="仿宋" w:cs="仿宋"/>
          <w:sz w:val="32"/>
          <w:szCs w:val="32"/>
          <w:highlight w:val="none"/>
        </w:rPr>
        <w:t>表六：一般公共预算财政拨款基本支出决算明细表</w:t>
      </w:r>
    </w:p>
    <w:p>
      <w:pPr>
        <w:rPr>
          <w:rFonts w:hint="eastAsia" w:ascii="仿宋" w:hAnsi="仿宋" w:eastAsia="仿宋" w:cs="仿宋"/>
          <w:sz w:val="32"/>
          <w:szCs w:val="32"/>
          <w:highlight w:val="none"/>
        </w:rPr>
      </w:pPr>
      <w:r>
        <w:rPr>
          <w:rFonts w:hint="eastAsia" w:ascii="仿宋" w:hAnsi="仿宋" w:eastAsia="仿宋" w:cs="仿宋"/>
          <w:sz w:val="32"/>
          <w:szCs w:val="32"/>
          <w:highlight w:val="none"/>
        </w:rPr>
        <w:t>表七：政府性基金预算财政拨款收入支出决算表</w:t>
      </w:r>
    </w:p>
    <w:p>
      <w:pPr>
        <w:rPr>
          <w:rFonts w:hint="eastAsia" w:ascii="仿宋" w:hAnsi="仿宋" w:eastAsia="仿宋" w:cs="仿宋"/>
          <w:sz w:val="32"/>
          <w:szCs w:val="32"/>
          <w:highlight w:val="none"/>
        </w:rPr>
      </w:pPr>
      <w:r>
        <w:rPr>
          <w:rFonts w:hint="eastAsia" w:ascii="仿宋" w:hAnsi="仿宋" w:eastAsia="仿宋" w:cs="仿宋"/>
          <w:sz w:val="32"/>
          <w:szCs w:val="32"/>
          <w:highlight w:val="none"/>
        </w:rPr>
        <w:t>表八：国有资本经营预算财政拨款支出决算表</w:t>
      </w:r>
    </w:p>
    <w:p>
      <w:pPr>
        <w:rPr>
          <w:rFonts w:hint="eastAsia" w:ascii="仿宋" w:hAnsi="仿宋" w:eastAsia="仿宋" w:cs="仿宋"/>
          <w:sz w:val="32"/>
          <w:szCs w:val="32"/>
          <w:highlight w:val="none"/>
        </w:rPr>
      </w:pPr>
      <w:r>
        <w:rPr>
          <w:rFonts w:hint="eastAsia" w:ascii="仿宋" w:hAnsi="仿宋" w:eastAsia="仿宋" w:cs="仿宋"/>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环江毛南族自治县洛阳镇初级中学</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一、202</w:t>
      </w:r>
      <w:r>
        <w:rPr>
          <w:rFonts w:hint="eastAsia" w:ascii="仿宋" w:hAnsi="仿宋" w:eastAsia="仿宋" w:cs="仿宋"/>
          <w:kern w:val="0"/>
          <w:sz w:val="32"/>
          <w:szCs w:val="32"/>
          <w:highlight w:val="none"/>
          <w:lang w:val="en-US" w:eastAsia="zh-CN"/>
        </w:rPr>
        <w:t>2</w:t>
      </w:r>
      <w:r>
        <w:rPr>
          <w:rFonts w:hint="eastAsia" w:ascii="仿宋" w:hAnsi="仿宋" w:eastAsia="仿宋" w:cs="仿宋"/>
          <w:kern w:val="0"/>
          <w:sz w:val="32"/>
          <w:szCs w:val="32"/>
          <w:highlight w:val="none"/>
        </w:rPr>
        <w:t>年度收入支出决算总体情况。</w:t>
      </w:r>
    </w:p>
    <w:p>
      <w:pPr>
        <w:autoSpaceDE w:val="0"/>
        <w:autoSpaceDN w:val="0"/>
        <w:adjustRightInd w:val="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二、20</w:t>
      </w:r>
      <w:r>
        <w:rPr>
          <w:rFonts w:hint="eastAsia" w:ascii="仿宋" w:hAnsi="仿宋" w:eastAsia="仿宋" w:cs="仿宋"/>
          <w:kern w:val="0"/>
          <w:sz w:val="32"/>
          <w:szCs w:val="32"/>
          <w:highlight w:val="none"/>
          <w:lang w:val="en-US" w:eastAsia="zh-CN"/>
        </w:rPr>
        <w:t>22</w:t>
      </w:r>
      <w:r>
        <w:rPr>
          <w:rFonts w:hint="eastAsia" w:ascii="仿宋" w:hAnsi="仿宋" w:eastAsia="仿宋" w:cs="仿宋"/>
          <w:kern w:val="0"/>
          <w:sz w:val="32"/>
          <w:szCs w:val="32"/>
          <w:highlight w:val="none"/>
        </w:rPr>
        <w:t>年度</w:t>
      </w:r>
      <w:r>
        <w:rPr>
          <w:rFonts w:hint="eastAsia" w:ascii="仿宋" w:hAnsi="仿宋" w:eastAsia="仿宋" w:cs="仿宋"/>
          <w:sz w:val="32"/>
          <w:szCs w:val="32"/>
          <w:highlight w:val="none"/>
        </w:rPr>
        <w:t>一般</w:t>
      </w:r>
      <w:r>
        <w:rPr>
          <w:rFonts w:hint="eastAsia" w:ascii="仿宋" w:hAnsi="仿宋" w:eastAsia="仿宋" w:cs="仿宋"/>
          <w:kern w:val="0"/>
          <w:sz w:val="32"/>
          <w:szCs w:val="32"/>
          <w:highlight w:val="none"/>
        </w:rPr>
        <w:t>公共预算财政拨款支出决算情况。</w:t>
      </w:r>
    </w:p>
    <w:p>
      <w:pPr>
        <w:autoSpaceDE w:val="0"/>
        <w:autoSpaceDN w:val="0"/>
        <w:adjustRightInd w:val="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三、20</w:t>
      </w:r>
      <w:r>
        <w:rPr>
          <w:rFonts w:hint="eastAsia" w:ascii="仿宋" w:hAnsi="仿宋" w:eastAsia="仿宋" w:cs="仿宋"/>
          <w:kern w:val="0"/>
          <w:sz w:val="32"/>
          <w:szCs w:val="32"/>
          <w:highlight w:val="none"/>
          <w:lang w:val="en-US" w:eastAsia="zh-CN"/>
        </w:rPr>
        <w:t>22</w:t>
      </w:r>
      <w:r>
        <w:rPr>
          <w:rFonts w:hint="eastAsia" w:ascii="仿宋" w:hAnsi="仿宋" w:eastAsia="仿宋" w:cs="仿宋"/>
          <w:kern w:val="0"/>
          <w:sz w:val="32"/>
          <w:szCs w:val="32"/>
          <w:highlight w:val="none"/>
        </w:rPr>
        <w:t>年度一般公共预算财政拨款基本支出决算情况说明。</w:t>
      </w:r>
    </w:p>
    <w:p>
      <w:pPr>
        <w:autoSpaceDE w:val="0"/>
        <w:autoSpaceDN w:val="0"/>
        <w:adjustRightInd w:val="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四、20</w:t>
      </w:r>
      <w:r>
        <w:rPr>
          <w:rFonts w:hint="eastAsia" w:ascii="仿宋" w:hAnsi="仿宋" w:eastAsia="仿宋" w:cs="仿宋"/>
          <w:kern w:val="0"/>
          <w:sz w:val="32"/>
          <w:szCs w:val="32"/>
          <w:highlight w:val="none"/>
          <w:lang w:val="en-US" w:eastAsia="zh-CN"/>
        </w:rPr>
        <w:t>22</w:t>
      </w:r>
      <w:r>
        <w:rPr>
          <w:rFonts w:hint="eastAsia" w:ascii="仿宋" w:hAnsi="仿宋" w:eastAsia="仿宋" w:cs="仿宋"/>
          <w:kern w:val="0"/>
          <w:sz w:val="32"/>
          <w:szCs w:val="32"/>
          <w:highlight w:val="none"/>
        </w:rPr>
        <w:t>年度政府性基金支出决算情况。</w:t>
      </w:r>
    </w:p>
    <w:p>
      <w:pPr>
        <w:autoSpaceDE w:val="0"/>
        <w:autoSpaceDN w:val="0"/>
        <w:adjustRightInd w:val="0"/>
        <w:jc w:val="left"/>
        <w:rPr>
          <w:rFonts w:hint="eastAsia" w:ascii="仿宋" w:hAnsi="仿宋" w:eastAsia="仿宋" w:cs="仿宋"/>
          <w:kern w:val="0"/>
          <w:sz w:val="32"/>
          <w:szCs w:val="32"/>
          <w:highlight w:val="none"/>
          <w:lang w:eastAsia="zh-CN"/>
        </w:rPr>
      </w:pPr>
      <w:r>
        <w:rPr>
          <w:rFonts w:hint="eastAsia" w:ascii="仿宋" w:hAnsi="仿宋" w:eastAsia="仿宋" w:cs="仿宋"/>
          <w:kern w:val="0"/>
          <w:sz w:val="32"/>
          <w:szCs w:val="32"/>
          <w:highlight w:val="none"/>
        </w:rPr>
        <w:t>五、20</w:t>
      </w:r>
      <w:r>
        <w:rPr>
          <w:rFonts w:hint="eastAsia" w:ascii="仿宋" w:hAnsi="仿宋" w:eastAsia="仿宋" w:cs="仿宋"/>
          <w:kern w:val="0"/>
          <w:sz w:val="32"/>
          <w:szCs w:val="32"/>
          <w:highlight w:val="none"/>
          <w:lang w:val="en-US" w:eastAsia="zh-CN"/>
        </w:rPr>
        <w:t>22</w:t>
      </w:r>
      <w:r>
        <w:rPr>
          <w:rFonts w:hint="eastAsia" w:ascii="仿宋" w:hAnsi="仿宋" w:eastAsia="仿宋" w:cs="仿宋"/>
          <w:kern w:val="0"/>
          <w:sz w:val="32"/>
          <w:szCs w:val="32"/>
          <w:highlight w:val="none"/>
        </w:rPr>
        <w:t>年度国有资本经营预算支出决算情况</w:t>
      </w:r>
      <w:r>
        <w:rPr>
          <w:rFonts w:hint="eastAsia" w:ascii="仿宋" w:hAnsi="仿宋" w:eastAsia="仿宋" w:cs="仿宋"/>
          <w:kern w:val="0"/>
          <w:sz w:val="32"/>
          <w:szCs w:val="32"/>
          <w:highlight w:val="none"/>
          <w:lang w:eastAsia="zh-CN"/>
        </w:rPr>
        <w:t>。</w:t>
      </w:r>
    </w:p>
    <w:p>
      <w:pPr>
        <w:autoSpaceDE w:val="0"/>
        <w:autoSpaceDN w:val="0"/>
        <w:adjustRightInd w:val="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六、财政拨款“三公”经费支出决算情况说明。</w:t>
      </w:r>
    </w:p>
    <w:p>
      <w:pPr>
        <w:autoSpaceDE w:val="0"/>
        <w:autoSpaceDN w:val="0"/>
        <w:adjustRightInd w:val="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环江毛南族自治县洛阳镇初级中学</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（一）宣传贯彻执行党和国家的教育方针、教育政策、教育法律和法规，贯彻执行上级教育行政部门门的各项规章制度。</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（二）在政府和上级教育主管部门的领导下，争取资金改善办学条件，为师生的学习和工作提供优美和谐的环境。</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三）根据县级人民政府制定的教育事业发展规划，结合实际制定并组织实施学校的教育事业发展规划。在政府的领导下，全面开展普及九年义务教育，组织教师动员适龄儿童、少年就近入学,扫除青壮年文盲，巩固提高“两基’成果。</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（四）积极办好初中教育，扶持民办教育，加强职业技术教育，促进各类教育协调发展。</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（五）按照干部和教师的职数、编制和管理权限，负责对本学校的干部和教师进行管理，制定切实可行的学校工作规章制度，以提高教育教学质量为目的，对干部职工的工作开展客观、公正的评价和考核 。</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（六）按照上级有关部门的规定，负责对学校的财务和项目建设进行管理，负责核算和发放教职工工资。</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（七）按照九年义务教育课程计划，开齐课程，开足课时，认真实施中学的教育教学管理，全面推进素质教育，全面提高教育教学质量。</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（八）组织开展学习的教育教学科研和教育教学改革，以科学的发展观和以人为本的管理理念注重学生的全面发展。</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（一）部门内设机构（处室）的数量、名称、职能等；</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我校设有个9处室，分别为：行政办公室、党支部、政教处、教务处、语言文字办公室、工会办公室、资助办公室、财务室、总务处。</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（二）部门所属单位的数量、名称、单位性质、单位职能等。</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我校有6个教研组，分别为：语文教研组、数学教研组、英语教研组、综合教研组、理化教研组、图音体教研组。</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2240" w:firstLineChars="7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环江毛南族自治县洛阳镇初级中学</w:t>
      </w:r>
      <w:r>
        <w:rPr>
          <w:rFonts w:hint="eastAsia" w:ascii="黑体" w:hAnsi="黑体" w:eastAsia="黑体" w:cs="黑体"/>
          <w:sz w:val="32"/>
          <w:szCs w:val="32"/>
          <w:highlight w:val="none"/>
        </w:rPr>
        <w:t xml:space="preserve"> 2022年度部门决算报表</w:t>
      </w:r>
    </w:p>
    <w:tbl>
      <w:tblPr>
        <w:tblStyle w:val="6"/>
        <w:tblW w:w="13940" w:type="dxa"/>
        <w:tblInd w:w="96" w:type="dxa"/>
        <w:tblLayout w:type="fixed"/>
        <w:tblCellMar>
          <w:top w:w="0" w:type="dxa"/>
          <w:left w:w="108" w:type="dxa"/>
          <w:bottom w:w="0" w:type="dxa"/>
          <w:right w:w="108" w:type="dxa"/>
        </w:tblCellMar>
      </w:tblPr>
      <w:tblGrid>
        <w:gridCol w:w="3351"/>
        <w:gridCol w:w="1585"/>
        <w:gridCol w:w="1915"/>
        <w:gridCol w:w="3520"/>
        <w:gridCol w:w="1667"/>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335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1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6851"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环江毛南族自治县洛阳镇初级中学</w:t>
            </w:r>
          </w:p>
        </w:tc>
        <w:tc>
          <w:tcPr>
            <w:tcW w:w="352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685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708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3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1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1515.20</w:t>
            </w:r>
          </w:p>
        </w:tc>
        <w:tc>
          <w:tcPr>
            <w:tcW w:w="3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15.25</w:t>
            </w:r>
          </w:p>
        </w:tc>
      </w:tr>
      <w:tr>
        <w:tblPrEx>
          <w:tblCellMar>
            <w:top w:w="0" w:type="dxa"/>
            <w:left w:w="108" w:type="dxa"/>
            <w:bottom w:w="0" w:type="dxa"/>
            <w:right w:w="108" w:type="dxa"/>
          </w:tblCellMar>
        </w:tblPrEx>
        <w:trPr>
          <w:trHeight w:val="334" w:hRule="atLeast"/>
        </w:trPr>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1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1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1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1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1147.45</w:t>
            </w:r>
          </w:p>
        </w:tc>
      </w:tr>
      <w:tr>
        <w:tblPrEx>
          <w:tblCellMar>
            <w:top w:w="0" w:type="dxa"/>
            <w:left w:w="108" w:type="dxa"/>
            <w:bottom w:w="0" w:type="dxa"/>
            <w:right w:w="108" w:type="dxa"/>
          </w:tblCellMar>
        </w:tblPrEx>
        <w:trPr>
          <w:trHeight w:val="334" w:hRule="atLeast"/>
        </w:trPr>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1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1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1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109.48</w:t>
            </w:r>
          </w:p>
        </w:tc>
      </w:tr>
      <w:tr>
        <w:tblPrEx>
          <w:tblCellMar>
            <w:top w:w="0" w:type="dxa"/>
            <w:left w:w="108" w:type="dxa"/>
            <w:bottom w:w="0" w:type="dxa"/>
            <w:right w:w="108" w:type="dxa"/>
          </w:tblCellMar>
        </w:tblPrEx>
        <w:trPr>
          <w:trHeight w:val="334" w:hRule="atLeast"/>
        </w:trPr>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1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1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1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1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1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1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1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1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1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1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1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81.97</w:t>
            </w:r>
          </w:p>
        </w:tc>
      </w:tr>
      <w:tr>
        <w:tblPrEx>
          <w:tblCellMar>
            <w:top w:w="0" w:type="dxa"/>
            <w:left w:w="108" w:type="dxa"/>
            <w:bottom w:w="0" w:type="dxa"/>
            <w:right w:w="108" w:type="dxa"/>
          </w:tblCellMar>
        </w:tblPrEx>
        <w:trPr>
          <w:trHeight w:val="334" w:hRule="atLeast"/>
        </w:trPr>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1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1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1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1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161.04</w:t>
            </w:r>
          </w:p>
        </w:tc>
      </w:tr>
      <w:tr>
        <w:tblPrEx>
          <w:tblCellMar>
            <w:top w:w="0" w:type="dxa"/>
            <w:left w:w="108" w:type="dxa"/>
            <w:bottom w:w="0" w:type="dxa"/>
            <w:right w:w="108" w:type="dxa"/>
          </w:tblCellMar>
        </w:tblPrEx>
        <w:trPr>
          <w:trHeight w:val="334" w:hRule="atLeast"/>
        </w:trPr>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1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1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1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1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1515.20</w:t>
            </w:r>
          </w:p>
        </w:tc>
        <w:tc>
          <w:tcPr>
            <w:tcW w:w="3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1515.20</w:t>
            </w:r>
          </w:p>
        </w:tc>
      </w:tr>
      <w:tr>
        <w:tblPrEx>
          <w:tblCellMar>
            <w:top w:w="0" w:type="dxa"/>
            <w:left w:w="108" w:type="dxa"/>
            <w:bottom w:w="0" w:type="dxa"/>
            <w:right w:w="108" w:type="dxa"/>
          </w:tblCellMar>
        </w:tblPrEx>
        <w:trPr>
          <w:trHeight w:val="334" w:hRule="atLeast"/>
        </w:trPr>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1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1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1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1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1515.20</w:t>
            </w:r>
          </w:p>
        </w:tc>
        <w:tc>
          <w:tcPr>
            <w:tcW w:w="3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1515.20</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1337"/>
        <w:gridCol w:w="1360"/>
        <w:gridCol w:w="1440"/>
        <w:gridCol w:w="1160"/>
        <w:gridCol w:w="1360"/>
        <w:gridCol w:w="1340"/>
        <w:gridCol w:w="126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3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52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757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环江毛南族自治县洛阳镇初级中学</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4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52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477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3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3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3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87"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87"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87"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477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477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1515.20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1515.20</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31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15.25</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15.25</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31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15.25</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15.25</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31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15.25</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15.25</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31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1147.45</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1147.45</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31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1147.27</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1147.27</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2050203</w:t>
            </w:r>
          </w:p>
        </w:tc>
        <w:tc>
          <w:tcPr>
            <w:tcW w:w="31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初中教育</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1124.10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1124.10</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31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23.17</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23.17</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w:t>
            </w:r>
          </w:p>
        </w:tc>
        <w:tc>
          <w:tcPr>
            <w:tcW w:w="31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教育费附加安排的支出</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0.18</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0.18</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2050999</w:t>
            </w:r>
          </w:p>
        </w:tc>
        <w:tc>
          <w:tcPr>
            <w:tcW w:w="31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其他教育费附加安排的支出</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0.18</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0.18</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31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109.48</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109.48</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31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109.48</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109.48</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31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109.48</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109.48</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31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81.97</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81.97</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31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81.97</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81.97</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31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81.97</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81.97</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31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161.04</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161.04</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31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161.04</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161.04</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31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161.04</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161.04</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1"/>
        <w:gridCol w:w="3312"/>
        <w:gridCol w:w="1640"/>
        <w:gridCol w:w="1760"/>
        <w:gridCol w:w="1640"/>
        <w:gridCol w:w="1560"/>
        <w:gridCol w:w="1100"/>
        <w:gridCol w:w="1349"/>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31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4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4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49"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9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环江毛南族自治县洛阳镇初级中学</w:t>
            </w:r>
          </w:p>
        </w:tc>
        <w:tc>
          <w:tcPr>
            <w:tcW w:w="1560"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0"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49"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rPr>
          <w:trHeight w:val="322" w:hRule="atLeast"/>
        </w:trPr>
        <w:tc>
          <w:tcPr>
            <w:tcW w:w="493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1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3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313"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313"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313"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trHeight w:val="322" w:hRule="atLeast"/>
        </w:trPr>
        <w:tc>
          <w:tcPr>
            <w:tcW w:w="493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493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1515.20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1371.56</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143.63</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33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15.25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15.25</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33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15.25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15.25</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33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15.25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15.25</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33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1147.45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1070.81</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76.65</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33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1147.27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1070.81</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76.47</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2050203</w:t>
            </w:r>
          </w:p>
        </w:tc>
        <w:tc>
          <w:tcPr>
            <w:tcW w:w="33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初中教育</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1124.10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1070.81</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53.30</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33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23.17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23.17</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w:t>
            </w:r>
          </w:p>
        </w:tc>
        <w:tc>
          <w:tcPr>
            <w:tcW w:w="33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教育费附加安排的支出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0.18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0.18</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2050999</w:t>
            </w:r>
          </w:p>
        </w:tc>
        <w:tc>
          <w:tcPr>
            <w:tcW w:w="33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其他教育费附加安排的支出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0.18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0.18</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33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109.48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109.48</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33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109.48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109.48</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33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109.48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109.48</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33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81.97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81.97</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33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81.97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81.97</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33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81.97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81.97</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33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161.04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94.06</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66.99</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33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161.04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94.06</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66.99</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33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161.04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94.06</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66.99</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5" w:type="pct"/>
        <w:tblInd w:w="0" w:type="dxa"/>
        <w:tblLayout w:type="fixed"/>
        <w:tblCellMar>
          <w:top w:w="0" w:type="dxa"/>
          <w:left w:w="108" w:type="dxa"/>
          <w:bottom w:w="0" w:type="dxa"/>
          <w:right w:w="108" w:type="dxa"/>
        </w:tblCellMar>
      </w:tblPr>
      <w:tblGrid>
        <w:gridCol w:w="3407"/>
        <w:gridCol w:w="700"/>
        <w:gridCol w:w="1020"/>
        <w:gridCol w:w="3799"/>
        <w:gridCol w:w="680"/>
        <w:gridCol w:w="1000"/>
        <w:gridCol w:w="1260"/>
        <w:gridCol w:w="1040"/>
        <w:gridCol w:w="1170"/>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121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4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5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4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15"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767"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环江毛南族自治县洛阳镇初级中学</w:t>
            </w:r>
          </w:p>
        </w:tc>
        <w:tc>
          <w:tcPr>
            <w:tcW w:w="447"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15"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82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178"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121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4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6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134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44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3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41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121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6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4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5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6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1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12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12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1515.20</w:t>
            </w:r>
          </w:p>
        </w:tc>
        <w:tc>
          <w:tcPr>
            <w:tcW w:w="1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15.25</w:t>
            </w:r>
          </w:p>
        </w:tc>
        <w:tc>
          <w:tcPr>
            <w:tcW w:w="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15.25</w:t>
            </w: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2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2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2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2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1147.45</w:t>
            </w:r>
          </w:p>
        </w:tc>
        <w:tc>
          <w:tcPr>
            <w:tcW w:w="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1147.45</w:t>
            </w: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2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268" w:hRule="atLeast"/>
        </w:trPr>
        <w:tc>
          <w:tcPr>
            <w:tcW w:w="12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2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109.48</w:t>
            </w:r>
          </w:p>
        </w:tc>
        <w:tc>
          <w:tcPr>
            <w:tcW w:w="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109.48</w:t>
            </w: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2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2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2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2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2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2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2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2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2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2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2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81.97</w:t>
            </w:r>
          </w:p>
        </w:tc>
        <w:tc>
          <w:tcPr>
            <w:tcW w:w="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81.97</w:t>
            </w: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2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2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2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2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161.04</w:t>
            </w:r>
          </w:p>
        </w:tc>
        <w:tc>
          <w:tcPr>
            <w:tcW w:w="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161.04</w:t>
            </w: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2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2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2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2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1515.20</w:t>
            </w:r>
          </w:p>
        </w:tc>
        <w:tc>
          <w:tcPr>
            <w:tcW w:w="1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1515.20</w:t>
            </w:r>
          </w:p>
        </w:tc>
        <w:tc>
          <w:tcPr>
            <w:tcW w:w="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1515.20</w:t>
            </w: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2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2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2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2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2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1515.20</w:t>
            </w:r>
          </w:p>
        </w:tc>
        <w:tc>
          <w:tcPr>
            <w:tcW w:w="1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1515.20</w:t>
            </w:r>
          </w:p>
        </w:tc>
        <w:tc>
          <w:tcPr>
            <w:tcW w:w="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1515.20</w:t>
            </w: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584"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415"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环江毛南族自治县洛阳镇初级中学</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1515.20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1371.56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143.63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15.25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15.25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15.25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15.25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15.25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15.25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1147.45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1070.81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76.65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1147.27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1070.81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76.47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初中教育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1124.10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1070.81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53.30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23.17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23.17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教育费附加安排的支出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0.18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0.18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其他教育费附加安排的支出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0.18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0.18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109.48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109.48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109.48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109.48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109.48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109.48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81.97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81.97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81.97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81.97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81.97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81.97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161.04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94.06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66.99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161.04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94.06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66.99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161.04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94.06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66.99</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011"/>
        <w:gridCol w:w="2520"/>
        <w:gridCol w:w="1053"/>
        <w:gridCol w:w="1280"/>
        <w:gridCol w:w="2647"/>
        <w:gridCol w:w="920"/>
        <w:gridCol w:w="1113"/>
        <w:gridCol w:w="2807"/>
        <w:gridCol w:w="64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01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1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5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环江毛南族自治县洛阳镇初级中学</w:t>
            </w:r>
          </w:p>
        </w:tc>
        <w:tc>
          <w:tcPr>
            <w:tcW w:w="92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1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0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6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9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8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6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6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54" w:hRule="atLeast"/>
        </w:trPr>
        <w:tc>
          <w:tcPr>
            <w:tcW w:w="1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3"/>
            <w:bookmarkStart w:id="1" w:name="OLE_LINK4"/>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1087.17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6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32.49</w:t>
            </w:r>
          </w:p>
        </w:tc>
        <w:tc>
          <w:tcPr>
            <w:tcW w:w="11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42" w:hRule="atLeast"/>
        </w:trPr>
        <w:tc>
          <w:tcPr>
            <w:tcW w:w="1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459.41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6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0.05</w:t>
            </w:r>
          </w:p>
        </w:tc>
        <w:tc>
          <w:tcPr>
            <w:tcW w:w="11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34" w:hRule="atLeast"/>
        </w:trPr>
        <w:tc>
          <w:tcPr>
            <w:tcW w:w="1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64.89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6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34" w:hRule="atLeast"/>
        </w:trPr>
        <w:tc>
          <w:tcPr>
            <w:tcW w:w="1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138.58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6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0.96</w:t>
            </w:r>
          </w:p>
        </w:tc>
      </w:tr>
      <w:tr>
        <w:tblPrEx>
          <w:tblCellMar>
            <w:top w:w="0" w:type="dxa"/>
            <w:left w:w="108" w:type="dxa"/>
            <w:bottom w:w="0" w:type="dxa"/>
            <w:right w:w="108" w:type="dxa"/>
          </w:tblCellMar>
        </w:tblPrEx>
        <w:trPr>
          <w:trHeight w:val="294" w:hRule="atLeast"/>
        </w:trPr>
        <w:tc>
          <w:tcPr>
            <w:tcW w:w="1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6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254" w:hRule="atLeast"/>
        </w:trPr>
        <w:tc>
          <w:tcPr>
            <w:tcW w:w="1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174.26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6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3.83</w:t>
            </w:r>
          </w:p>
        </w:tc>
        <w:tc>
          <w:tcPr>
            <w:tcW w:w="11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0.66</w:t>
            </w:r>
          </w:p>
        </w:tc>
      </w:tr>
      <w:tr>
        <w:tblPrEx>
          <w:tblCellMar>
            <w:top w:w="0" w:type="dxa"/>
            <w:left w:w="108" w:type="dxa"/>
            <w:bottom w:w="0" w:type="dxa"/>
            <w:right w:w="108" w:type="dxa"/>
          </w:tblCellMar>
        </w:tblPrEx>
        <w:trPr>
          <w:trHeight w:val="624" w:hRule="atLeast"/>
        </w:trPr>
        <w:tc>
          <w:tcPr>
            <w:tcW w:w="1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109.48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6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8.10</w:t>
            </w:r>
          </w:p>
        </w:tc>
        <w:tc>
          <w:tcPr>
            <w:tcW w:w="11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0.30</w:t>
            </w:r>
          </w:p>
        </w:tc>
      </w:tr>
      <w:tr>
        <w:tblPrEx>
          <w:tblCellMar>
            <w:top w:w="0" w:type="dxa"/>
            <w:left w:w="108" w:type="dxa"/>
            <w:bottom w:w="0" w:type="dxa"/>
            <w:right w:w="108" w:type="dxa"/>
          </w:tblCellMar>
        </w:tblPrEx>
        <w:trPr>
          <w:trHeight w:val="364" w:hRule="atLeast"/>
        </w:trPr>
        <w:tc>
          <w:tcPr>
            <w:tcW w:w="1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6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0.54</w:t>
            </w:r>
          </w:p>
        </w:tc>
        <w:tc>
          <w:tcPr>
            <w:tcW w:w="11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52.33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6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6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6.25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6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1.97</w:t>
            </w:r>
          </w:p>
        </w:tc>
        <w:tc>
          <w:tcPr>
            <w:tcW w:w="11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81.97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6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6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0.37</w:t>
            </w:r>
          </w:p>
        </w:tc>
        <w:tc>
          <w:tcPr>
            <w:tcW w:w="11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6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250.95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6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6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6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6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12.14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6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52.82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6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6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6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182.55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6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15.25</w:t>
            </w:r>
          </w:p>
        </w:tc>
        <w:tc>
          <w:tcPr>
            <w:tcW w:w="11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6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6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6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3.44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6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434" w:hRule="atLeast"/>
        </w:trPr>
        <w:tc>
          <w:tcPr>
            <w:tcW w:w="1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6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2.37</w:t>
            </w:r>
          </w:p>
        </w:tc>
        <w:tc>
          <w:tcPr>
            <w:tcW w:w="11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1338.12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6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33.45</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环江毛南族自治县洛阳镇初级中学</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说明“本部门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环江毛南族自治县洛阳镇初级中学</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说明“本部门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环江毛南族自治县洛阳镇初级中学</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000000"/>
                <w:kern w:val="0"/>
                <w:sz w:val="22"/>
                <w:szCs w:val="22"/>
                <w:highlight w:val="none"/>
                <w:lang w:bidi="ar"/>
              </w:rPr>
              <w:t>注：本表反映</w:t>
            </w:r>
            <w:r>
              <w:rPr>
                <w:rFonts w:hint="eastAsia" w:ascii="宋体" w:hAnsi="宋体" w:eastAsia="宋体" w:cs="宋体"/>
                <w:color w:val="auto"/>
                <w:kern w:val="0"/>
                <w:sz w:val="22"/>
                <w:szCs w:val="22"/>
                <w:highlight w:val="none"/>
                <w:lang w:bidi="ar"/>
              </w:rPr>
              <w:t>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说明“本部门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年度没有财政拨款“三公”经费收入，也没有财政拨款“三公”经费安排的支出，故本表无数据”。</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环江毛南族自治县洛阳镇初级中学</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1515.20</w:t>
      </w:r>
      <w:r>
        <w:rPr>
          <w:rFonts w:hint="eastAsia" w:ascii="仿宋" w:hAnsi="仿宋" w:eastAsia="仿宋" w:cs="仿宋"/>
          <w:sz w:val="32"/>
          <w:szCs w:val="32"/>
          <w:highlight w:val="none"/>
        </w:rPr>
        <w:t>万元，较2021年度决算数</w:t>
      </w:r>
      <w:r>
        <w:rPr>
          <w:rFonts w:ascii="仿宋" w:hAnsi="仿宋" w:eastAsia="仿宋" w:cs="仿宋"/>
          <w:sz w:val="32"/>
          <w:u w:color="auto"/>
        </w:rPr>
        <w:t>减少294.32</w:t>
      </w:r>
      <w:r>
        <w:rPr>
          <w:rFonts w:hint="eastAsia" w:ascii="仿宋" w:hAnsi="仿宋" w:eastAsia="仿宋" w:cs="仿宋"/>
          <w:sz w:val="32"/>
          <w:szCs w:val="32"/>
          <w:highlight w:val="none"/>
        </w:rPr>
        <w:t>万元，</w:t>
      </w:r>
      <w:r>
        <w:rPr>
          <w:rFonts w:ascii="仿宋" w:hAnsi="仿宋" w:eastAsia="仿宋" w:cs="仿宋"/>
          <w:sz w:val="32"/>
          <w:u w:color="auto"/>
        </w:rPr>
        <w:t>下降16.27%</w:t>
      </w:r>
      <w:r>
        <w:rPr>
          <w:rFonts w:hint="eastAsia" w:ascii="仿宋" w:hAnsi="仿宋" w:eastAsia="仿宋" w:cs="仿宋"/>
          <w:sz w:val="32"/>
          <w:szCs w:val="32"/>
          <w:highlight w:val="none"/>
        </w:rPr>
        <w:t>，其中本年收入</w:t>
      </w:r>
      <w:r>
        <w:rPr>
          <w:rFonts w:ascii="仿宋" w:hAnsi="仿宋" w:eastAsia="仿宋" w:cs="仿宋"/>
          <w:sz w:val="32"/>
          <w:u w:color="auto"/>
        </w:rPr>
        <w:t>1515.20</w:t>
      </w:r>
      <w:r>
        <w:rPr>
          <w:rFonts w:hint="eastAsia" w:ascii="仿宋" w:hAnsi="仿宋" w:eastAsia="仿宋" w:cs="仿宋"/>
          <w:sz w:val="32"/>
          <w:szCs w:val="32"/>
          <w:highlight w:val="none"/>
        </w:rPr>
        <w:t>万元。收入具体情况如下。</w:t>
      </w:r>
    </w:p>
    <w:p>
      <w:pPr>
        <w:ind w:firstLine="640" w:firstLineChars="200"/>
        <w:jc w:val="left"/>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1515.20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增加6.98</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增长0.46%</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000000" w:themeColor="text1"/>
          <w:sz w:val="32"/>
          <w:szCs w:val="32"/>
          <w:lang w:bidi="ar"/>
          <w14:textFill>
            <w14:solidFill>
              <w14:schemeClr w14:val="tx1"/>
            </w14:solidFill>
          </w14:textFill>
        </w:rPr>
        <w:t>2</w:t>
      </w:r>
      <w:r>
        <w:rPr>
          <w:rFonts w:ascii="仿宋" w:hAnsi="仿宋" w:eastAsia="仿宋" w:cs="仿宋"/>
          <w:color w:val="000000" w:themeColor="text1"/>
          <w:sz w:val="32"/>
          <w:szCs w:val="32"/>
          <w:lang w:bidi="ar"/>
          <w14:textFill>
            <w14:solidFill>
              <w14:schemeClr w14:val="tx1"/>
            </w14:solidFill>
          </w14:textFill>
        </w:rPr>
        <w:t>022年</w:t>
      </w:r>
      <w:r>
        <w:rPr>
          <w:rFonts w:hint="eastAsia" w:ascii="仿宋" w:hAnsi="仿宋" w:eastAsia="仿宋" w:cs="仿宋"/>
          <w:color w:val="000000" w:themeColor="text1"/>
          <w:sz w:val="32"/>
          <w:szCs w:val="32"/>
          <w:lang w:bidi="ar"/>
          <w14:textFill>
            <w14:solidFill>
              <w14:schemeClr w14:val="tx1"/>
            </w14:solidFill>
          </w14:textFill>
        </w:rPr>
        <w:t>9月有7位新进特岗教师入职。</w:t>
      </w:r>
    </w:p>
    <w:p>
      <w:pPr>
        <w:ind w:firstLine="640" w:firstLineChars="200"/>
        <w:jc w:val="left"/>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sz w:val="32"/>
          <w:szCs w:val="32"/>
          <w:lang w:bidi="ar"/>
          <w14:textFill>
            <w14:solidFill>
              <w14:schemeClr w14:val="tx1"/>
            </w14:solidFill>
          </w14:textFill>
        </w:rPr>
        <w:t>主要原因：本单位没有政府性基金预算财政拨款收入。</w:t>
      </w:r>
      <w:r>
        <w:rPr>
          <w:rFonts w:ascii="仿宋" w:hAnsi="仿宋" w:eastAsia="仿宋" w:cs="Times New Roman"/>
          <w:color w:val="000000" w:themeColor="text1"/>
          <w:sz w:val="32"/>
          <w:szCs w:val="32"/>
          <w14:textFill>
            <w14:solidFill>
              <w14:schemeClr w14:val="tx1"/>
            </w14:solidFill>
          </w14:textFill>
        </w:rPr>
        <w:t xml:space="preserve"> </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sz w:val="32"/>
          <w:szCs w:val="32"/>
          <w:lang w:bidi="ar"/>
          <w14:textFill>
            <w14:solidFill>
              <w14:schemeClr w14:val="tx1"/>
            </w14:solidFill>
          </w14:textFill>
        </w:rPr>
        <w:t>主要原因是：本单位没有国有资本经营预算财政拨款收入。</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bidi="ar"/>
          <w14:textFill>
            <w14:solidFill>
              <w14:schemeClr w14:val="tx1"/>
            </w14:solidFill>
          </w14:textFill>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bidi="ar"/>
          <w14:textFill>
            <w14:solidFill>
              <w14:schemeClr w14:val="tx1"/>
            </w14:solidFill>
          </w14:textFill>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减少301.30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1515.20</w:t>
      </w:r>
      <w:r>
        <w:rPr>
          <w:rFonts w:hint="eastAsia" w:ascii="仿宋" w:hAnsi="仿宋" w:eastAsia="仿宋" w:cs="仿宋"/>
          <w:sz w:val="32"/>
          <w:szCs w:val="32"/>
          <w:highlight w:val="none"/>
        </w:rPr>
        <w:t>万元，其中本年支出</w:t>
      </w:r>
      <w:r>
        <w:rPr>
          <w:rFonts w:ascii="仿宋" w:hAnsi="仿宋" w:eastAsia="仿宋" w:cs="仿宋"/>
          <w:sz w:val="32"/>
          <w:u w:color="auto"/>
        </w:rPr>
        <w:t>1515.20</w:t>
      </w:r>
      <w:r>
        <w:rPr>
          <w:rFonts w:hint="eastAsia" w:ascii="仿宋" w:hAnsi="仿宋" w:eastAsia="仿宋" w:cs="仿宋"/>
          <w:sz w:val="32"/>
          <w:szCs w:val="32"/>
          <w:highlight w:val="none"/>
        </w:rPr>
        <w:t>万元，较2021年度决算数</w:t>
      </w:r>
      <w:r>
        <w:rPr>
          <w:rFonts w:ascii="仿宋" w:hAnsi="仿宋" w:eastAsia="仿宋" w:cs="仿宋"/>
          <w:sz w:val="32"/>
          <w:u w:color="auto"/>
        </w:rPr>
        <w:t>减少294.32</w:t>
      </w:r>
      <w:r>
        <w:rPr>
          <w:rFonts w:hint="eastAsia" w:ascii="仿宋" w:hAnsi="仿宋" w:eastAsia="仿宋" w:cs="仿宋"/>
          <w:sz w:val="32"/>
          <w:szCs w:val="32"/>
          <w:highlight w:val="none"/>
        </w:rPr>
        <w:t>万元，</w:t>
      </w:r>
      <w:r>
        <w:rPr>
          <w:rFonts w:ascii="仿宋" w:hAnsi="仿宋" w:eastAsia="仿宋" w:cs="仿宋"/>
          <w:sz w:val="32"/>
          <w:u w:color="auto"/>
        </w:rPr>
        <w:t>下降16.27%</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15.25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教师工会经费活动支出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增加15.25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增长100%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val="en-US" w:eastAsia="zh-CN"/>
          <w14:textFill>
            <w14:solidFill>
              <w14:schemeClr w14:val="tx1"/>
            </w14:solidFill>
          </w14:textFill>
        </w:rPr>
        <w:t>有新增教师，教师晋岗，工资提高。</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1147.45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人员基本工资，商品服务支出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减少258.01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下降18.36%</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主要原因是：教师调入县城、退休教师增加。</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109.48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单位基本养老缴费和社保费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减少6.16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下降5.33%</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bookmarkStart w:id="2" w:name="_Hlk151050303"/>
      <w:r>
        <w:rPr>
          <w:rFonts w:hint="eastAsia" w:ascii="仿宋" w:hAnsi="仿宋" w:eastAsia="仿宋" w:cs="仿宋"/>
          <w:color w:val="000000" w:themeColor="text1"/>
          <w:sz w:val="32"/>
          <w:szCs w:val="32"/>
          <w:lang w:bidi="ar"/>
          <w14:textFill>
            <w14:solidFill>
              <w14:schemeClr w14:val="tx1"/>
            </w14:solidFill>
          </w14:textFill>
        </w:rPr>
        <w:t>教师调出到县城学校，</w:t>
      </w:r>
      <w:r>
        <w:rPr>
          <w:rFonts w:hint="eastAsia" w:ascii="仿宋" w:hAnsi="仿宋" w:eastAsia="仿宋" w:cs="仿宋"/>
          <w:color w:val="000000" w:themeColor="text1"/>
          <w:sz w:val="32"/>
          <w:szCs w:val="32"/>
          <w:lang w:val="en-US" w:eastAsia="zh-CN" w:bidi="ar"/>
          <w14:textFill>
            <w14:solidFill>
              <w14:schemeClr w14:val="tx1"/>
            </w14:solidFill>
          </w14:textFill>
        </w:rPr>
        <w:t>有退休、离职教师</w:t>
      </w:r>
      <w:r>
        <w:rPr>
          <w:rFonts w:hint="eastAsia" w:ascii="仿宋" w:hAnsi="仿宋" w:eastAsia="仿宋" w:cs="仿宋"/>
          <w:color w:val="000000" w:themeColor="text1"/>
          <w:sz w:val="32"/>
          <w:szCs w:val="32"/>
          <w:lang w:bidi="ar"/>
          <w14:textFill>
            <w14:solidFill>
              <w14:schemeClr w14:val="tx1"/>
            </w14:solidFill>
          </w14:textFill>
        </w:rPr>
        <w:t>。</w:t>
      </w:r>
      <w:bookmarkEnd w:id="2"/>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lang w:bidi="ar"/>
          <w14:textFill>
            <w14:solidFill>
              <w14:schemeClr w14:val="tx1"/>
            </w14:solidFill>
          </w14:textFill>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81.97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rPr>
        <w:t>住房公积金缴费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增加6.45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增长8.54%</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val="en-US" w:eastAsia="zh-CN" w:bidi="ar"/>
          <w14:textFill>
            <w14:solidFill>
              <w14:schemeClr w14:val="tx1"/>
            </w14:solidFill>
          </w14:textFill>
        </w:rPr>
        <w:t>2022年有7位新进特岗教师</w:t>
      </w:r>
      <w:r>
        <w:rPr>
          <w:rFonts w:hint="eastAsia" w:ascii="仿宋" w:hAnsi="仿宋" w:eastAsia="仿宋" w:cs="仿宋"/>
          <w:color w:val="000000" w:themeColor="text1"/>
          <w:sz w:val="32"/>
          <w:szCs w:val="32"/>
          <w:lang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161.04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lang w:bidi="ar"/>
          <w14:textFill>
            <w14:solidFill>
              <w14:schemeClr w14:val="tx1"/>
            </w14:solidFill>
          </w14:textFill>
        </w:rPr>
        <w:t>主要用于人员工资福利</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减少51.86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下降24.36%</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val="en-US" w:eastAsia="zh-CN" w:bidi="ar"/>
          <w14:textFill>
            <w14:solidFill>
              <w14:schemeClr w14:val="tx1"/>
            </w14:solidFill>
          </w14:textFill>
        </w:rPr>
        <w:t>有老师调出、离职、有退休人员。</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结余分配0.00万元，为事业单位按规定提取的专用结余、缴纳所得税和转入非财政拨款结余等。较202</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年决算0.00万元</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增加0.00万元，增长0%，</w:t>
      </w:r>
      <w:r>
        <w:rPr>
          <w:rFonts w:hint="eastAsia" w:ascii="仿宋" w:hAnsi="仿宋" w:eastAsia="仿宋" w:cs="仿宋"/>
          <w:color w:val="000000" w:themeColor="text1"/>
          <w:sz w:val="31"/>
          <w:szCs w:val="31"/>
          <w:shd w:val="clear" w:color="auto" w:fill="FFFFFF"/>
          <w14:textFill>
            <w14:solidFill>
              <w14:schemeClr w14:val="tx1"/>
            </w14:solidFill>
          </w14:textFill>
        </w:rPr>
        <w:t>主要原因是</w:t>
      </w:r>
      <w:r>
        <w:rPr>
          <w:rFonts w:hint="eastAsia" w:ascii="仿宋" w:hAnsi="仿宋" w:eastAsia="仿宋" w:cs="仿宋"/>
          <w:color w:val="000000" w:themeColor="text1"/>
          <w:sz w:val="32"/>
          <w:szCs w:val="32"/>
          <w:lang w:bidi="ar"/>
          <w14:textFill>
            <w14:solidFill>
              <w14:schemeClr w14:val="tx1"/>
            </w14:solidFill>
          </w14:textFill>
        </w:rPr>
        <w:t>：部分项目</w:t>
      </w:r>
      <w:bookmarkStart w:id="3" w:name="_Hlk151050670"/>
      <w:r>
        <w:rPr>
          <w:rFonts w:hint="eastAsia" w:ascii="仿宋" w:hAnsi="仿宋" w:eastAsia="仿宋" w:cs="仿宋"/>
          <w:color w:val="000000" w:themeColor="text1"/>
          <w:sz w:val="32"/>
          <w:szCs w:val="32"/>
          <w:lang w:bidi="ar"/>
          <w14:textFill>
            <w14:solidFill>
              <w14:schemeClr w14:val="tx1"/>
            </w14:solidFill>
          </w14:textFill>
        </w:rPr>
        <w:t>已在本年执行完毕，不需要结转至下年继续执行。</w:t>
      </w:r>
      <w:bookmarkEnd w:id="3"/>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主要原因是：本单位无结转结余。</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4" w:name="OLE_LINK1"/>
      <w:r>
        <w:rPr>
          <w:rFonts w:hint="eastAsia" w:ascii="黑体" w:hAnsi="黑体" w:eastAsia="黑体" w:cs="黑体"/>
          <w:sz w:val="32"/>
          <w:szCs w:val="32"/>
          <w:highlight w:val="none"/>
        </w:rPr>
        <w:t>一般公共预算财政拨款支出决算情况</w:t>
      </w:r>
      <w:bookmarkEnd w:id="4"/>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环江毛南族自治县洛阳镇初级中学2022年度一般公共预算财政拨款支出</w:t>
      </w:r>
      <w:r>
        <w:rPr>
          <w:rFonts w:ascii="仿宋" w:hAnsi="仿宋" w:eastAsia="仿宋" w:cs="仿宋"/>
          <w:sz w:val="32"/>
          <w:u w:color="auto"/>
        </w:rPr>
        <w:t>1515.20</w:t>
      </w:r>
      <w:r>
        <w:rPr>
          <w:rFonts w:hint="eastAsia" w:ascii="仿宋" w:hAnsi="仿宋" w:eastAsia="仿宋" w:cs="仿宋"/>
          <w:sz w:val="32"/>
          <w:szCs w:val="32"/>
          <w:highlight w:val="none"/>
        </w:rPr>
        <w:t>万元，较2021年度决算数</w:t>
      </w:r>
      <w:r>
        <w:rPr>
          <w:rFonts w:ascii="仿宋" w:hAnsi="仿宋" w:eastAsia="仿宋" w:cs="仿宋"/>
          <w:sz w:val="32"/>
          <w:u w:color="auto"/>
        </w:rPr>
        <w:t>减少294.32</w:t>
      </w:r>
      <w:r>
        <w:rPr>
          <w:rFonts w:hint="eastAsia" w:ascii="仿宋" w:hAnsi="仿宋" w:eastAsia="仿宋" w:cs="仿宋"/>
          <w:sz w:val="32"/>
          <w:szCs w:val="32"/>
          <w:highlight w:val="none"/>
        </w:rPr>
        <w:t>万元，</w:t>
      </w:r>
      <w:r>
        <w:rPr>
          <w:rFonts w:ascii="仿宋" w:hAnsi="仿宋" w:eastAsia="仿宋" w:cs="仿宋"/>
          <w:sz w:val="32"/>
          <w:u w:color="auto"/>
        </w:rPr>
        <w:t>下降16.27%</w:t>
      </w:r>
      <w:r>
        <w:rPr>
          <w:rFonts w:hint="eastAsia" w:ascii="仿宋" w:hAnsi="仿宋" w:eastAsia="仿宋" w:cs="仿宋"/>
          <w:sz w:val="32"/>
          <w:szCs w:val="32"/>
          <w:highlight w:val="none"/>
        </w:rPr>
        <w:t>。其中：基本支出</w:t>
      </w:r>
      <w:r>
        <w:rPr>
          <w:rFonts w:ascii="仿宋" w:hAnsi="仿宋" w:eastAsia="仿宋" w:cs="仿宋"/>
          <w:sz w:val="32"/>
          <w:u w:color="auto"/>
        </w:rPr>
        <w:t>1371.56</w:t>
      </w:r>
      <w:r>
        <w:rPr>
          <w:rFonts w:hint="eastAsia" w:ascii="仿宋" w:hAnsi="仿宋" w:eastAsia="仿宋" w:cs="仿宋"/>
          <w:sz w:val="32"/>
          <w:szCs w:val="32"/>
          <w:highlight w:val="none"/>
        </w:rPr>
        <w:t>万元，项目支出</w:t>
      </w:r>
      <w:r>
        <w:rPr>
          <w:rFonts w:ascii="仿宋" w:hAnsi="仿宋" w:eastAsia="仿宋" w:cs="仿宋"/>
          <w:sz w:val="32"/>
          <w:u w:color="auto"/>
        </w:rPr>
        <w:t>143.63</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环江毛南族自治县洛阳镇初级中学2022 年度一般公共预算财政拨款支出年初预算为</w:t>
      </w:r>
      <w:r>
        <w:rPr>
          <w:rFonts w:ascii="仿宋" w:hAnsi="仿宋" w:eastAsia="仿宋" w:cs="仿宋"/>
          <w:sz w:val="32"/>
          <w:u w:color="auto"/>
        </w:rPr>
        <w:t>1060.86</w:t>
      </w:r>
      <w:r>
        <w:rPr>
          <w:rFonts w:hint="eastAsia" w:ascii="仿宋" w:hAnsi="仿宋" w:eastAsia="仿宋" w:cs="仿宋"/>
          <w:sz w:val="32"/>
          <w:szCs w:val="32"/>
          <w:highlight w:val="none"/>
        </w:rPr>
        <w:t>万元，支出决算为</w:t>
      </w:r>
      <w:r>
        <w:rPr>
          <w:rFonts w:ascii="仿宋" w:hAnsi="仿宋" w:eastAsia="仿宋" w:cs="仿宋"/>
          <w:sz w:val="32"/>
          <w:u w:color="auto"/>
        </w:rPr>
        <w:t>1515.20</w:t>
      </w:r>
      <w:r>
        <w:rPr>
          <w:rFonts w:hint="eastAsia" w:ascii="仿宋" w:hAnsi="仿宋" w:eastAsia="仿宋" w:cs="仿宋"/>
          <w:sz w:val="32"/>
          <w:szCs w:val="32"/>
          <w:highlight w:val="none"/>
        </w:rPr>
        <w:t>万元，完成年初预算的</w:t>
      </w:r>
      <w:r>
        <w:rPr>
          <w:rFonts w:ascii="仿宋" w:hAnsi="仿宋" w:eastAsia="仿宋" w:cs="仿宋"/>
          <w:sz w:val="32"/>
          <w:u w:color="auto"/>
        </w:rPr>
        <w:t>142.83%</w:t>
      </w:r>
      <w:r>
        <w:rPr>
          <w:rFonts w:hint="eastAsia" w:ascii="仿宋" w:hAnsi="仿宋" w:eastAsia="仿宋" w:cs="仿宋"/>
          <w:sz w:val="32"/>
          <w:szCs w:val="32"/>
          <w:highlight w:val="none"/>
        </w:rPr>
        <w:t>。</w:t>
      </w:r>
      <w:bookmarkStart w:id="5" w:name="OLE_LINK2"/>
      <w:bookmarkEnd w:id="5"/>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 w:hAnsi="仿宋" w:eastAsia="仿宋"/>
          <w:sz w:val="32"/>
          <w:szCs w:val="32"/>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15.25</w:t>
      </w:r>
      <w:r>
        <w:rPr>
          <w:rFonts w:hint="eastAsia" w:ascii="仿宋" w:hAnsi="仿宋" w:eastAsia="仿宋"/>
          <w:sz w:val="32"/>
          <w:szCs w:val="32"/>
          <w:highlight w:val="none"/>
        </w:rPr>
        <w:t>万元，支出决算为</w:t>
      </w:r>
      <w:r>
        <w:rPr>
          <w:rFonts w:ascii="仿宋" w:hAnsi="仿宋" w:eastAsia="仿宋"/>
          <w:sz w:val="32"/>
          <w:szCs w:val="32"/>
          <w:highlight w:val="none"/>
        </w:rPr>
        <w:t>15.25</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sz w:val="32"/>
          <w:szCs w:val="32"/>
        </w:rPr>
        <w:t>预决算存在没有差异。</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15.25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15.25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Cs w:val="21"/>
                <w14:textFill>
                  <w14:solidFill>
                    <w14:schemeClr w14:val="tx1"/>
                  </w14:solidFill>
                </w14:textFill>
              </w:rPr>
              <w:t>用于工会经费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14:textFill>
                  <w14:solidFill>
                    <w14:schemeClr w14:val="tx1"/>
                  </w14:solidFill>
                </w14:textFill>
              </w:rPr>
              <w:t>按指标完成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15.25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15.25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Cs w:val="21"/>
                <w14:textFill>
                  <w14:solidFill>
                    <w14:schemeClr w14:val="tx1"/>
                  </w14:solidFill>
                </w14:textFill>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numPr>
          <w:ilvl w:val="0"/>
          <w:numId w:val="1"/>
        </w:numPr>
        <w:jc w:val="left"/>
        <w:rPr>
          <w:rFonts w:hint="eastAsia" w:ascii="仿宋" w:hAnsi="仿宋" w:eastAsia="仿宋"/>
          <w:sz w:val="32"/>
          <w:szCs w:val="32"/>
          <w:highlight w:val="none"/>
          <w:lang w:val="en-US" w:eastAsia="zh-CN"/>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ascii="仿宋" w:hAnsi="仿宋" w:eastAsia="仿宋"/>
          <w:sz w:val="32"/>
          <w:szCs w:val="32"/>
          <w:highlight w:val="none"/>
        </w:rPr>
        <w:t>832.06</w:t>
      </w:r>
      <w:r>
        <w:rPr>
          <w:rFonts w:hint="eastAsia" w:ascii="仿宋" w:hAnsi="仿宋" w:eastAsia="仿宋"/>
          <w:sz w:val="32"/>
          <w:szCs w:val="32"/>
          <w:highlight w:val="none"/>
        </w:rPr>
        <w:t>万元，支出决算为</w:t>
      </w:r>
      <w:r>
        <w:rPr>
          <w:rFonts w:ascii="仿宋" w:hAnsi="仿宋" w:eastAsia="仿宋"/>
          <w:sz w:val="32"/>
          <w:szCs w:val="32"/>
          <w:highlight w:val="none"/>
        </w:rPr>
        <w:t>1147.45</w:t>
      </w:r>
      <w:r>
        <w:rPr>
          <w:rFonts w:hint="eastAsia" w:ascii="仿宋" w:hAnsi="仿宋" w:eastAsia="仿宋"/>
          <w:sz w:val="32"/>
          <w:szCs w:val="32"/>
          <w:highlight w:val="none"/>
        </w:rPr>
        <w:t>万元，完成年初预算的</w:t>
      </w:r>
      <w:r>
        <w:rPr>
          <w:rFonts w:ascii="仿宋" w:hAnsi="仿宋" w:eastAsia="仿宋"/>
          <w:sz w:val="32"/>
          <w:szCs w:val="32"/>
          <w:highlight w:val="none"/>
        </w:rPr>
        <w:t>137.90%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sz w:val="32"/>
          <w:szCs w:val="32"/>
          <w:lang w:bidi="ar"/>
          <w14:textFill>
            <w14:solidFill>
              <w14:schemeClr w14:val="tx1"/>
            </w14:solidFill>
          </w14:textFill>
        </w:rPr>
        <w:t>2</w:t>
      </w:r>
      <w:r>
        <w:rPr>
          <w:rFonts w:ascii="仿宋" w:hAnsi="仿宋" w:eastAsia="仿宋" w:cs="仿宋"/>
          <w:color w:val="000000" w:themeColor="text1"/>
          <w:sz w:val="32"/>
          <w:szCs w:val="32"/>
          <w:lang w:bidi="ar"/>
          <w14:textFill>
            <w14:solidFill>
              <w14:schemeClr w14:val="tx1"/>
            </w14:solidFill>
          </w14:textFill>
        </w:rPr>
        <w:t>022</w:t>
      </w:r>
      <w:r>
        <w:rPr>
          <w:rFonts w:hint="eastAsia" w:ascii="仿宋" w:hAnsi="仿宋" w:eastAsia="仿宋" w:cs="仿宋"/>
          <w:color w:val="000000" w:themeColor="text1"/>
          <w:sz w:val="32"/>
          <w:szCs w:val="32"/>
          <w:lang w:bidi="ar"/>
          <w14:textFill>
            <w14:solidFill>
              <w14:schemeClr w14:val="tx1"/>
            </w14:solidFill>
          </w14:textFill>
        </w:rPr>
        <w:t>年有</w:t>
      </w:r>
      <w:r>
        <w:rPr>
          <w:rFonts w:hint="eastAsia" w:ascii="仿宋" w:hAnsi="仿宋" w:eastAsia="仿宋" w:cs="仿宋"/>
          <w:color w:val="000000" w:themeColor="text1"/>
          <w:sz w:val="32"/>
          <w:szCs w:val="32"/>
          <w:lang w:val="en-US" w:eastAsia="zh-CN" w:bidi="ar"/>
          <w14:textFill>
            <w14:solidFill>
              <w14:schemeClr w14:val="tx1"/>
            </w14:solidFill>
          </w14:textFill>
        </w:rPr>
        <w:t>7</w:t>
      </w:r>
      <w:r>
        <w:rPr>
          <w:rFonts w:hint="eastAsia" w:ascii="仿宋" w:hAnsi="仿宋" w:eastAsia="仿宋" w:cs="仿宋"/>
          <w:color w:val="000000" w:themeColor="text1"/>
          <w:sz w:val="32"/>
          <w:szCs w:val="32"/>
          <w:lang w:bidi="ar"/>
          <w14:textFill>
            <w14:solidFill>
              <w14:schemeClr w14:val="tx1"/>
            </w14:solidFill>
          </w14:textFill>
        </w:rPr>
        <w:t>名特岗教师进入。</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1000"/>
        <w:gridCol w:w="903"/>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10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90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初中教育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832.06</w:t>
            </w:r>
          </w:p>
        </w:tc>
        <w:tc>
          <w:tcPr>
            <w:tcW w:w="10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1124.10</w:t>
            </w:r>
          </w:p>
        </w:tc>
        <w:tc>
          <w:tcPr>
            <w:tcW w:w="90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135.10%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Cs w:val="21"/>
                <w14:textFill>
                  <w14:solidFill>
                    <w14:schemeClr w14:val="tx1"/>
                  </w14:solidFill>
                </w14:textFill>
              </w:rPr>
              <w:t>工资等发放</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14:textFill>
                  <w14:solidFill>
                    <w14:schemeClr w14:val="tx1"/>
                  </w14:solidFill>
                </w14:textFill>
              </w:rPr>
              <w:t>增加</w:t>
            </w:r>
            <w:r>
              <w:rPr>
                <w:rFonts w:hint="eastAsia" w:ascii="仿宋" w:hAnsi="仿宋" w:eastAsia="仿宋" w:cs="仿宋"/>
                <w:color w:val="000000" w:themeColor="text1"/>
                <w:sz w:val="18"/>
                <w:szCs w:val="18"/>
                <w:lang w:val="en-US" w:eastAsia="zh-CN"/>
                <w14:textFill>
                  <w14:solidFill>
                    <w14:schemeClr w14:val="tx1"/>
                  </w14:solidFill>
                </w14:textFill>
              </w:rPr>
              <w:t>7</w:t>
            </w:r>
            <w:r>
              <w:rPr>
                <w:rFonts w:hint="eastAsia" w:ascii="仿宋" w:hAnsi="仿宋" w:eastAsia="仿宋" w:cs="仿宋"/>
                <w:color w:val="000000" w:themeColor="text1"/>
                <w:sz w:val="18"/>
                <w:szCs w:val="18"/>
                <w14:textFill>
                  <w14:solidFill>
                    <w14:schemeClr w14:val="tx1"/>
                  </w14:solidFill>
                </w14:textFill>
              </w:rPr>
              <w:t>名特岗教师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10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23.17</w:t>
            </w:r>
          </w:p>
        </w:tc>
        <w:tc>
          <w:tcPr>
            <w:tcW w:w="90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Cs w:val="21"/>
                <w14:textFill>
                  <w14:solidFill>
                    <w14:schemeClr w14:val="tx1"/>
                  </w14:solidFill>
                </w14:textFill>
              </w:rPr>
              <w:t>用于学校公用支出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14:textFill>
                  <w14:solidFill>
                    <w14:schemeClr w14:val="tx1"/>
                  </w14:solidFill>
                </w14:textFill>
              </w:rPr>
              <w:t>年中调整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1"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其他教育费附加安排的支出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10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0.18</w:t>
            </w:r>
          </w:p>
        </w:tc>
        <w:tc>
          <w:tcPr>
            <w:tcW w:w="90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Cs w:val="21"/>
                <w14:textFill>
                  <w14:solidFill>
                    <w14:schemeClr w14:val="tx1"/>
                  </w14:solidFill>
                </w14:textFill>
              </w:rPr>
              <w:t>用于教师福利支出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14:textFill>
                  <w14:solidFill>
                    <w14:schemeClr w14:val="tx1"/>
                  </w14:solidFill>
                </w14:textFill>
              </w:rPr>
              <w:t>年中预算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832.06</w:t>
            </w:r>
          </w:p>
        </w:tc>
        <w:tc>
          <w:tcPr>
            <w:tcW w:w="10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1147.45</w:t>
            </w:r>
          </w:p>
        </w:tc>
        <w:tc>
          <w:tcPr>
            <w:tcW w:w="90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Cs w:val="21"/>
                <w14:textFill>
                  <w14:solidFill>
                    <w14:schemeClr w14:val="tx1"/>
                  </w14:solidFill>
                </w14:textFill>
              </w:rPr>
              <w:t>学校支出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14:textFill>
                  <w14:solidFill>
                    <w14:schemeClr w14:val="tx1"/>
                  </w14:solidFill>
                </w14:textFill>
              </w:rPr>
              <w:t>教师变动</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167890"/>
            <wp:effectExtent l="5080" t="4445" r="15875" b="184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ind w:firstLine="640" w:firstLineChars="200"/>
        <w:jc w:val="left"/>
        <w:rPr>
          <w:rFonts w:hint="eastAsia" w:ascii="仿宋" w:hAnsi="仿宋" w:eastAsia="仿宋"/>
          <w:sz w:val="32"/>
          <w:szCs w:val="32"/>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122.03</w:t>
      </w:r>
      <w:r>
        <w:rPr>
          <w:rFonts w:hint="eastAsia" w:ascii="仿宋" w:hAnsi="仿宋" w:eastAsia="仿宋"/>
          <w:sz w:val="32"/>
          <w:szCs w:val="32"/>
          <w:highlight w:val="none"/>
        </w:rPr>
        <w:t>万元，支出决算为</w:t>
      </w:r>
      <w:r>
        <w:rPr>
          <w:rFonts w:ascii="仿宋" w:hAnsi="仿宋" w:eastAsia="仿宋"/>
          <w:sz w:val="32"/>
          <w:szCs w:val="32"/>
          <w:highlight w:val="none"/>
        </w:rPr>
        <w:t>109.48</w:t>
      </w:r>
      <w:r>
        <w:rPr>
          <w:rFonts w:hint="eastAsia" w:ascii="仿宋" w:hAnsi="仿宋" w:eastAsia="仿宋"/>
          <w:sz w:val="32"/>
          <w:szCs w:val="32"/>
          <w:highlight w:val="none"/>
        </w:rPr>
        <w:t>万元，完成年初预算的</w:t>
      </w:r>
      <w:r>
        <w:rPr>
          <w:rFonts w:ascii="仿宋" w:hAnsi="仿宋" w:eastAsia="仿宋"/>
          <w:sz w:val="32"/>
          <w:szCs w:val="32"/>
          <w:highlight w:val="none"/>
        </w:rPr>
        <w:t>89.72%</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sz w:val="32"/>
          <w:szCs w:val="32"/>
          <w:lang w:bidi="ar"/>
          <w14:textFill>
            <w14:solidFill>
              <w14:schemeClr w14:val="tx1"/>
            </w14:solidFill>
          </w14:textFill>
        </w:rPr>
        <w:t>教师调出到县城学校，</w:t>
      </w:r>
      <w:r>
        <w:rPr>
          <w:rFonts w:hint="eastAsia" w:ascii="仿宋" w:hAnsi="仿宋" w:eastAsia="仿宋" w:cs="仿宋"/>
          <w:color w:val="000000" w:themeColor="text1"/>
          <w:sz w:val="32"/>
          <w:szCs w:val="32"/>
          <w:lang w:val="en-US" w:eastAsia="zh-CN" w:bidi="ar"/>
          <w14:textFill>
            <w14:solidFill>
              <w14:schemeClr w14:val="tx1"/>
            </w14:solidFill>
          </w14:textFill>
        </w:rPr>
        <w:t>有退休、离职教师</w:t>
      </w:r>
      <w:r>
        <w:rPr>
          <w:rFonts w:hint="eastAsia" w:ascii="仿宋" w:hAnsi="仿宋" w:eastAsia="仿宋" w:cs="仿宋"/>
          <w:color w:val="000000" w:themeColor="text1"/>
          <w:sz w:val="32"/>
          <w:szCs w:val="32"/>
          <w:lang w:bidi="ar"/>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122.03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109.48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89.72%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Cs w:val="21"/>
                <w14:textFill>
                  <w14:solidFill>
                    <w14:schemeClr w14:val="tx1"/>
                  </w14:solidFill>
                </w14:textFill>
              </w:rPr>
              <w:t>养老保险和社保</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14:textFill>
                  <w14:solidFill>
                    <w14:schemeClr w14:val="tx1"/>
                  </w14:solidFill>
                </w14:textFill>
              </w:rPr>
              <w:t>中年教师调出县城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122.03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109.48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Cs w:val="21"/>
                <w14:textFill>
                  <w14:solidFill>
                    <w14:schemeClr w14:val="tx1"/>
                  </w14:solidFill>
                </w14:textFill>
              </w:rPr>
              <w:t>用于教师保障</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14:textFill>
                  <w14:solidFill>
                    <w14:schemeClr w14:val="tx1"/>
                  </w14:solidFill>
                </w14:textFill>
              </w:rPr>
              <w:t>教师变动</w:t>
            </w: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015615"/>
            <wp:effectExtent l="4445" t="4445" r="16510" b="8890"/>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91.52</w:t>
      </w:r>
      <w:r>
        <w:rPr>
          <w:rFonts w:hint="eastAsia" w:ascii="仿宋" w:hAnsi="仿宋" w:eastAsia="仿宋"/>
          <w:sz w:val="32"/>
          <w:szCs w:val="32"/>
          <w:highlight w:val="none"/>
        </w:rPr>
        <w:t>万元，支出决算为</w:t>
      </w:r>
      <w:r>
        <w:rPr>
          <w:rFonts w:ascii="仿宋" w:hAnsi="仿宋" w:eastAsia="仿宋"/>
          <w:sz w:val="32"/>
          <w:szCs w:val="32"/>
          <w:highlight w:val="none"/>
        </w:rPr>
        <w:t>81.97</w:t>
      </w:r>
      <w:r>
        <w:rPr>
          <w:rFonts w:hint="eastAsia" w:ascii="仿宋" w:hAnsi="仿宋" w:eastAsia="仿宋"/>
          <w:sz w:val="32"/>
          <w:szCs w:val="32"/>
          <w:highlight w:val="none"/>
        </w:rPr>
        <w:t>万元，完成年初预算的</w:t>
      </w:r>
      <w:r>
        <w:rPr>
          <w:rFonts w:ascii="仿宋" w:hAnsi="仿宋" w:eastAsia="仿宋"/>
          <w:sz w:val="32"/>
          <w:szCs w:val="32"/>
          <w:highlight w:val="none"/>
        </w:rPr>
        <w:t>89.57%</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sz w:val="32"/>
          <w:szCs w:val="32"/>
          <w:lang w:bidi="ar"/>
          <w14:textFill>
            <w14:solidFill>
              <w14:schemeClr w14:val="tx1"/>
            </w14:solidFill>
          </w14:textFill>
        </w:rPr>
        <w:t>教师调出，新进特岗教师基数少</w:t>
      </w:r>
      <w:r>
        <w:rPr>
          <w:rFonts w:hint="eastAsia" w:ascii="仿宋" w:hAnsi="仿宋" w:eastAsia="仿宋" w:cs="仿宋"/>
          <w:color w:val="000000" w:themeColor="text1"/>
          <w:sz w:val="32"/>
          <w:szCs w:val="32"/>
          <w:lang w:eastAsia="zh-CN" w:bidi="ar"/>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91.52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81.97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89.57%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Cs w:val="21"/>
                <w14:textFill>
                  <w14:solidFill>
                    <w14:schemeClr w14:val="tx1"/>
                  </w14:solidFill>
                </w14:textFill>
              </w:rPr>
              <w:t>教师公积金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14:textFill>
                  <w14:solidFill>
                    <w14:schemeClr w14:val="tx1"/>
                  </w14:solidFill>
                </w14:textFill>
              </w:rPr>
              <w:t>教师年中变动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91.52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81.97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Cs w:val="21"/>
                <w14:textFill>
                  <w14:solidFill>
                    <w14:schemeClr w14:val="tx1"/>
                  </w14:solidFill>
                </w14:textFill>
              </w:rPr>
              <w:t>教师公积金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14:textFill>
                  <w14:solidFill>
                    <w14:schemeClr w14:val="tx1"/>
                  </w14:solidFill>
                </w14:textFill>
              </w:rPr>
              <w:t>教师变动</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 w:hAnsi="仿宋" w:eastAsia="仿宋"/>
          <w:sz w:val="32"/>
          <w:szCs w:val="32"/>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15.25</w:t>
      </w:r>
      <w:r>
        <w:rPr>
          <w:rFonts w:hint="eastAsia" w:ascii="仿宋" w:hAnsi="仿宋" w:eastAsia="仿宋"/>
          <w:sz w:val="32"/>
          <w:szCs w:val="32"/>
          <w:highlight w:val="none"/>
        </w:rPr>
        <w:t>万元，支出决算为</w:t>
      </w:r>
      <w:r>
        <w:rPr>
          <w:rFonts w:ascii="仿宋" w:hAnsi="仿宋" w:eastAsia="仿宋"/>
          <w:sz w:val="32"/>
          <w:szCs w:val="32"/>
          <w:highlight w:val="none"/>
        </w:rPr>
        <w:t>161.04</w:t>
      </w:r>
      <w:r>
        <w:rPr>
          <w:rFonts w:hint="eastAsia" w:ascii="仿宋" w:hAnsi="仿宋" w:eastAsia="仿宋"/>
          <w:sz w:val="32"/>
          <w:szCs w:val="32"/>
          <w:highlight w:val="none"/>
        </w:rPr>
        <w:t>万元，完成年初预算的</w:t>
      </w:r>
      <w:r>
        <w:rPr>
          <w:rFonts w:ascii="仿宋" w:hAnsi="仿宋" w:eastAsia="仿宋"/>
          <w:sz w:val="32"/>
          <w:szCs w:val="32"/>
          <w:highlight w:val="none"/>
        </w:rPr>
        <w:t>1056.00%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原因是：预算数不准确</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161.04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教师工会费等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有新进老师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161.04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教师工会费等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教师变动</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环江毛南族自治县洛阳镇初级中学2022年度一般公共预算财政拨款基本支出1371.56万元，其中：人员经费支出1338.12万元，公用经费支出33.45万元，支出具体情况如下：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工资福利支出1087.17万元，完成年初预算的110.01%，</w:t>
      </w:r>
      <w:r>
        <w:rPr>
          <w:rFonts w:hint="eastAsia" w:ascii="仿宋" w:hAnsi="仿宋" w:eastAsia="仿宋" w:cs="仿宋"/>
          <w:sz w:val="32"/>
          <w:szCs w:val="32"/>
          <w:highlight w:val="none"/>
          <w:lang w:val="en-US" w:eastAsia="zh-CN"/>
        </w:rPr>
        <w:t>主要原因是：有7位新进特岗老师。</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459.41万元，30102津贴补贴64.89万元，30103奖金138.58万元，30107绩效工资174.26万元，30108机关事业单位基本养老保险缴费109.48万元，30110职工基本医疗保险缴费52.33万元，30112其他社会保障缴费6.25万元，30113住房公积金81.97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54889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商品和服务支出</w:t>
      </w:r>
      <w:r>
        <w:rPr>
          <w:rFonts w:ascii="仿宋" w:hAnsi="仿宋" w:eastAsia="仿宋" w:cs="仿宋"/>
          <w:sz w:val="32"/>
          <w:u w:color="auto"/>
        </w:rPr>
        <w:t>32.49万元，</w:t>
      </w:r>
      <w:r>
        <w:rPr>
          <w:rFonts w:hint="eastAsia" w:ascii="仿宋" w:hAnsi="仿宋" w:eastAsia="仿宋" w:cs="仿宋"/>
          <w:sz w:val="32"/>
          <w:szCs w:val="32"/>
          <w:highlight w:val="none"/>
        </w:rPr>
        <w:t>完成年初预算的213.05%</w:t>
      </w:r>
      <w:r>
        <w:rPr>
          <w:rFonts w:hint="default" w:ascii="仿宋" w:hAnsi="仿宋" w:eastAsia="仿宋" w:cs="仿宋"/>
          <w:sz w:val="32"/>
          <w:szCs w:val="32"/>
          <w:highlight w:val="none"/>
        </w:rPr>
        <w:t>，</w:t>
      </w:r>
      <w:r>
        <w:rPr>
          <w:rFonts w:hint="eastAsia" w:ascii="仿宋" w:hAnsi="仿宋" w:eastAsia="仿宋" w:cs="仿宋"/>
          <w:sz w:val="32"/>
          <w:szCs w:val="32"/>
          <w:highlight w:val="none"/>
          <w:lang w:val="en-US" w:eastAsia="zh-CN"/>
        </w:rPr>
        <w:t>主要原因是：没有做好水费、电费、工会费等项目的预算。</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30201办公费0.05万元，30205水费3.83万元，30206电费8.10万元，30207邮电费0.54万元，30211差旅费1.97万元，30213维修（护）费0.37万元，30228工会经费15.25万元，30299其他商品和服务支出2.37万元。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4917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对个人和家庭的补助</w:t>
      </w:r>
      <w:r>
        <w:rPr>
          <w:rFonts w:ascii="仿宋" w:hAnsi="仿宋" w:eastAsia="仿宋" w:cs="仿宋"/>
          <w:sz w:val="32"/>
          <w:u w:color="auto"/>
        </w:rPr>
        <w:t>250.95万元，</w:t>
      </w:r>
      <w:r>
        <w:rPr>
          <w:rFonts w:hint="default" w:ascii="仿宋" w:hAnsi="仿宋" w:eastAsia="仿宋" w:cs="仿宋"/>
          <w:sz w:val="32"/>
          <w:szCs w:val="32"/>
          <w:highlight w:val="none"/>
        </w:rPr>
        <w:t>完成年初预算的</w:t>
      </w:r>
      <w:r>
        <w:rPr>
          <w:rFonts w:hint="eastAsia" w:ascii="仿宋" w:hAnsi="仿宋" w:eastAsia="仿宋" w:cs="仿宋"/>
          <w:sz w:val="32"/>
          <w:szCs w:val="32"/>
          <w:highlight w:val="none"/>
        </w:rPr>
        <w:t>918.22%</w:t>
      </w:r>
      <w:r>
        <w:rPr>
          <w:rFonts w:hint="default" w:ascii="仿宋" w:hAnsi="仿宋" w:eastAsia="仿宋" w:cs="仿宋"/>
          <w:sz w:val="32"/>
          <w:szCs w:val="32"/>
          <w:highlight w:val="none"/>
        </w:rPr>
        <w:t>，</w:t>
      </w:r>
      <w:r>
        <w:rPr>
          <w:rFonts w:hint="eastAsia" w:ascii="仿宋" w:hAnsi="仿宋" w:eastAsia="仿宋" w:cs="仿宋"/>
          <w:sz w:val="32"/>
          <w:szCs w:val="32"/>
          <w:highlight w:val="none"/>
          <w:lang w:val="en-US" w:eastAsia="zh-CN"/>
        </w:rPr>
        <w:t>主要原因是：抚恤金、遗属补助、助学金、生活补助没有年初预算，本单位有去世老师。</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30304抚恤金12.14万元，30305生活补助52.82万元，30308助学金182.55万元，30399其他对个人和家庭的补助3.44万元。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35250"/>
            <wp:effectExtent l="4445" t="4445" r="16510" b="825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 w:hAnsi="仿宋" w:eastAsia="仿宋" w:cs="仿宋"/>
          <w:sz w:val="32"/>
          <w:szCs w:val="32"/>
          <w:highlight w:val="none"/>
        </w:rPr>
        <w:t>，完成年初预算的</w:t>
      </w:r>
      <w:r>
        <w:rPr>
          <w:rFonts w:hint="eastAsia" w:ascii="仿宋" w:hAnsi="仿宋" w:eastAsia="仿宋" w:cs="仿宋"/>
          <w:sz w:val="32"/>
          <w:szCs w:val="32"/>
          <w:highlight w:val="none"/>
        </w:rPr>
        <w:t>0%</w:t>
      </w:r>
      <w:r>
        <w:rPr>
          <w:rFonts w:hint="default" w:ascii="仿宋" w:hAnsi="仿宋" w:eastAsia="仿宋" w:cs="仿宋"/>
          <w:sz w:val="32"/>
          <w:szCs w:val="32"/>
          <w:highlight w:val="none"/>
        </w:rPr>
        <w:t>，</w:t>
      </w:r>
      <w:r>
        <w:rPr>
          <w:rFonts w:hint="eastAsia" w:ascii="仿宋" w:hAnsi="仿宋" w:eastAsia="仿宋" w:cs="仿宋"/>
          <w:sz w:val="32"/>
          <w:szCs w:val="32"/>
          <w:highlight w:val="none"/>
          <w:lang w:val="en-US" w:eastAsia="zh-CN"/>
        </w:rPr>
        <w:t>主要原</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因是：</w:t>
      </w:r>
      <w:r>
        <w:rPr>
          <w:rFonts w:hint="eastAsia" w:ascii="仿宋" w:hAnsi="仿宋" w:eastAsia="仿宋" w:cs="仿宋"/>
          <w:color w:val="000000" w:themeColor="text1"/>
          <w:sz w:val="32"/>
          <w:szCs w:val="32"/>
          <w:lang w:bidi="ar"/>
          <w14:textFill>
            <w14:solidFill>
              <w14:schemeClr w14:val="tx1"/>
            </w14:solidFill>
          </w14:textFill>
        </w:rPr>
        <w:t>本单位无债务利息及费用支出</w:t>
      </w:r>
      <w:r>
        <w:rPr>
          <w:rFonts w:hint="eastAsia" w:ascii="仿宋" w:hAnsi="仿宋" w:eastAsia="仿宋" w:cs="仿宋"/>
          <w:color w:val="000000" w:themeColor="text1"/>
          <w:sz w:val="32"/>
          <w:szCs w:val="32"/>
          <w:lang w:eastAsia="zh-CN" w:bidi="ar"/>
          <w14:textFill>
            <w14:solidFill>
              <w14:schemeClr w14:val="tx1"/>
            </w14:solidFill>
          </w14:textFill>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378710"/>
            <wp:effectExtent l="4445" t="4445" r="16510" b="1714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0.96万元</w:t>
      </w:r>
      <w:r>
        <w:rPr>
          <w:rFonts w:hint="eastAsia" w:ascii="仿宋" w:hAnsi="仿宋" w:eastAsia="仿宋" w:cs="仿宋"/>
          <w:sz w:val="32"/>
          <w:szCs w:val="32"/>
          <w:highlight w:val="none"/>
        </w:rPr>
        <w:t>，</w:t>
      </w:r>
      <w:r>
        <w:rPr>
          <w:rFonts w:hint="default" w:ascii="仿宋" w:hAnsi="仿宋" w:eastAsia="仿宋" w:cs="仿宋"/>
          <w:sz w:val="32"/>
          <w:szCs w:val="32"/>
          <w:highlight w:val="none"/>
        </w:rPr>
        <w:t>完成年初预算的</w:t>
      </w:r>
      <w:r>
        <w:rPr>
          <w:rFonts w:hint="eastAsia" w:ascii="仿宋" w:hAnsi="仿宋" w:eastAsia="仿宋" w:cs="仿宋"/>
          <w:sz w:val="32"/>
          <w:szCs w:val="32"/>
          <w:highlight w:val="none"/>
        </w:rPr>
        <w:t>100%</w:t>
      </w:r>
      <w:r>
        <w:rPr>
          <w:rFonts w:hint="default" w:ascii="仿宋" w:hAnsi="仿宋" w:eastAsia="仿宋" w:cs="仿宋"/>
          <w:sz w:val="32"/>
          <w:szCs w:val="32"/>
          <w:highlight w:val="none"/>
        </w:rPr>
        <w:t>，</w:t>
      </w:r>
      <w:r>
        <w:rPr>
          <w:rFonts w:hint="eastAsia" w:ascii="仿宋" w:hAnsi="仿宋" w:eastAsia="仿宋" w:cs="仿宋"/>
          <w:sz w:val="32"/>
          <w:szCs w:val="32"/>
          <w:highlight w:val="none"/>
          <w:lang w:val="en-US" w:eastAsia="zh-CN"/>
        </w:rPr>
        <w:t>主要原因是：有办公设备购置和专项设</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备购置。</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31002办公设备购置0.66万元，31003专用设备购置0.30万元。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68600"/>
            <wp:effectExtent l="4445" t="4445" r="16510" b="825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numPr>
          <w:ilvl w:val="0"/>
          <w:numId w:val="2"/>
        </w:numPr>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eastAsia" w:ascii="仿宋" w:hAnsi="仿宋" w:eastAsia="仿宋" w:cs="仿宋"/>
          <w:sz w:val="32"/>
          <w:szCs w:val="32"/>
          <w:highlight w:val="none"/>
        </w:rPr>
        <w:t>，</w:t>
      </w:r>
      <w:r>
        <w:rPr>
          <w:rFonts w:hint="default" w:ascii="仿宋" w:hAnsi="仿宋" w:eastAsia="仿宋" w:cs="仿宋"/>
          <w:sz w:val="32"/>
          <w:szCs w:val="32"/>
          <w:highlight w:val="none"/>
        </w:rPr>
        <w:t>完成年初预算的</w:t>
      </w:r>
      <w:r>
        <w:rPr>
          <w:rFonts w:hint="eastAsia" w:ascii="仿宋" w:hAnsi="仿宋" w:eastAsia="仿宋" w:cs="仿宋"/>
          <w:sz w:val="32"/>
          <w:szCs w:val="32"/>
          <w:highlight w:val="none"/>
        </w:rPr>
        <w:t>0%</w:t>
      </w:r>
      <w:r>
        <w:rPr>
          <w:rFonts w:hint="default" w:ascii="仿宋" w:hAnsi="仿宋" w:eastAsia="仿宋" w:cs="仿宋"/>
          <w:sz w:val="32"/>
          <w:szCs w:val="32"/>
          <w:highlight w:val="none"/>
        </w:rPr>
        <w:t>，</w:t>
      </w:r>
      <w:r>
        <w:rPr>
          <w:rFonts w:hint="eastAsia" w:ascii="仿宋" w:hAnsi="仿宋" w:eastAsia="仿宋" w:cs="仿宋"/>
          <w:sz w:val="32"/>
          <w:szCs w:val="32"/>
          <w:highlight w:val="none"/>
          <w:lang w:val="en-US" w:eastAsia="zh-CN"/>
        </w:rPr>
        <w:t>主要原因是：</w:t>
      </w:r>
      <w:r>
        <w:rPr>
          <w:rFonts w:hint="eastAsia" w:ascii="仿宋" w:hAnsi="仿宋" w:eastAsia="仿宋" w:cs="仿宋"/>
          <w:sz w:val="32"/>
          <w:szCs w:val="32"/>
          <w:highlight w:val="none"/>
        </w:rPr>
        <w:t>本单位无其他支出。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806065"/>
            <wp:effectExtent l="4445" t="4445" r="16510" b="8890"/>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环江毛南族自治县洛阳镇初级中学2022年度政府性基金支出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环江毛南族自治县洛阳镇初级中学2022年度政府性基金支出年初预算为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环江毛南族自治县洛阳镇初级中学没有政府性基金收入，也没有政府性基金收入安排的支出</w:t>
      </w:r>
      <w:r>
        <w:rPr>
          <w:rFonts w:hint="eastAsia" w:ascii="仿宋" w:hAnsi="仿宋" w:eastAsia="仿宋" w:cs="仿宋"/>
          <w:sz w:val="32"/>
          <w:szCs w:val="32"/>
          <w:highlight w:val="none"/>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环江毛南族自治县洛阳镇初级中学2022年度国有资本经营预算支出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环江毛南族自治县洛阳镇初级中学2022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bookmarkStart w:id="6" w:name="PO_part3A5B1C1DiffReason1"/>
      <w:r>
        <w:rPr>
          <w:rFonts w:hint="eastAsia" w:ascii="仿宋" w:hAnsi="仿宋" w:eastAsia="仿宋" w:cs="仿宋"/>
          <w:sz w:val="32"/>
          <w:szCs w:val="32"/>
          <w:highlight w:val="none"/>
        </w:rPr>
        <w:t>环江毛南族自治县洛阳镇初级中学没有国有资本经营预算收入，也没有国有资本经营预算收入安排的支出。</w:t>
      </w:r>
      <w:bookmarkEnd w:id="6"/>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bidi="ar"/>
          <w14:textFill>
            <w14:solidFill>
              <w14:schemeClr w14:val="tx1"/>
            </w14:solidFill>
          </w14:textFill>
        </w:rPr>
        <w:t>本单位无“三公”经费支出</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原因是：本单位无出国（境）费支出。</w:t>
      </w:r>
      <w:r>
        <w:rPr>
          <w:rFonts w:hint="eastAsia" w:ascii="仿宋_GB2312" w:hAnsi="Times New Roman" w:eastAsia="仿宋_GB2312" w:cs="Times New Roman"/>
          <w:color w:val="auto"/>
          <w:sz w:val="32"/>
          <w:szCs w:val="32"/>
          <w:lang w:val="en-US" w:eastAsia="zh-CN"/>
        </w:rPr>
        <w:t>。</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，全年因</w:t>
      </w:r>
      <w:r>
        <w:rPr>
          <w:rFonts w:hint="eastAsia" w:ascii="仿宋" w:hAnsi="仿宋" w:eastAsia="仿宋" w:cs="仿宋"/>
          <w:sz w:val="32"/>
          <w:szCs w:val="32"/>
          <w:highlight w:val="none"/>
        </w:rPr>
        <w:t>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auto"/>
          <w:sz w:val="32"/>
          <w:szCs w:val="32"/>
        </w:rPr>
        <w:t>本部门无</w:t>
      </w:r>
      <w:r>
        <w:rPr>
          <w:rFonts w:hint="eastAsia" w:ascii="仿宋" w:hAnsi="仿宋" w:eastAsia="仿宋" w:cs="仿宋"/>
          <w:sz w:val="32"/>
          <w:szCs w:val="32"/>
          <w:highlight w:val="none"/>
        </w:rPr>
        <w:t>公务用车运行维</w:t>
      </w:r>
      <w:r>
        <w:rPr>
          <w:rFonts w:hint="eastAsia" w:ascii="仿宋" w:hAnsi="仿宋" w:eastAsia="仿宋" w:cs="仿宋"/>
          <w:color w:val="auto"/>
          <w:sz w:val="32"/>
          <w:szCs w:val="32"/>
          <w:highlight w:val="none"/>
        </w:rPr>
        <w:t>护支出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2022年，</w:t>
      </w:r>
      <w:r>
        <w:rPr>
          <w:rFonts w:hint="eastAsia" w:ascii="仿宋" w:hAnsi="仿宋" w:eastAsia="仿宋" w:cs="仿宋"/>
          <w:color w:val="auto"/>
          <w:sz w:val="32"/>
          <w:u w:color="auto"/>
          <w:lang w:val="en-US" w:eastAsia="zh-CN"/>
        </w:rPr>
        <w:t>本</w:t>
      </w:r>
      <w:r>
        <w:rPr>
          <w:rFonts w:hint="eastAsia" w:ascii="仿宋" w:hAnsi="仿宋" w:eastAsia="仿宋" w:cs="仿宋"/>
          <w:color w:val="auto"/>
          <w:sz w:val="32"/>
          <w:szCs w:val="32"/>
          <w:highlight w:val="none"/>
        </w:rPr>
        <w:t>单位开支财政拨款的公务用车保有量为</w:t>
      </w:r>
      <w:r>
        <w:rPr>
          <w:rFonts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000000" w:themeColor="text1"/>
          <w:sz w:val="32"/>
          <w:szCs w:val="32"/>
          <w14:textFill>
            <w14:solidFill>
              <w14:schemeClr w14:val="tx1"/>
            </w14:solidFill>
          </w14:textFill>
        </w:rPr>
        <w:t>本单位无公务车运行维护支出。</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w:t>
      </w:r>
      <w:r>
        <w:rPr>
          <w:rFonts w:hint="eastAsia" w:ascii="仿宋" w:hAnsi="仿宋" w:eastAsia="仿宋" w:cs="仿宋"/>
          <w:color w:val="auto"/>
          <w:sz w:val="32"/>
          <w:szCs w:val="32"/>
        </w:rPr>
        <w:t>本单位无机关运行经费支出。</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根据财政预算管理要求，本部门组织对2022年度一般公共预算项目支出全面开展绩效自评。其中，一等项目</w:t>
      </w:r>
      <w:r>
        <w:rPr>
          <w:rFonts w:hint="eastAsia" w:ascii="仿宋" w:hAnsi="仿宋" w:eastAsia="仿宋" w:cs="仿宋"/>
          <w:color w:val="000000" w:themeColor="text1"/>
          <w:sz w:val="32"/>
          <w:szCs w:val="32"/>
          <w:lang w:val="en-US" w:eastAsia="zh-CN"/>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t>个，二等项目</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个，共涉及资金369.46万元，占一般公共预算项目支出总额的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24.38</w:t>
      </w:r>
      <w:r>
        <w:rPr>
          <w:rFonts w:hint="eastAsia" w:ascii="仿宋" w:hAnsi="仿宋" w:eastAsia="仿宋" w:cs="仿宋"/>
          <w:color w:val="000000" w:themeColor="text1"/>
          <w:sz w:val="32"/>
          <w:szCs w:val="32"/>
          <w14:textFill>
            <w14:solidFill>
              <w14:schemeClr w14:val="tx1"/>
            </w14:solidFill>
          </w14:textFill>
        </w:rPr>
        <w:t>%。组织对2022年度</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%。组织对2022年度</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组织对“自治区公用经费”等</w:t>
      </w:r>
      <w:r>
        <w:rPr>
          <w:rFonts w:hint="eastAsia" w:ascii="仿宋" w:hAnsi="仿宋" w:eastAsia="仿宋" w:cs="仿宋"/>
          <w:color w:val="000000" w:themeColor="text1"/>
          <w:sz w:val="32"/>
          <w:szCs w:val="32"/>
          <w:lang w:val="en-US" w:eastAsia="zh-CN"/>
          <w14:textFill>
            <w14:solidFill>
              <w14:schemeClr w14:val="tx1"/>
            </w14:solidFill>
          </w14:textFill>
        </w:rPr>
        <w:t>16</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369.46</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万元。从评价情况来看，一般公共预算支出基本达到了绩效目标要求，只有自治区公用经费出现执行率偏低，但前提用中央公用经费支出。本单位无政府性基金预算支出和国有资本经营预算支出。</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万元。从评价情况来看，本单位为二级单位，只有本级没有下级单位预算。</w:t>
      </w:r>
    </w:p>
    <w:p>
      <w:pPr>
        <w:ind w:firstLine="640" w:firstLineChars="200"/>
        <w:jc w:val="left"/>
        <w:rPr>
          <w:rFonts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FF0000"/>
          <w:sz w:val="32"/>
          <w:szCs w:val="32"/>
        </w:rPr>
        <w:t>。</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我部门根据年初设定的绩效目标，自治区公用经费项目自评得分为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81.23</w:t>
      </w:r>
      <w:r>
        <w:rPr>
          <w:rFonts w:hint="eastAsia" w:ascii="仿宋" w:hAnsi="仿宋" w:eastAsia="仿宋" w:cs="仿宋"/>
          <w:color w:val="000000" w:themeColor="text1"/>
          <w:sz w:val="32"/>
          <w:szCs w:val="32"/>
          <w14:textFill>
            <w14:solidFill>
              <w14:schemeClr w14:val="tx1"/>
            </w14:solidFill>
          </w14:textFill>
        </w:rPr>
        <w:t>分。发现的主要问题及原因：一是执行率低；二是没有协调好年初预算。下一步改进措施：一是做好年初预算；二是充分实施项目，提高执行率和效率。特岗教师工资项目自评得分为</w:t>
      </w:r>
      <w:r>
        <w:rPr>
          <w:rFonts w:ascii="仿宋" w:hAnsi="仿宋"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分。发现的主要问题及原因：师资队伍不稳定。下一步改进措施：加大项目投入。义务教育阶段家庭经济困难学生生活自治区补助资金项目自评得分为</w:t>
      </w:r>
      <w:r>
        <w:rPr>
          <w:rFonts w:ascii="仿宋" w:hAnsi="仿宋" w:eastAsia="仿宋" w:cs="仿宋"/>
          <w:color w:val="000000" w:themeColor="text1"/>
          <w:sz w:val="32"/>
          <w:szCs w:val="32"/>
          <w14:textFill>
            <w14:solidFill>
              <w14:schemeClr w14:val="tx1"/>
            </w14:solidFill>
          </w14:textFill>
        </w:rPr>
        <w:t>99.8</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分。发现的主要问题及原因：一是学生人数不定；二是入学率低。下一步改进措施：一是做好年中调整；二是保障就读资源。</w:t>
      </w:r>
      <w:r>
        <w:rPr>
          <w:rFonts w:hint="eastAsia" w:ascii="仿宋" w:hAnsi="仿宋" w:eastAsia="仿宋" w:cs="仿宋"/>
          <w:color w:val="000000" w:themeColor="text1"/>
          <w:sz w:val="32"/>
          <w:szCs w:val="32"/>
          <w:lang w:val="en-US" w:eastAsia="zh-CN"/>
          <w14:textFill>
            <w14:solidFill>
              <w14:schemeClr w14:val="tx1"/>
            </w14:solidFill>
          </w14:textFill>
        </w:rPr>
        <w:t>98.</w:t>
      </w:r>
      <w:r>
        <w:rPr>
          <w:rFonts w:hint="eastAsia" w:ascii="仿宋" w:hAnsi="仿宋" w:eastAsia="仿宋" w:cs="仿宋"/>
          <w:color w:val="000000" w:themeColor="text1"/>
          <w:sz w:val="32"/>
          <w:szCs w:val="32"/>
          <w14:textFill>
            <w14:solidFill>
              <w14:schemeClr w14:val="tx1"/>
            </w14:solidFill>
          </w14:textFill>
        </w:rPr>
        <w:t>自治区乡村教师生活补助项目自评得分为</w:t>
      </w:r>
      <w:r>
        <w:rPr>
          <w:rFonts w:hint="eastAsia" w:ascii="仿宋" w:hAnsi="仿宋" w:eastAsia="仿宋" w:cs="仿宋"/>
          <w:color w:val="000000" w:themeColor="text1"/>
          <w:sz w:val="32"/>
          <w:szCs w:val="32"/>
          <w:lang w:val="en-US" w:eastAsia="zh-CN"/>
          <w14:textFill>
            <w14:solidFill>
              <w14:schemeClr w14:val="tx1"/>
            </w14:solidFill>
          </w14:textFill>
        </w:rPr>
        <w:t>98.82</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教师有调入县城的情况</w:t>
      </w:r>
      <w:r>
        <w:rPr>
          <w:rFonts w:hint="eastAsia" w:ascii="仿宋" w:hAnsi="仿宋" w:eastAsia="仿宋" w:cs="仿宋"/>
          <w:color w:val="000000" w:themeColor="text1"/>
          <w:sz w:val="32"/>
          <w:szCs w:val="32"/>
          <w14:textFill>
            <w14:solidFill>
              <w14:schemeClr w14:val="tx1"/>
            </w14:solidFill>
          </w14:textFill>
        </w:rPr>
        <w:t>。下一步改进措施：一是做好年初预算；二是充分实施项目，提高执行率和效率。营养改善计划膳食补助资金项目自评得分为</w:t>
      </w:r>
      <w:r>
        <w:rPr>
          <w:rFonts w:ascii="仿宋" w:hAnsi="仿宋" w:eastAsia="仿宋" w:cs="仿宋"/>
          <w:color w:val="000000" w:themeColor="text1"/>
          <w:sz w:val="32"/>
          <w:szCs w:val="32"/>
          <w14:textFill>
            <w14:solidFill>
              <w14:schemeClr w14:val="tx1"/>
            </w14:solidFill>
          </w14:textFill>
        </w:rPr>
        <w:t>98.</w:t>
      </w:r>
      <w:r>
        <w:rPr>
          <w:rFonts w:hint="eastAsia" w:ascii="仿宋" w:hAnsi="仿宋" w:eastAsia="仿宋" w:cs="仿宋"/>
          <w:color w:val="000000" w:themeColor="text1"/>
          <w:sz w:val="32"/>
          <w:szCs w:val="32"/>
          <w:lang w:val="en-US" w:eastAsia="zh-CN"/>
          <w14:textFill>
            <w14:solidFill>
              <w14:schemeClr w14:val="tx1"/>
            </w14:solidFill>
          </w14:textFill>
        </w:rPr>
        <w:t>24</w:t>
      </w:r>
      <w:r>
        <w:rPr>
          <w:rFonts w:hint="eastAsia" w:ascii="仿宋" w:hAnsi="仿宋" w:eastAsia="仿宋" w:cs="仿宋"/>
          <w:color w:val="000000" w:themeColor="text1"/>
          <w:sz w:val="32"/>
          <w:szCs w:val="32"/>
          <w14:textFill>
            <w14:solidFill>
              <w14:schemeClr w14:val="tx1"/>
            </w14:solidFill>
          </w14:textFill>
        </w:rPr>
        <w:t>分。发现的主要问题及原因：一是学生人数不稳定；二是学生人数减少。下一步改进措施：一是做好年中调整；二是把握学生人数。义务教育中央公用经费项目自评得分为</w:t>
      </w:r>
      <w:r>
        <w:rPr>
          <w:rFonts w:ascii="仿宋" w:hAnsi="仿宋" w:eastAsia="仿宋" w:cs="仿宋"/>
          <w:color w:val="000000" w:themeColor="text1"/>
          <w:sz w:val="32"/>
          <w:szCs w:val="32"/>
          <w14:textFill>
            <w14:solidFill>
              <w14:schemeClr w14:val="tx1"/>
            </w14:solidFill>
          </w14:textFill>
        </w:rPr>
        <w:t>93.20</w:t>
      </w:r>
      <w:r>
        <w:rPr>
          <w:rFonts w:hint="eastAsia" w:ascii="仿宋" w:hAnsi="仿宋" w:eastAsia="仿宋" w:cs="仿宋"/>
          <w:color w:val="000000" w:themeColor="text1"/>
          <w:sz w:val="32"/>
          <w:szCs w:val="32"/>
          <w14:textFill>
            <w14:solidFill>
              <w14:schemeClr w14:val="tx1"/>
            </w14:solidFill>
          </w14:textFill>
        </w:rPr>
        <w:t>分。发现的主要问题及原因：一是执行率偏低；二是疫情提前放假。下一步改进措施：一是利用好项目资金规划；二是发展需要的办公活动。教师节</w:t>
      </w:r>
      <w:r>
        <w:rPr>
          <w:rFonts w:hint="eastAsia" w:ascii="仿宋" w:hAnsi="仿宋" w:eastAsia="仿宋" w:cs="仿宋"/>
          <w:color w:val="000000" w:themeColor="text1"/>
          <w:sz w:val="32"/>
          <w:szCs w:val="32"/>
          <w:lang w:val="en-US" w:eastAsia="zh-CN"/>
          <w14:textFill>
            <w14:solidFill>
              <w14:schemeClr w14:val="tx1"/>
            </w14:solidFill>
          </w14:textFill>
        </w:rPr>
        <w:t>经费</w:t>
      </w:r>
      <w:r>
        <w:rPr>
          <w:rFonts w:hint="eastAsia" w:ascii="仿宋" w:hAnsi="仿宋" w:eastAsia="仿宋" w:cs="仿宋"/>
          <w:color w:val="000000" w:themeColor="text1"/>
          <w:sz w:val="32"/>
          <w:szCs w:val="32"/>
          <w14:textFill>
            <w14:solidFill>
              <w14:schemeClr w14:val="tx1"/>
            </w14:solidFill>
          </w14:textFill>
        </w:rPr>
        <w:t>项目自评得分为</w:t>
      </w:r>
      <w:r>
        <w:rPr>
          <w:rFonts w:ascii="仿宋" w:hAnsi="仿宋"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分，没有问题。全县校长绩效工资项目自评得分为</w:t>
      </w:r>
      <w:r>
        <w:rPr>
          <w:rFonts w:ascii="仿宋" w:hAnsi="仿宋"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分。奖励性补贴项目自评得分为</w:t>
      </w:r>
      <w:r>
        <w:rPr>
          <w:rFonts w:ascii="仿宋" w:hAnsi="仿宋"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没有</w:t>
      </w:r>
      <w:r>
        <w:rPr>
          <w:rFonts w:hint="eastAsia" w:ascii="仿宋" w:hAnsi="仿宋" w:eastAsia="仿宋" w:cs="仿宋"/>
          <w:color w:val="000000" w:themeColor="text1"/>
          <w:sz w:val="32"/>
          <w:szCs w:val="32"/>
          <w14:textFill>
            <w14:solidFill>
              <w14:schemeClr w14:val="tx1"/>
            </w14:solidFill>
          </w14:textFill>
        </w:rPr>
        <w:t>问题。一次性抚恤金项目自评得分为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99.9</w:t>
      </w:r>
      <w:r>
        <w:rPr>
          <w:rFonts w:hint="eastAsia" w:ascii="仿宋" w:hAnsi="仿宋" w:eastAsia="仿宋" w:cs="仿宋"/>
          <w:color w:val="000000" w:themeColor="text1"/>
          <w:sz w:val="32"/>
          <w:szCs w:val="32"/>
          <w14:textFill>
            <w14:solidFill>
              <w14:schemeClr w14:val="tx1"/>
            </w14:solidFill>
          </w14:textFill>
        </w:rPr>
        <w:t>分。发现的主要问题及原因：一是</w:t>
      </w:r>
      <w:r>
        <w:rPr>
          <w:rFonts w:hint="eastAsia" w:ascii="仿宋" w:hAnsi="仿宋" w:eastAsia="仿宋" w:cs="仿宋"/>
          <w:color w:val="000000" w:themeColor="text1"/>
          <w:sz w:val="32"/>
          <w:szCs w:val="32"/>
          <w:lang w:val="en-US" w:eastAsia="zh-CN"/>
          <w14:textFill>
            <w14:solidFill>
              <w14:schemeClr w14:val="tx1"/>
            </w14:solidFill>
          </w14:textFill>
        </w:rPr>
        <w:t>资金核算有点误差。</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仔细核算资金，多次确认</w:t>
      </w:r>
      <w:r>
        <w:rPr>
          <w:rFonts w:hint="eastAsia" w:ascii="仿宋" w:hAnsi="仿宋" w:eastAsia="仿宋" w:cs="仿宋"/>
          <w:color w:val="000000" w:themeColor="text1"/>
          <w:sz w:val="32"/>
          <w:szCs w:val="32"/>
          <w14:textFill>
            <w14:solidFill>
              <w14:schemeClr w14:val="tx1"/>
            </w14:solidFill>
          </w14:textFill>
        </w:rPr>
        <w:t>。伙食补助项目自评得分为</w:t>
      </w:r>
      <w:r>
        <w:rPr>
          <w:rFonts w:ascii="仿宋" w:hAnsi="仿宋"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分。全县校长绩效工资项目自评得分为</w:t>
      </w:r>
      <w:r>
        <w:rPr>
          <w:rFonts w:ascii="仿宋" w:hAnsi="仿宋"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分。全县校园保卫经费项目自评得分为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90</w:t>
      </w:r>
      <w:r>
        <w:rPr>
          <w:rFonts w:hint="eastAsia" w:ascii="仿宋" w:hAnsi="仿宋" w:eastAsia="仿宋" w:cs="仿宋"/>
          <w:color w:val="000000" w:themeColor="text1"/>
          <w:sz w:val="32"/>
          <w:szCs w:val="32"/>
          <w14:textFill>
            <w14:solidFill>
              <w14:schemeClr w14:val="tx1"/>
            </w14:solidFill>
          </w14:textFill>
        </w:rPr>
        <w:t>分。发现的主要问题及原因：一是没有完成年初预算。下一步改进措施：做好年中调整。</w:t>
      </w:r>
      <w:r>
        <w:rPr>
          <w:rFonts w:hint="eastAsia" w:ascii="仿宋" w:hAnsi="仿宋" w:eastAsia="仿宋" w:cs="仿宋"/>
          <w:color w:val="000000" w:themeColor="text1"/>
          <w:sz w:val="32"/>
          <w:szCs w:val="32"/>
          <w:lang w:val="en-US" w:eastAsia="zh-CN"/>
          <w14:textFill>
            <w14:solidFill>
              <w14:schemeClr w14:val="tx1"/>
            </w14:solidFill>
          </w14:textFill>
        </w:rPr>
        <w:t>洛阳镇初级</w:t>
      </w:r>
      <w:r>
        <w:rPr>
          <w:rFonts w:hint="eastAsia" w:ascii="仿宋" w:hAnsi="仿宋" w:eastAsia="仿宋" w:cs="仿宋"/>
          <w:color w:val="000000" w:themeColor="text1"/>
          <w:sz w:val="32"/>
          <w:szCs w:val="32"/>
          <w14:textFill>
            <w14:solidFill>
              <w14:schemeClr w14:val="tx1"/>
            </w14:solidFill>
          </w14:textFill>
        </w:rPr>
        <w:t>中学2</w:t>
      </w:r>
      <w:r>
        <w:rPr>
          <w:rFonts w:ascii="仿宋" w:hAnsi="仿宋" w:eastAsia="仿宋" w:cs="仿宋"/>
          <w:color w:val="000000" w:themeColor="text1"/>
          <w:sz w:val="32"/>
          <w:szCs w:val="32"/>
          <w14:textFill>
            <w14:solidFill>
              <w14:schemeClr w14:val="tx1"/>
            </w14:solidFill>
          </w14:textFill>
        </w:rPr>
        <w:t>022</w:t>
      </w:r>
      <w:r>
        <w:rPr>
          <w:rFonts w:hint="eastAsia" w:ascii="仿宋" w:hAnsi="仿宋" w:eastAsia="仿宋" w:cs="仿宋"/>
          <w:color w:val="000000" w:themeColor="text1"/>
          <w:sz w:val="32"/>
          <w:szCs w:val="32"/>
          <w14:textFill>
            <w14:solidFill>
              <w14:schemeClr w14:val="tx1"/>
            </w14:solidFill>
          </w14:textFill>
        </w:rPr>
        <w:t>年初预算经费（经销店租金）项目自评得分为81.23分。发现的主要问题及原因：一是类似项目多条指标；二是年初预算偏多，年中学生数减少。下一步改进措施：一是把握学生的学习保障；二是做好年中调整。年初预算</w:t>
      </w:r>
      <w:r>
        <w:rPr>
          <w:rFonts w:hint="eastAsia" w:ascii="仿宋" w:hAnsi="仿宋" w:eastAsia="仿宋" w:cs="仿宋"/>
          <w:color w:val="000000" w:themeColor="text1"/>
          <w:sz w:val="32"/>
          <w:szCs w:val="32"/>
          <w:lang w:val="en-US" w:eastAsia="zh-CN"/>
          <w14:textFill>
            <w14:solidFill>
              <w14:schemeClr w14:val="tx1"/>
            </w14:solidFill>
          </w14:textFill>
        </w:rPr>
        <w:t>经费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追加</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项目自评得分为99.96分。发现的主要问题及原因：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核算项目资金有点误差</w:t>
      </w:r>
      <w:r>
        <w:rPr>
          <w:rFonts w:hint="eastAsia" w:ascii="仿宋" w:hAnsi="仿宋" w:eastAsia="仿宋" w:cs="仿宋"/>
          <w:color w:val="000000" w:themeColor="text1"/>
          <w:sz w:val="32"/>
          <w:szCs w:val="32"/>
          <w14:textFill>
            <w14:solidFill>
              <w14:schemeClr w14:val="tx1"/>
            </w14:solidFill>
          </w14:textFill>
        </w:rPr>
        <w:t>。下一步改进措施：一是及时上缴非税；二是做好项目调整。年初预算</w:t>
      </w:r>
      <w:r>
        <w:rPr>
          <w:rFonts w:hint="eastAsia" w:ascii="仿宋" w:hAnsi="仿宋" w:eastAsia="仿宋" w:cs="仿宋"/>
          <w:color w:val="000000" w:themeColor="text1"/>
          <w:sz w:val="32"/>
          <w:szCs w:val="32"/>
          <w:lang w:val="en-US" w:eastAsia="zh-CN"/>
          <w14:textFill>
            <w14:solidFill>
              <w14:schemeClr w14:val="tx1"/>
            </w14:solidFill>
          </w14:textFill>
        </w:rPr>
        <w:t>经费</w:t>
      </w:r>
      <w:r>
        <w:rPr>
          <w:rFonts w:hint="eastAsia" w:ascii="仿宋" w:hAnsi="仿宋" w:eastAsia="仿宋" w:cs="仿宋"/>
          <w:color w:val="000000" w:themeColor="text1"/>
          <w:sz w:val="32"/>
          <w:szCs w:val="32"/>
          <w14:textFill>
            <w14:solidFill>
              <w14:schemeClr w14:val="tx1"/>
            </w14:solidFill>
          </w14:textFill>
        </w:rPr>
        <w:t>项目自评得分为98.62分。发现的主要问题及原因：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核算项目资金有点误差</w:t>
      </w:r>
      <w:r>
        <w:rPr>
          <w:rFonts w:hint="eastAsia" w:ascii="仿宋" w:hAnsi="仿宋" w:eastAsia="仿宋" w:cs="仿宋"/>
          <w:color w:val="000000" w:themeColor="text1"/>
          <w:sz w:val="32"/>
          <w:szCs w:val="32"/>
          <w14:textFill>
            <w14:solidFill>
              <w14:schemeClr w14:val="tx1"/>
            </w14:solidFill>
          </w14:textFill>
        </w:rPr>
        <w:t>。下一步改进措施：一是及时上缴非税；二是做好项目调整。班主任津贴项目自评得分为</w:t>
      </w:r>
      <w:r>
        <w:rPr>
          <w:rFonts w:hint="eastAsia" w:ascii="仿宋" w:hAnsi="仿宋" w:eastAsia="仿宋" w:cs="仿宋"/>
          <w:color w:val="000000" w:themeColor="text1"/>
          <w:sz w:val="32"/>
          <w:szCs w:val="32"/>
          <w:lang w:val="en-US" w:eastAsia="zh-CN"/>
          <w14:textFill>
            <w14:solidFill>
              <w14:schemeClr w14:val="tx1"/>
            </w14:solidFill>
          </w14:textFill>
        </w:rPr>
        <w:t>80.35</w:t>
      </w:r>
      <w:r>
        <w:rPr>
          <w:rFonts w:hint="eastAsia" w:ascii="仿宋" w:hAnsi="仿宋" w:eastAsia="仿宋" w:cs="仿宋"/>
          <w:color w:val="000000" w:themeColor="text1"/>
          <w:sz w:val="32"/>
          <w:szCs w:val="32"/>
          <w14:textFill>
            <w14:solidFill>
              <w14:schemeClr w14:val="tx1"/>
            </w14:solidFill>
          </w14:textFill>
        </w:rPr>
        <w:t>分。发现的主要问题及原因：一是执行率小；二是因为疫情提前放假没有及时支付。下一步改进措施：一是按时支付，不跨年；二是把握财务制度流程，规范执行。</w:t>
      </w: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bookmarkStart w:id="7" w:name="_GoBack"/>
      <w:bookmarkEnd w:id="7"/>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hNWU1MWZhYzU5Y2ExZDNiZTA3ZGQ0OGIzZjg5ZjQ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7B0770E"/>
    <w:rsid w:val="09172C66"/>
    <w:rsid w:val="0942143F"/>
    <w:rsid w:val="0D100297"/>
    <w:rsid w:val="0D202B45"/>
    <w:rsid w:val="0F8D4C87"/>
    <w:rsid w:val="10505FAA"/>
    <w:rsid w:val="105F7E7E"/>
    <w:rsid w:val="11E56B5B"/>
    <w:rsid w:val="125C77AB"/>
    <w:rsid w:val="14CB726E"/>
    <w:rsid w:val="17E92249"/>
    <w:rsid w:val="18D304F1"/>
    <w:rsid w:val="19E47691"/>
    <w:rsid w:val="19F32577"/>
    <w:rsid w:val="19F45B80"/>
    <w:rsid w:val="1B0C078D"/>
    <w:rsid w:val="1B2B31E2"/>
    <w:rsid w:val="1B4C295A"/>
    <w:rsid w:val="1B973C63"/>
    <w:rsid w:val="1BA1001E"/>
    <w:rsid w:val="1D317259"/>
    <w:rsid w:val="1E664F5B"/>
    <w:rsid w:val="1EB34BE1"/>
    <w:rsid w:val="1F5B4021"/>
    <w:rsid w:val="215E639F"/>
    <w:rsid w:val="21EC3183"/>
    <w:rsid w:val="225E72CD"/>
    <w:rsid w:val="246E2F77"/>
    <w:rsid w:val="254B4E2B"/>
    <w:rsid w:val="283D7C94"/>
    <w:rsid w:val="29480E03"/>
    <w:rsid w:val="2983634D"/>
    <w:rsid w:val="2BB02055"/>
    <w:rsid w:val="2C575A56"/>
    <w:rsid w:val="2F257714"/>
    <w:rsid w:val="2F3275E5"/>
    <w:rsid w:val="30AA08EF"/>
    <w:rsid w:val="30D23D1C"/>
    <w:rsid w:val="31221CF5"/>
    <w:rsid w:val="31400178"/>
    <w:rsid w:val="321E3342"/>
    <w:rsid w:val="327759C8"/>
    <w:rsid w:val="33185FE3"/>
    <w:rsid w:val="34EE2E36"/>
    <w:rsid w:val="36777241"/>
    <w:rsid w:val="371E78D5"/>
    <w:rsid w:val="378D25C3"/>
    <w:rsid w:val="38A951DB"/>
    <w:rsid w:val="38B31605"/>
    <w:rsid w:val="39003F4F"/>
    <w:rsid w:val="3C07002B"/>
    <w:rsid w:val="3D0D152A"/>
    <w:rsid w:val="3DF62756"/>
    <w:rsid w:val="3F1B7587"/>
    <w:rsid w:val="41E57B4F"/>
    <w:rsid w:val="432F26F6"/>
    <w:rsid w:val="43880F63"/>
    <w:rsid w:val="441C5A6F"/>
    <w:rsid w:val="44C44FCC"/>
    <w:rsid w:val="44CC7369"/>
    <w:rsid w:val="457F5108"/>
    <w:rsid w:val="46951B6B"/>
    <w:rsid w:val="49322F1E"/>
    <w:rsid w:val="49A34401"/>
    <w:rsid w:val="4A3E30AB"/>
    <w:rsid w:val="4AC14DAC"/>
    <w:rsid w:val="4D154C85"/>
    <w:rsid w:val="4EB35ECE"/>
    <w:rsid w:val="508F4E24"/>
    <w:rsid w:val="51461E90"/>
    <w:rsid w:val="51463753"/>
    <w:rsid w:val="52553A93"/>
    <w:rsid w:val="53521F8B"/>
    <w:rsid w:val="53E22F47"/>
    <w:rsid w:val="54522FF8"/>
    <w:rsid w:val="55450629"/>
    <w:rsid w:val="56692963"/>
    <w:rsid w:val="568B0F48"/>
    <w:rsid w:val="5786217B"/>
    <w:rsid w:val="591A5FCF"/>
    <w:rsid w:val="59337A15"/>
    <w:rsid w:val="59810274"/>
    <w:rsid w:val="5CA96A00"/>
    <w:rsid w:val="5CF730BC"/>
    <w:rsid w:val="5E5F0DCE"/>
    <w:rsid w:val="5FA40A7B"/>
    <w:rsid w:val="5FD56D29"/>
    <w:rsid w:val="5FEC7F3F"/>
    <w:rsid w:val="60F74BC3"/>
    <w:rsid w:val="617D3BF8"/>
    <w:rsid w:val="61841F6A"/>
    <w:rsid w:val="623007A9"/>
    <w:rsid w:val="637D7558"/>
    <w:rsid w:val="644F19AC"/>
    <w:rsid w:val="65AA4920"/>
    <w:rsid w:val="65E31D0B"/>
    <w:rsid w:val="67694F1E"/>
    <w:rsid w:val="69597934"/>
    <w:rsid w:val="6A366774"/>
    <w:rsid w:val="6B710041"/>
    <w:rsid w:val="6B964DDC"/>
    <w:rsid w:val="6C783074"/>
    <w:rsid w:val="6D9E65C6"/>
    <w:rsid w:val="6DA81947"/>
    <w:rsid w:val="6EB66DE2"/>
    <w:rsid w:val="6ED3075F"/>
    <w:rsid w:val="6F2A2D4B"/>
    <w:rsid w:val="6F8A0C1E"/>
    <w:rsid w:val="703F45D4"/>
    <w:rsid w:val="715D6546"/>
    <w:rsid w:val="71BE069E"/>
    <w:rsid w:val="728224CC"/>
    <w:rsid w:val="73953409"/>
    <w:rsid w:val="73E069A3"/>
    <w:rsid w:val="78104AA8"/>
    <w:rsid w:val="78E257C5"/>
    <w:rsid w:val="794B35BE"/>
    <w:rsid w:val="79FF4AE5"/>
    <w:rsid w:val="7B0A3A31"/>
    <w:rsid w:val="7B3360ED"/>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9.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1515.2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12.14</c:v>
                </c:pt>
                <c:pt idx="4">
                  <c:v>52.82</c:v>
                </c:pt>
                <c:pt idx="5">
                  <c:v>0</c:v>
                </c:pt>
                <c:pt idx="6">
                  <c:v>0</c:v>
                </c:pt>
                <c:pt idx="7">
                  <c:v>182.55</c:v>
                </c:pt>
                <c:pt idx="8">
                  <c:v>0</c:v>
                </c:pt>
                <c:pt idx="9">
                  <c:v>0</c:v>
                </c:pt>
                <c:pt idx="10">
                  <c:v>0</c:v>
                </c:pt>
                <c:pt idx="11">
                  <c:v>3.44</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0.66</c:v>
                </c:pt>
                <c:pt idx="2">
                  <c:v>0.3</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1405.46</c:v>
                </c:pt>
                <c:pt idx="2">
                  <c:v>115.64</c:v>
                </c:pt>
                <c:pt idx="3">
                  <c:v>75.52</c:v>
                </c:pt>
                <c:pt idx="4">
                  <c:v>212.9</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15.25</c:v>
                </c:pt>
                <c:pt idx="1">
                  <c:v>1147.45</c:v>
                </c:pt>
                <c:pt idx="2">
                  <c:v>109.48</c:v>
                </c:pt>
                <c:pt idx="3">
                  <c:v>81.97</c:v>
                </c:pt>
                <c:pt idx="4">
                  <c:v>161.04</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15.25</c:v>
                </c:pt>
                <c:pt idx="1">
                  <c:v>15.25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2050203</c:v>
                </c:pt>
                <c:pt idx="1">
                  <c:v>2050299</c:v>
                </c:pt>
                <c:pt idx="2">
                  <c:v>2050999</c:v>
                </c:pt>
                <c:pt idx="3">
                  <c:v>205x</c:v>
                </c:pt>
              </c:strCache>
            </c:strRef>
          </c:cat>
          <c:val>
            <c:numRef>
              <c:f>Sheet1!$B$2:$B$5</c:f>
              <c:numCache>
                <c:formatCode>General</c:formatCode>
                <c:ptCount val="4"/>
                <c:pt idx="0">
                  <c:v>1124.1</c:v>
                </c:pt>
                <c:pt idx="1">
                  <c:v>23.17</c:v>
                </c:pt>
                <c:pt idx="2">
                  <c:v>0.18</c:v>
                </c:pt>
                <c:pt idx="3">
                  <c:v>1147.45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109.48</c:v>
                </c:pt>
                <c:pt idx="1">
                  <c:v>109.48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81.97</c:v>
                </c:pt>
                <c:pt idx="1">
                  <c:v>81.97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161.04</c:v>
                </c:pt>
                <c:pt idx="1">
                  <c:v>161.04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459.41</c:v>
                </c:pt>
                <c:pt idx="1">
                  <c:v>64.89</c:v>
                </c:pt>
                <c:pt idx="2">
                  <c:v>138.58</c:v>
                </c:pt>
                <c:pt idx="3">
                  <c:v>0</c:v>
                </c:pt>
                <c:pt idx="4">
                  <c:v>174.26</c:v>
                </c:pt>
                <c:pt idx="5">
                  <c:v>109.48</c:v>
                </c:pt>
                <c:pt idx="6">
                  <c:v>0</c:v>
                </c:pt>
                <c:pt idx="7">
                  <c:v>52.33</c:v>
                </c:pt>
                <c:pt idx="8">
                  <c:v>0</c:v>
                </c:pt>
                <c:pt idx="9">
                  <c:v>6.25</c:v>
                </c:pt>
                <c:pt idx="10">
                  <c:v>81.97</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0.05</c:v>
                </c:pt>
                <c:pt idx="1">
                  <c:v>0</c:v>
                </c:pt>
                <c:pt idx="2">
                  <c:v>0</c:v>
                </c:pt>
                <c:pt idx="3">
                  <c:v>0</c:v>
                </c:pt>
                <c:pt idx="4">
                  <c:v>3.83</c:v>
                </c:pt>
                <c:pt idx="5">
                  <c:v>8.1</c:v>
                </c:pt>
                <c:pt idx="6">
                  <c:v>0.54</c:v>
                </c:pt>
                <c:pt idx="7">
                  <c:v>0</c:v>
                </c:pt>
                <c:pt idx="8">
                  <c:v>0</c:v>
                </c:pt>
                <c:pt idx="9">
                  <c:v>1.97</c:v>
                </c:pt>
                <c:pt idx="10">
                  <c:v>0</c:v>
                </c:pt>
                <c:pt idx="11">
                  <c:v>0.37</c:v>
                </c:pt>
                <c:pt idx="12">
                  <c:v>0</c:v>
                </c:pt>
                <c:pt idx="13">
                  <c:v>0</c:v>
                </c:pt>
                <c:pt idx="14">
                  <c:v>0</c:v>
                </c:pt>
                <c:pt idx="15">
                  <c:v>0</c:v>
                </c:pt>
                <c:pt idx="16">
                  <c:v>0</c:v>
                </c:pt>
                <c:pt idx="17">
                  <c:v>0</c:v>
                </c:pt>
                <c:pt idx="18">
                  <c:v>0</c:v>
                </c:pt>
                <c:pt idx="19">
                  <c:v>0</c:v>
                </c:pt>
                <c:pt idx="20">
                  <c:v>0</c:v>
                </c:pt>
                <c:pt idx="21">
                  <c:v>15.25</c:v>
                </c:pt>
                <c:pt idx="22">
                  <c:v>0</c:v>
                </c:pt>
                <c:pt idx="23">
                  <c:v>0</c:v>
                </c:pt>
                <c:pt idx="24">
                  <c:v>0</c:v>
                </c:pt>
                <c:pt idx="25">
                  <c:v>0</c:v>
                </c:pt>
                <c:pt idx="26">
                  <c:v>2.37</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manualLayout>
          <c:xMode val="edge"/>
          <c:yMode val="edge"/>
          <c:x val="0.425925925925926"/>
          <c:y val="0.87653311529027"/>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0</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2023-08-17T10:06:00Z</dcterms:created>
  <dc:creator>C D D</dc:creator>
  <cp:lastModifiedBy>Administrator</cp:lastModifiedBy>
  <dcterms:modified xsi:type="dcterms:W3CDTF">2023-11-28T10:14:03Z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