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环江毛南族自治县川山镇初级中学2022年度部门决算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hint="eastAsia" w:ascii="黑体" w:hAnsi="黑体" w:eastAsia="黑体" w:cs="黑体"/>
          <w:sz w:val="36"/>
          <w:szCs w:val="36"/>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6"/>
          <w:szCs w:val="36"/>
          <w:lang w:val="en-US" w:eastAsia="zh-CN"/>
        </w:rPr>
        <w:t xml:space="preserve">   </w:t>
      </w:r>
      <w:r>
        <w:rPr>
          <w:rFonts w:hint="eastAsia" w:ascii="黑体" w:hAnsi="黑体" w:eastAsia="黑体" w:cs="黑体"/>
          <w:sz w:val="36"/>
          <w:szCs w:val="36"/>
          <w:lang w:val="en-US" w:eastAsia="zh-CN"/>
        </w:rPr>
        <w:t xml:space="preserve">  单位负责人：何泰学</w:t>
      </w:r>
    </w:p>
    <w:p>
      <w:pPr>
        <w:jc w:val="left"/>
        <w:rPr>
          <w:rFonts w:ascii="仿宋" w:hAnsi="仿宋" w:eastAsia="仿宋" w:cs="仿宋"/>
          <w:sz w:val="36"/>
          <w:szCs w:val="36"/>
        </w:rPr>
      </w:pPr>
    </w:p>
    <w:p>
      <w:pPr>
        <w:ind w:firstLine="2891" w:firstLineChars="800"/>
        <w:jc w:val="both"/>
        <w:rPr>
          <w:rFonts w:hint="default" w:ascii="黑体" w:hAnsi="黑体" w:eastAsia="黑体" w:cs="黑体"/>
          <w:b/>
          <w:bCs/>
          <w:sz w:val="36"/>
          <w:szCs w:val="36"/>
          <w:lang w:val="en-US" w:eastAsia="zh-CN"/>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环江毛南族自治县川山镇初级中学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环江毛南族自治县川山镇初级中学</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环江毛南族自治县川山镇初级中学</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环江毛南族自治县川山镇初级中学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实施初中义务教育，促进基础教育发展。初中学历教育（相关社会服务）。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ascii="黑体" w:hAnsi="黑体" w:eastAsia="黑体" w:cs="黑体"/>
          <w:sz w:val="32"/>
          <w:szCs w:val="32"/>
        </w:rPr>
      </w:pPr>
      <w:r>
        <w:rPr>
          <w:rFonts w:hint="eastAsia" w:ascii="仿宋_GB2312" w:eastAsia="仿宋_GB2312" w:cs="仿宋_GB2312"/>
          <w:kern w:val="0"/>
          <w:sz w:val="32"/>
          <w:szCs w:val="32"/>
          <w:highlight w:val="none"/>
        </w:rPr>
        <w:t>本单位为教育局下属机构，是最基层的预算单</w:t>
      </w:r>
      <w:r>
        <w:rPr>
          <w:rFonts w:hint="eastAsia" w:ascii="仿宋_GB2312" w:eastAsia="仿宋_GB2312" w:cs="仿宋_GB2312"/>
          <w:kern w:val="0"/>
          <w:sz w:val="32"/>
          <w:szCs w:val="32"/>
        </w:rPr>
        <w:t>位。</w:t>
      </w:r>
      <w:r>
        <w:rPr>
          <w:rFonts w:hint="eastAsia" w:ascii="仿宋" w:hAnsi="仿宋" w:eastAsia="仿宋" w:cs="仿宋"/>
          <w:sz w:val="32"/>
          <w:szCs w:val="32"/>
        </w:rPr>
        <w:t>没有下属单位，按照部门决算编报要求，单独编制本部门决算。</w:t>
      </w:r>
    </w:p>
    <w:p>
      <w:pPr>
        <w:jc w:val="center"/>
        <w:rPr>
          <w:rFonts w:ascii="仿宋" w:hAnsi="仿宋" w:eastAsia="仿宋" w:cs="仿宋"/>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环江毛南族自治县川山镇初级中学</w:t>
      </w:r>
      <w:r>
        <w:rPr>
          <w:rFonts w:hint="eastAsia" w:ascii="黑体" w:hAnsi="黑体" w:eastAsia="黑体" w:cs="黑体"/>
          <w:sz w:val="32"/>
          <w:szCs w:val="32"/>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1671.55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1671.55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1255.99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1255.99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1671.55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1469.33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202.22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1255.99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1255.99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1255.99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1255.99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28.72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84.07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84.07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84.07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6" w:type="pct"/>
        <w:tblInd w:w="0" w:type="dxa"/>
        <w:tblLayout w:type="fixed"/>
        <w:tblCellMar>
          <w:top w:w="0" w:type="dxa"/>
          <w:left w:w="108" w:type="dxa"/>
          <w:bottom w:w="0" w:type="dxa"/>
          <w:right w:w="108" w:type="dxa"/>
        </w:tblCellMar>
      </w:tblPr>
      <w:tblGrid>
        <w:gridCol w:w="2213"/>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1284.71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1284.71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113.25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113.25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84.07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84.07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173.49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173.49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1671.55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1671.55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1671.55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1671.55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1469.33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202.22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1284.71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1255.99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28.72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1284.71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1255.99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28.72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1255.99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1255.99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28.72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28.72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173.49</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1151.99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501.17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66.85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82.05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4.95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184.91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4.95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0.93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0.66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54.82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84.07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58.49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275.40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8.15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40.80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221.98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16.02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bookmarkStart w:id="0" w:name="OLE_LINK3"/>
            <w:bookmarkEnd w:id="0"/>
            <w:bookmarkStart w:id="1" w:name="OLE_LINK4"/>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1427.39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41.94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注：本表反映部门本年度政府性基金预算财政拨款收入、支出及结转和结余情况。</w:t>
            </w:r>
          </w:p>
          <w:p>
            <w:pPr>
              <w:rPr>
                <w:rFonts w:ascii="宋体" w:hAnsi="宋体" w:eastAsia="宋体" w:cs="宋体"/>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年度没有政府性基金预算财政拨款收入，也没有政府性基金预算财政拨款安排的支出，故本表无数据。</w:t>
            </w:r>
          </w:p>
        </w:tc>
      </w:tr>
    </w:tbl>
    <w:p>
      <w:pPr>
        <w:tabs>
          <w:tab w:val="left" w:pos="9844"/>
        </w:tabs>
        <w:rPr>
          <w:rFonts w:ascii="仿宋" w:hAnsi="仿宋" w:eastAsia="仿宋" w:cs="仿宋"/>
          <w:sz w:val="24"/>
        </w:rPr>
      </w:pPr>
      <w:r>
        <w:rPr>
          <w:rFonts w:ascii="仿宋" w:hAnsi="仿宋" w:eastAsia="仿宋" w:cs="仿宋"/>
          <w:sz w:val="24"/>
        </w:rPr>
        <w:br w:type="page"/>
      </w:r>
      <w:r>
        <w:rPr>
          <w:rFonts w:ascii="仿宋" w:hAnsi="仿宋" w:eastAsia="仿宋" w:cs="仿宋"/>
          <w:sz w:val="24"/>
        </w:rPr>
        <w:tab/>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年度没有政府性基金预算财政拨款收入，也没有政府性基金预算财政拨款安排的支出，故本表无数据。</w:t>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环江毛南族自治县川山镇初级中学</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年度没有政府性基金预算财政拨款收入，也没有政府性基金预算财政拨款安排的支出，故本表无数据。</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环江毛南族自治县川山镇初级中学</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1671.55</w:t>
      </w:r>
      <w:r>
        <w:rPr>
          <w:rFonts w:hint="eastAsia" w:ascii="仿宋" w:hAnsi="仿宋" w:eastAsia="仿宋" w:cs="仿宋"/>
          <w:sz w:val="32"/>
          <w:szCs w:val="32"/>
        </w:rPr>
        <w:t>万元，较2021年度决算数</w:t>
      </w:r>
      <w:r>
        <w:rPr>
          <w:rFonts w:ascii="仿宋" w:hAnsi="仿宋" w:eastAsia="仿宋" w:cs="仿宋"/>
          <w:sz w:val="32"/>
        </w:rPr>
        <w:t>减少567.85</w:t>
      </w:r>
      <w:r>
        <w:rPr>
          <w:rFonts w:hint="eastAsia" w:ascii="仿宋" w:hAnsi="仿宋" w:eastAsia="仿宋" w:cs="仿宋"/>
          <w:sz w:val="32"/>
          <w:szCs w:val="32"/>
        </w:rPr>
        <w:t>万元，</w:t>
      </w:r>
      <w:r>
        <w:rPr>
          <w:rFonts w:ascii="仿宋" w:hAnsi="仿宋" w:eastAsia="仿宋" w:cs="仿宋"/>
          <w:sz w:val="32"/>
        </w:rPr>
        <w:t>下降25.36%</w:t>
      </w:r>
      <w:r>
        <w:rPr>
          <w:rFonts w:hint="eastAsia" w:ascii="仿宋" w:hAnsi="仿宋" w:eastAsia="仿宋" w:cs="仿宋"/>
          <w:sz w:val="32"/>
          <w:szCs w:val="32"/>
        </w:rPr>
        <w:t>，其中本年收入</w:t>
      </w:r>
      <w:r>
        <w:rPr>
          <w:rFonts w:ascii="仿宋" w:hAnsi="仿宋" w:eastAsia="仿宋" w:cs="仿宋"/>
          <w:sz w:val="32"/>
        </w:rPr>
        <w:t>1671.55</w:t>
      </w:r>
      <w:r>
        <w:rPr>
          <w:rFonts w:hint="eastAsia" w:ascii="仿宋" w:hAnsi="仿宋" w:eastAsia="仿宋" w:cs="仿宋"/>
          <w:sz w:val="32"/>
          <w:szCs w:val="32"/>
        </w:rPr>
        <w:t>万元。收入具体情况如下。</w:t>
      </w:r>
    </w:p>
    <w:p>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1671.55</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减少144.30</w:t>
      </w:r>
      <w:r>
        <w:rPr>
          <w:rFonts w:hint="eastAsia" w:ascii="仿宋" w:hAnsi="仿宋" w:eastAsia="仿宋" w:cs="仿宋"/>
          <w:sz w:val="32"/>
          <w:szCs w:val="32"/>
          <w:lang w:bidi="ar"/>
        </w:rPr>
        <w:t>万元，</w:t>
      </w:r>
      <w:r>
        <w:rPr>
          <w:rFonts w:ascii="仿宋" w:hAnsi="仿宋" w:eastAsia="仿宋" w:cs="仿宋"/>
          <w:sz w:val="32"/>
        </w:rPr>
        <w:t>下降7.95%</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Times New Roman" w:hAnsi="Times New Roman" w:eastAsia="仿宋_GB2312" w:cs="Times New Roman"/>
          <w:kern w:val="0"/>
          <w:sz w:val="32"/>
          <w:szCs w:val="32"/>
        </w:rPr>
        <w:t>一是人员减少，工资福利等支出相应减少，二是学生人数减少，相应的各项拨款也减少</w:t>
      </w:r>
      <w:r>
        <w:rPr>
          <w:rFonts w:ascii="Times New Roman" w:hAnsi="Times New Roman" w:eastAsia="仿宋_GB2312" w:cs="Times New Roman"/>
          <w:kern w:val="0"/>
          <w:sz w:val="32"/>
          <w:szCs w:val="32"/>
        </w:rPr>
        <w:t>。</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6.经</w:t>
      </w:r>
      <w:r>
        <w:rPr>
          <w:rFonts w:hint="eastAsia" w:ascii="仿宋" w:hAnsi="仿宋" w:eastAsia="仿宋" w:cs="仿宋"/>
          <w:sz w:val="32"/>
          <w:szCs w:val="32"/>
          <w:lang w:bidi="ar"/>
        </w:rPr>
        <w:t>营收入0.00万,为事业单位在业务活动之外开展非独立核算经营活动取得的收入。较2021年度决算数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万元，为以前年度支出预算因客观条件变化未执行完毕、结转到本年度按有关规定继续使用的资金。较2021年度决算数</w:t>
      </w:r>
      <w:r>
        <w:rPr>
          <w:rFonts w:ascii="仿宋" w:hAnsi="仿宋" w:eastAsia="仿宋" w:cs="仿宋"/>
          <w:sz w:val="32"/>
        </w:rPr>
        <w:t>减少423.56</w:t>
      </w:r>
      <w:r>
        <w:rPr>
          <w:rFonts w:hint="eastAsia" w:ascii="仿宋" w:hAnsi="仿宋" w:eastAsia="仿宋" w:cs="仿宋"/>
          <w:sz w:val="32"/>
          <w:szCs w:val="32"/>
          <w:lang w:bidi="ar"/>
        </w:rPr>
        <w:t>万元，</w:t>
      </w:r>
      <w:r>
        <w:rPr>
          <w:rFonts w:ascii="仿宋" w:hAnsi="仿宋" w:eastAsia="仿宋" w:cs="仿宋"/>
          <w:sz w:val="32"/>
        </w:rPr>
        <w:t>下降100.00%</w:t>
      </w:r>
      <w:r>
        <w:rPr>
          <w:rFonts w:hint="eastAsia" w:ascii="仿宋" w:hAnsi="仿宋" w:eastAsia="仿宋" w:cs="仿宋"/>
          <w:sz w:val="32"/>
          <w:szCs w:val="32"/>
          <w:lang w:bidi="ar"/>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2289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1671.55</w:t>
      </w:r>
      <w:r>
        <w:rPr>
          <w:rFonts w:hint="eastAsia" w:ascii="仿宋" w:hAnsi="仿宋" w:eastAsia="仿宋" w:cs="仿宋"/>
          <w:sz w:val="32"/>
          <w:szCs w:val="32"/>
        </w:rPr>
        <w:t>万元，其中本年支出</w:t>
      </w:r>
      <w:r>
        <w:rPr>
          <w:rFonts w:ascii="仿宋" w:hAnsi="仿宋" w:eastAsia="仿宋" w:cs="仿宋"/>
          <w:sz w:val="32"/>
        </w:rPr>
        <w:t>1671.55</w:t>
      </w:r>
      <w:r>
        <w:rPr>
          <w:rFonts w:hint="eastAsia" w:ascii="仿宋" w:hAnsi="仿宋" w:eastAsia="仿宋" w:cs="仿宋"/>
          <w:sz w:val="32"/>
          <w:szCs w:val="32"/>
        </w:rPr>
        <w:t>万元，较2021年度决算数</w:t>
      </w:r>
      <w:r>
        <w:rPr>
          <w:rFonts w:ascii="仿宋" w:hAnsi="仿宋" w:eastAsia="仿宋" w:cs="仿宋"/>
          <w:sz w:val="32"/>
        </w:rPr>
        <w:t>减少567.85</w:t>
      </w:r>
      <w:r>
        <w:rPr>
          <w:rFonts w:hint="eastAsia" w:ascii="仿宋" w:hAnsi="仿宋" w:eastAsia="仿宋" w:cs="仿宋"/>
          <w:sz w:val="32"/>
          <w:szCs w:val="32"/>
        </w:rPr>
        <w:t>万元，</w:t>
      </w:r>
      <w:r>
        <w:rPr>
          <w:rFonts w:ascii="仿宋" w:hAnsi="仿宋" w:eastAsia="仿宋" w:cs="仿宋"/>
          <w:sz w:val="32"/>
        </w:rPr>
        <w:t>下降25.36%</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16.02</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工会经费。较2021年度决算数</w:t>
      </w:r>
      <w:r>
        <w:rPr>
          <w:rFonts w:hint="eastAsia" w:ascii="仿宋" w:hAnsi="仿宋" w:eastAsia="仿宋" w:cs="仿宋"/>
          <w:sz w:val="32"/>
          <w:szCs w:val="32"/>
          <w:lang w:bidi="ar"/>
        </w:rPr>
        <w:t>增加16.02</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2021年本单位无该项目预算,本单位</w:t>
      </w:r>
      <w:r>
        <w:rPr>
          <w:rFonts w:hint="eastAsia" w:ascii="仿宋" w:hAnsi="仿宋" w:eastAsia="仿宋" w:cs="仿宋"/>
          <w:sz w:val="32"/>
          <w:szCs w:val="32"/>
        </w:rPr>
        <w:t>工会经费</w:t>
      </w:r>
      <w:r>
        <w:rPr>
          <w:rFonts w:hint="eastAsia" w:ascii="仿宋" w:hAnsi="仿宋" w:eastAsia="仿宋" w:cs="仿宋"/>
          <w:sz w:val="32"/>
          <w:szCs w:val="32"/>
          <w:lang w:bidi="ar"/>
        </w:rPr>
        <w:t>预算由主管单位统一预算。</w:t>
      </w:r>
    </w:p>
    <w:p>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1284.71</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减少352.54</w:t>
      </w:r>
      <w:r>
        <w:rPr>
          <w:rFonts w:hint="eastAsia" w:ascii="仿宋" w:hAnsi="仿宋" w:eastAsia="仿宋" w:cs="仿宋"/>
          <w:sz w:val="32"/>
          <w:szCs w:val="32"/>
        </w:rPr>
        <w:t>万元，</w:t>
      </w:r>
      <w:r>
        <w:rPr>
          <w:rFonts w:hint="eastAsia" w:ascii="仿宋" w:hAnsi="仿宋" w:eastAsia="仿宋" w:cs="仿宋"/>
          <w:sz w:val="32"/>
          <w:szCs w:val="32"/>
          <w:lang w:bidi="ar"/>
        </w:rPr>
        <w:t>下降21.53%</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一是人员减少，工资福利等支出相应减少，二是学生人数减少，相应的各项拨款也减少</w:t>
      </w:r>
      <w:r>
        <w:rPr>
          <w:rFonts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113.25</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主要用于单位基本养老缴费。</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减少155.80</w:t>
      </w:r>
      <w:r>
        <w:rPr>
          <w:rFonts w:hint="eastAsia" w:ascii="仿宋" w:hAnsi="仿宋" w:eastAsia="仿宋" w:cs="仿宋"/>
          <w:sz w:val="32"/>
          <w:szCs w:val="32"/>
        </w:rPr>
        <w:t>万元，</w:t>
      </w:r>
      <w:r>
        <w:rPr>
          <w:rFonts w:hint="eastAsia" w:ascii="仿宋" w:hAnsi="仿宋" w:eastAsia="仿宋" w:cs="仿宋"/>
          <w:sz w:val="32"/>
          <w:szCs w:val="32"/>
          <w:lang w:bidi="ar"/>
        </w:rPr>
        <w:t>下降57.91%</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人员减少</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84.07</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rPr>
        <w:t>较2021年度决算数</w:t>
      </w:r>
      <w:r>
        <w:rPr>
          <w:rFonts w:hint="eastAsia" w:ascii="仿宋" w:hAnsi="仿宋" w:eastAsia="仿宋" w:cs="仿宋"/>
          <w:sz w:val="32"/>
          <w:szCs w:val="32"/>
          <w:lang w:bidi="ar"/>
        </w:rPr>
        <w:t>增加19.42</w:t>
      </w:r>
      <w:r>
        <w:rPr>
          <w:rFonts w:hint="eastAsia" w:ascii="仿宋" w:hAnsi="仿宋" w:eastAsia="仿宋" w:cs="仿宋"/>
          <w:sz w:val="32"/>
          <w:szCs w:val="32"/>
        </w:rPr>
        <w:t>万元，</w:t>
      </w:r>
      <w:r>
        <w:rPr>
          <w:rFonts w:hint="eastAsia" w:ascii="仿宋" w:hAnsi="仿宋" w:eastAsia="仿宋" w:cs="仿宋"/>
          <w:sz w:val="32"/>
          <w:szCs w:val="32"/>
          <w:lang w:bidi="ar"/>
        </w:rPr>
        <w:t>增长30.04%</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2022年收入增加，使得</w:t>
      </w:r>
      <w:r>
        <w:rPr>
          <w:rFonts w:hint="eastAsia" w:ascii="Times New Roman" w:hAnsi="Times New Roman" w:eastAsia="仿宋_GB2312" w:cs="Times New Roman"/>
          <w:kern w:val="0"/>
          <w:sz w:val="32"/>
          <w:szCs w:val="32"/>
        </w:rPr>
        <w:t>住房公积金扣缴基数提高。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173.49</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主要用于人员工资福利</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减少94.96</w:t>
      </w:r>
      <w:r>
        <w:rPr>
          <w:rFonts w:hint="eastAsia" w:ascii="仿宋" w:hAnsi="仿宋" w:eastAsia="仿宋" w:cs="仿宋"/>
          <w:sz w:val="32"/>
          <w:szCs w:val="32"/>
        </w:rPr>
        <w:t>万元，</w:t>
      </w:r>
      <w:r>
        <w:rPr>
          <w:rFonts w:hint="eastAsia" w:ascii="仿宋" w:hAnsi="仿宋" w:eastAsia="仿宋" w:cs="仿宋"/>
          <w:sz w:val="32"/>
          <w:szCs w:val="32"/>
          <w:lang w:bidi="ar"/>
        </w:rPr>
        <w:t>下降35.37%</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人员减少</w:t>
      </w:r>
      <w:r>
        <w:rPr>
          <w:rFonts w:hint="eastAsia" w:ascii="仿宋" w:hAnsi="仿宋" w:eastAsia="仿宋" w:cs="仿宋"/>
          <w:sz w:val="32"/>
          <w:szCs w:val="32"/>
          <w:lang w:bidi="ar"/>
        </w:rPr>
        <w:t>。</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575175" cy="2821940"/>
            <wp:effectExtent l="4445" t="4445" r="11430" b="1206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环江毛南族自治县川山镇初级中学2022年度一般公共预算财政拨款支出</w:t>
      </w:r>
      <w:r>
        <w:rPr>
          <w:rFonts w:ascii="仿宋" w:hAnsi="仿宋" w:eastAsia="仿宋" w:cs="仿宋"/>
          <w:sz w:val="32"/>
        </w:rPr>
        <w:t>1671.55</w:t>
      </w:r>
      <w:r>
        <w:rPr>
          <w:rFonts w:hint="eastAsia" w:ascii="仿宋" w:hAnsi="仿宋" w:eastAsia="仿宋" w:cs="仿宋"/>
          <w:sz w:val="32"/>
          <w:szCs w:val="32"/>
        </w:rPr>
        <w:t>万元，较2021年度决算数</w:t>
      </w:r>
      <w:r>
        <w:rPr>
          <w:rFonts w:ascii="仿宋" w:hAnsi="仿宋" w:eastAsia="仿宋" w:cs="仿宋"/>
          <w:sz w:val="32"/>
        </w:rPr>
        <w:t>减少430.63</w:t>
      </w:r>
      <w:r>
        <w:rPr>
          <w:rFonts w:hint="eastAsia" w:ascii="仿宋" w:hAnsi="仿宋" w:eastAsia="仿宋" w:cs="仿宋"/>
          <w:sz w:val="32"/>
          <w:szCs w:val="32"/>
        </w:rPr>
        <w:t>万元，</w:t>
      </w:r>
      <w:r>
        <w:rPr>
          <w:rFonts w:ascii="仿宋" w:hAnsi="仿宋" w:eastAsia="仿宋" w:cs="仿宋"/>
          <w:sz w:val="32"/>
        </w:rPr>
        <w:t>下降20.48%</w:t>
      </w:r>
      <w:r>
        <w:rPr>
          <w:rFonts w:hint="eastAsia" w:ascii="仿宋" w:hAnsi="仿宋" w:eastAsia="仿宋" w:cs="仿宋"/>
          <w:sz w:val="32"/>
          <w:szCs w:val="32"/>
        </w:rPr>
        <w:t>。其中：基本支出</w:t>
      </w:r>
      <w:r>
        <w:rPr>
          <w:rFonts w:ascii="仿宋" w:hAnsi="仿宋" w:eastAsia="仿宋" w:cs="仿宋"/>
          <w:sz w:val="32"/>
        </w:rPr>
        <w:t>1469.33</w:t>
      </w:r>
      <w:r>
        <w:rPr>
          <w:rFonts w:hint="eastAsia" w:ascii="仿宋" w:hAnsi="仿宋" w:eastAsia="仿宋" w:cs="仿宋"/>
          <w:sz w:val="32"/>
          <w:szCs w:val="32"/>
        </w:rPr>
        <w:t>万元，项目支出</w:t>
      </w:r>
      <w:r>
        <w:rPr>
          <w:rFonts w:ascii="仿宋" w:hAnsi="仿宋" w:eastAsia="仿宋" w:cs="仿宋"/>
          <w:sz w:val="32"/>
        </w:rPr>
        <w:t>202.22</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环江毛南族自治县川山镇初级中学2022 年度一般公共预算财政拨款支出年初预算为</w:t>
      </w:r>
      <w:r>
        <w:rPr>
          <w:rFonts w:ascii="仿宋" w:hAnsi="仿宋" w:eastAsia="仿宋" w:cs="仿宋"/>
          <w:sz w:val="32"/>
        </w:rPr>
        <w:t>1119.02</w:t>
      </w:r>
      <w:r>
        <w:rPr>
          <w:rFonts w:hint="eastAsia" w:ascii="仿宋" w:hAnsi="仿宋" w:eastAsia="仿宋" w:cs="仿宋"/>
          <w:sz w:val="32"/>
          <w:szCs w:val="32"/>
        </w:rPr>
        <w:t>万元，支出决算为</w:t>
      </w:r>
      <w:r>
        <w:rPr>
          <w:rFonts w:ascii="仿宋" w:hAnsi="仿宋" w:eastAsia="仿宋" w:cs="仿宋"/>
          <w:sz w:val="32"/>
        </w:rPr>
        <w:t>1671.55</w:t>
      </w:r>
      <w:r>
        <w:rPr>
          <w:rFonts w:hint="eastAsia" w:ascii="仿宋" w:hAnsi="仿宋" w:eastAsia="仿宋" w:cs="仿宋"/>
          <w:sz w:val="32"/>
          <w:szCs w:val="32"/>
        </w:rPr>
        <w:t>万元，完成年初预算的</w:t>
      </w:r>
      <w:r>
        <w:rPr>
          <w:rFonts w:ascii="仿宋" w:hAnsi="仿宋" w:eastAsia="仿宋" w:cs="仿宋"/>
          <w:sz w:val="32"/>
        </w:rPr>
        <w:t>149.38%</w:t>
      </w:r>
      <w:r>
        <w:rPr>
          <w:rFonts w:hint="eastAsia" w:ascii="仿宋" w:hAnsi="仿宋" w:eastAsia="仿宋" w:cs="仿宋"/>
          <w:sz w:val="32"/>
          <w:szCs w:val="32"/>
        </w:rPr>
        <w:t>。</w:t>
      </w:r>
      <w:bookmarkStart w:id="3" w:name="OLE_LINK2"/>
      <w:bookmarkEnd w:id="3"/>
    </w:p>
    <w:p>
      <w:pPr>
        <w:numPr>
          <w:ilvl w:val="0"/>
          <w:numId w:val="1"/>
        </w:numPr>
        <w:jc w:val="left"/>
        <w:rPr>
          <w:rFonts w:ascii="仿宋" w:hAnsi="仿宋" w:eastAsia="仿宋"/>
          <w:sz w:val="32"/>
          <w:szCs w:val="32"/>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16.02</w:t>
      </w:r>
      <w:r>
        <w:rPr>
          <w:rFonts w:hint="eastAsia" w:ascii="仿宋" w:hAnsi="仿宋" w:eastAsia="仿宋"/>
          <w:sz w:val="32"/>
          <w:szCs w:val="32"/>
        </w:rPr>
        <w:t>万元，支出决算为</w:t>
      </w:r>
      <w:r>
        <w:rPr>
          <w:rFonts w:ascii="仿宋" w:hAnsi="仿宋" w:eastAsia="仿宋"/>
          <w:sz w:val="32"/>
          <w:szCs w:val="32"/>
        </w:rPr>
        <w:t>16.02</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ascii="仿宋" w:hAnsi="仿宋" w:eastAsia="仿宋" w:cs="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878.67</w:t>
      </w:r>
      <w:r>
        <w:rPr>
          <w:rFonts w:hint="eastAsia" w:ascii="仿宋" w:hAnsi="仿宋" w:eastAsia="仿宋"/>
          <w:sz w:val="32"/>
          <w:szCs w:val="32"/>
        </w:rPr>
        <w:t>万元，支出决算为</w:t>
      </w:r>
      <w:r>
        <w:rPr>
          <w:rFonts w:ascii="仿宋" w:hAnsi="仿宋" w:eastAsia="仿宋"/>
          <w:sz w:val="32"/>
          <w:szCs w:val="32"/>
        </w:rPr>
        <w:t>1284.71</w:t>
      </w:r>
      <w:r>
        <w:rPr>
          <w:rFonts w:hint="eastAsia" w:ascii="仿宋" w:hAnsi="仿宋" w:eastAsia="仿宋"/>
          <w:sz w:val="32"/>
          <w:szCs w:val="32"/>
        </w:rPr>
        <w:t>万元，完成年初预算的</w:t>
      </w:r>
      <w:r>
        <w:rPr>
          <w:rFonts w:ascii="仿宋" w:hAnsi="仿宋" w:eastAsia="仿宋"/>
          <w:sz w:val="32"/>
          <w:szCs w:val="32"/>
        </w:rPr>
        <w:t>146.21%</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社保缴费基数和</w:t>
      </w:r>
      <w:r>
        <w:rPr>
          <w:rFonts w:hint="eastAsia" w:ascii="Times New Roman" w:hAnsi="Times New Roman" w:eastAsia="仿宋_GB2312" w:cs="Times New Roman"/>
          <w:kern w:val="0"/>
          <w:sz w:val="32"/>
          <w:szCs w:val="32"/>
        </w:rPr>
        <w:t>住房公积金扣缴基数提高。</w:t>
      </w: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numId w:val="0"/>
        </w:numPr>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128.19</w:t>
      </w:r>
      <w:r>
        <w:rPr>
          <w:rFonts w:hint="eastAsia" w:ascii="仿宋" w:hAnsi="仿宋" w:eastAsia="仿宋"/>
          <w:sz w:val="32"/>
          <w:szCs w:val="32"/>
        </w:rPr>
        <w:t>万元，支出决算为</w:t>
      </w:r>
      <w:r>
        <w:rPr>
          <w:rFonts w:ascii="仿宋" w:hAnsi="仿宋" w:eastAsia="仿宋"/>
          <w:sz w:val="32"/>
          <w:szCs w:val="32"/>
        </w:rPr>
        <w:t>113.25</w:t>
      </w:r>
      <w:r>
        <w:rPr>
          <w:rFonts w:hint="eastAsia" w:ascii="仿宋" w:hAnsi="仿宋" w:eastAsia="仿宋"/>
          <w:sz w:val="32"/>
          <w:szCs w:val="32"/>
        </w:rPr>
        <w:t>万元，完成年初预算的</w:t>
      </w:r>
      <w:r>
        <w:rPr>
          <w:rFonts w:ascii="仿宋" w:hAnsi="仿宋" w:eastAsia="仿宋"/>
          <w:sz w:val="32"/>
          <w:szCs w:val="32"/>
        </w:rPr>
        <w:t>88.35%</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人员减少。</w:t>
      </w: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numId w:val="0"/>
        </w:numPr>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96.14</w:t>
      </w:r>
      <w:r>
        <w:rPr>
          <w:rFonts w:hint="eastAsia" w:ascii="仿宋" w:hAnsi="仿宋" w:eastAsia="仿宋"/>
          <w:sz w:val="32"/>
          <w:szCs w:val="32"/>
        </w:rPr>
        <w:t>万元，支出决算为</w:t>
      </w:r>
      <w:r>
        <w:rPr>
          <w:rFonts w:ascii="仿宋" w:hAnsi="仿宋" w:eastAsia="仿宋"/>
          <w:sz w:val="32"/>
          <w:szCs w:val="32"/>
        </w:rPr>
        <w:t>84.07</w:t>
      </w:r>
      <w:r>
        <w:rPr>
          <w:rFonts w:hint="eastAsia" w:ascii="仿宋" w:hAnsi="仿宋" w:eastAsia="仿宋"/>
          <w:sz w:val="32"/>
          <w:szCs w:val="32"/>
        </w:rPr>
        <w:t>万元，完成年初预算的</w:t>
      </w:r>
      <w:r>
        <w:rPr>
          <w:rFonts w:ascii="仿宋" w:hAnsi="仿宋" w:eastAsia="仿宋"/>
          <w:sz w:val="32"/>
          <w:szCs w:val="32"/>
        </w:rPr>
        <w:t>87.45%</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人员减少。</w:t>
      </w: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numId w:val="0"/>
        </w:numPr>
        <w:jc w:val="both"/>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173.49</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环江毛南族自治县川山镇初级中学2022年度一般公共预算财政拨款基本支出</w:t>
      </w:r>
      <w:r>
        <w:rPr>
          <w:rFonts w:ascii="仿宋" w:hAnsi="仿宋" w:eastAsia="仿宋" w:cs="仿宋"/>
          <w:sz w:val="32"/>
        </w:rPr>
        <w:t>1469.33</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1427.39</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41.94</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1151.99万元，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109.31%</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社保缴费基数和</w:t>
      </w:r>
      <w:r>
        <w:rPr>
          <w:rFonts w:hint="eastAsia" w:ascii="Times New Roman" w:hAnsi="Times New Roman" w:eastAsia="仿宋_GB2312" w:cs="Times New Roman"/>
          <w:kern w:val="0"/>
          <w:sz w:val="32"/>
          <w:szCs w:val="32"/>
        </w:rPr>
        <w:t>住房公积金扣缴基数提高</w:t>
      </w:r>
      <w:r>
        <w:rPr>
          <w:rFonts w:hint="eastAsia" w:ascii="Times New Roman" w:hAnsi="Times New Roman" w:eastAsia="仿宋_GB2312" w:cs="Times New Roman"/>
          <w:kern w:val="0"/>
          <w:sz w:val="32"/>
          <w:szCs w:val="32"/>
          <w:lang w:eastAsia="zh-CN"/>
        </w:rPr>
        <w:t>。</w:t>
      </w:r>
    </w:p>
    <w:p>
      <w:pPr>
        <w:numPr>
          <w:numId w:val="0"/>
        </w:num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501.17万元，30102津贴补贴66.85万元，30103奖金82.05万元，30107绩效工资184.91万元，30108机关事业单位基本养老保险缴费113.25万元，30110职工基本医疗保险缴费54.82万元，30112其他社会保障缴费6.39万元，30113住房公积金84.07万元，30199其他工资福利支出58.49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59651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37.00万元，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230.96%</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有的项目年初预算时没计划在此开支。年中进行调整在该项目开支。</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：30201办公费0.79万元，30205水费3.97万元，30206电费0.93万元，30207邮电费0.66万元，30209物业管理费2.69万元，30211差旅费6.75万元，30213维修（护）费4.79万元，30218专用材料费0.39万元，30228工会经费16.02万元。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686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275.40万元，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1953.19%</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 xml:space="preserve">有的项目年初预算时没计划在此开支。年中进行调整在该项目开支。    </w:t>
      </w:r>
      <w:r>
        <w:rPr>
          <w:rFonts w:hint="eastAsia" w:ascii="仿宋" w:hAnsi="仿宋" w:eastAsia="仿宋"/>
          <w:sz w:val="32"/>
          <w:szCs w:val="32"/>
        </w:rPr>
        <w:t>支出具体情况如下</w:t>
      </w:r>
      <w:r>
        <w:rPr>
          <w:rFonts w:hint="eastAsia" w:ascii="仿宋" w:hAnsi="仿宋" w:eastAsia="仿宋" w:cs="仿宋"/>
          <w:sz w:val="32"/>
          <w:szCs w:val="32"/>
        </w:rPr>
        <w:t>：30304抚恤金8.15万元，30305生活补助40.80万元，30308助学金221.98万元，30399其他对个人和家庭的补助4.46万元。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_GB2312" w:hAnsi="微软雅黑" w:eastAsia="仿宋_GB2312" w:cs="仿宋_GB2312"/>
          <w:color w:val="000000"/>
          <w:sz w:val="31"/>
          <w:szCs w:val="31"/>
          <w:shd w:val="clear" w:color="auto" w:fill="FFFFFF"/>
        </w:rPr>
        <w:t>。</w:t>
      </w:r>
      <w:r>
        <w:rPr>
          <w:rFonts w:hint="eastAsia" w:ascii="仿宋_GB2312" w:hAnsi="微软雅黑" w:eastAsia="仿宋_GB2312" w:cs="仿宋_GB2312"/>
          <w:color w:val="000000"/>
          <w:sz w:val="31"/>
          <w:szCs w:val="31"/>
          <w:shd w:val="clear" w:color="auto" w:fill="FFFFFF"/>
          <w:lang w:val="en-US" w:eastAsia="zh-CN"/>
        </w:rPr>
        <w:t>主要原因：无。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4.95万元，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100%</w:t>
      </w:r>
      <w:r>
        <w:rPr>
          <w:rFonts w:hint="eastAsia" w:ascii="仿宋_GB2312" w:hAnsi="微软雅黑" w:eastAsia="仿宋_GB2312" w:cs="仿宋_GB2312"/>
          <w:color w:val="000000"/>
          <w:sz w:val="31"/>
          <w:szCs w:val="31"/>
          <w:shd w:val="clear" w:color="auto" w:fill="FFFFFF"/>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：31002办公设备购置4.95万元。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_GB2312" w:hAnsi="微软雅黑" w:eastAsia="仿宋_GB2312" w:cs="仿宋_GB2312"/>
          <w:color w:val="000000"/>
          <w:sz w:val="31"/>
          <w:szCs w:val="31"/>
          <w:shd w:val="clear" w:color="auto" w:fill="FFFFFF"/>
        </w:rPr>
        <w:t>。</w:t>
      </w:r>
      <w:r>
        <w:rPr>
          <w:rFonts w:hint="eastAsia" w:ascii="仿宋_GB2312" w:hAnsi="微软雅黑" w:eastAsia="仿宋_GB2312" w:cs="仿宋_GB2312"/>
          <w:color w:val="000000"/>
          <w:sz w:val="31"/>
          <w:szCs w:val="31"/>
          <w:shd w:val="clear" w:color="auto" w:fill="FFFFFF"/>
          <w:lang w:val="en-US" w:eastAsia="zh-CN"/>
        </w:rPr>
        <w:t>主要原因：无。</w:t>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环江毛南族自治县川山镇初级中学</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环江毛南族自治县川山镇初级中学2022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_GB2312" w:hAnsi="Times New Roman" w:eastAsia="仿宋_GB2312" w:cs="Times New Roman"/>
          <w:sz w:val="32"/>
          <w:szCs w:val="32"/>
        </w:rPr>
        <w:t>环江毛南族自治县川山镇初级中学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4"/>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hint="default" w:ascii="仿宋" w:hAnsi="仿宋" w:eastAsia="仿宋" w:cs="仿宋"/>
          <w:color w:val="FF0000"/>
          <w:sz w:val="32"/>
          <w:szCs w:val="32"/>
          <w:lang w:val="en-US" w:eastAsia="zh-CN"/>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w:t>
      </w:r>
      <w:r>
        <w:rPr>
          <w:rFonts w:hint="eastAsia" w:ascii="仿宋" w:hAnsi="仿宋" w:eastAsia="仿宋" w:cs="仿宋"/>
          <w:sz w:val="32"/>
          <w:szCs w:val="32"/>
          <w:lang w:val="en-US" w:eastAsia="zh-CN"/>
        </w:rPr>
        <w:t>本部门无机关运行经费支出。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4个，二等项目3个，共涉及资金</w:t>
      </w:r>
      <w:r>
        <w:rPr>
          <w:rFonts w:hint="eastAsia" w:ascii="仿宋" w:hAnsi="仿宋" w:eastAsia="仿宋" w:cs="仿宋"/>
          <w:color w:val="000000" w:themeColor="text1"/>
          <w:sz w:val="32"/>
          <w:szCs w:val="32"/>
          <w:lang w:val="en-US" w:eastAsia="zh-CN"/>
          <w14:textFill>
            <w14:solidFill>
              <w14:schemeClr w14:val="tx1"/>
            </w14:solidFill>
          </w14:textFill>
        </w:rPr>
        <w:t>550.66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32.94</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我校对17个项目进行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人</w:t>
      </w:r>
      <w:r>
        <w:rPr>
          <w:rFonts w:hint="eastAsia" w:ascii="仿宋" w:hAnsi="仿宋" w:eastAsia="仿宋" w:cs="仿宋"/>
          <w:color w:val="000000" w:themeColor="text1"/>
          <w:sz w:val="32"/>
          <w:szCs w:val="32"/>
          <w:lang w:val="en-US" w:eastAsia="zh-CN"/>
          <w14:textFill>
            <w14:solidFill>
              <w14:schemeClr w14:val="tx1"/>
            </w14:solidFill>
          </w14:textFill>
        </w:rPr>
        <w:t>9个，99.97分1个，98.96分</w:t>
      </w:r>
      <w:bookmarkStart w:id="6" w:name="_GoBack"/>
      <w:r>
        <w:rPr>
          <w:rFonts w:hint="eastAsia" w:ascii="仿宋" w:hAnsi="仿宋" w:eastAsia="仿宋" w:cs="仿宋"/>
          <w:color w:val="000000" w:themeColor="text1"/>
          <w:sz w:val="32"/>
          <w:szCs w:val="32"/>
          <w:lang w:val="en-US" w:eastAsia="zh-CN"/>
          <w14:textFill>
            <w14:solidFill>
              <w14:schemeClr w14:val="tx1"/>
            </w14:solidFill>
          </w14:textFill>
        </w:rPr>
        <w:t>1个，98.89分1个,95分1个，92.91分1个，88分1个，83.27分1个，80分1个</w:t>
      </w:r>
      <w:r>
        <w:rPr>
          <w:rFonts w:hint="eastAsia" w:ascii="仿宋" w:hAnsi="仿宋" w:eastAsia="仿宋" w:cs="仿宋"/>
          <w:color w:val="000000" w:themeColor="text1"/>
          <w:sz w:val="32"/>
          <w:szCs w:val="32"/>
          <w14:textFill>
            <w14:solidFill>
              <w14:schemeClr w14:val="tx1"/>
            </w14:solidFill>
          </w14:textFill>
        </w:rPr>
        <w:t>。发现的主要问题及原因：一是我单位未能制定相关管理制度，在项目实施方面还有待完善</w:t>
      </w:r>
      <w:r>
        <w:rPr>
          <w:rFonts w:hint="eastAsia" w:ascii="仿宋" w:hAnsi="仿宋" w:eastAsia="仿宋" w:cs="仿宋"/>
          <w:color w:val="000000" w:themeColor="text1"/>
          <w:sz w:val="32"/>
          <w:szCs w:val="32"/>
          <w14:textFill>
            <w14:solidFill>
              <w14:schemeClr w14:val="tx1"/>
            </w14:solidFill>
          </w14:textFill>
        </w:rPr>
        <w:t>；二是学校报账材料整理比较慢，不能及时支付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color w:val="000000" w:themeColor="text1"/>
          <w:sz w:val="32"/>
          <w:szCs w:val="32"/>
          <w14:textFill>
            <w14:solidFill>
              <w14:schemeClr w14:val="tx1"/>
            </w14:solidFill>
          </w14:textFill>
        </w:rPr>
        <w:t>管理制度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完善项目实施</w:t>
      </w:r>
      <w:r>
        <w:rPr>
          <w:rFonts w:hint="eastAsia" w:ascii="仿宋" w:hAnsi="仿宋" w:eastAsia="仿宋" w:cs="仿宋"/>
          <w:color w:val="000000" w:themeColor="text1"/>
          <w:sz w:val="32"/>
          <w:szCs w:val="32"/>
          <w:lang w:val="en-US" w:eastAsia="zh-CN"/>
          <w14:textFill>
            <w14:solidFill>
              <w14:schemeClr w14:val="tx1"/>
            </w14:solidFill>
          </w14:textFill>
        </w:rPr>
        <w:t>方案</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color w:val="000000" w:themeColor="text1"/>
          <w:sz w:val="32"/>
          <w:szCs w:val="32"/>
          <w14:textFill>
            <w14:solidFill>
              <w14:schemeClr w14:val="tx1"/>
            </w14:solidFill>
          </w14:textFill>
        </w:rPr>
        <w:t>报账材料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bookmarkEnd w:id="6"/>
    </w:p>
    <w:p>
      <w:pPr>
        <w:ind w:firstLine="480" w:firstLineChars="200"/>
        <w:jc w:val="left"/>
        <w:rPr>
          <w:rFonts w:hint="eastAsia" w:ascii="宋体" w:hAnsi="宋体" w:cs="Arial Unicode MS"/>
          <w:sz w:val="24"/>
          <w:lang w:val="en-US" w:eastAsia="zh-CN"/>
        </w:rPr>
      </w:pP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NTcyMDNmZjAwYzA5OTAzZmJlOTYwZWNkNTY2Nz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95A5C"/>
    <w:rsid w:val="002B2731"/>
    <w:rsid w:val="00325F5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30484"/>
    <w:rsid w:val="007640BB"/>
    <w:rsid w:val="00771953"/>
    <w:rsid w:val="00776E0B"/>
    <w:rsid w:val="007A0641"/>
    <w:rsid w:val="007A7061"/>
    <w:rsid w:val="007C52A9"/>
    <w:rsid w:val="007C52E7"/>
    <w:rsid w:val="007C54EA"/>
    <w:rsid w:val="007C776D"/>
    <w:rsid w:val="007D7CE3"/>
    <w:rsid w:val="007E2F6C"/>
    <w:rsid w:val="00817C69"/>
    <w:rsid w:val="00823A94"/>
    <w:rsid w:val="00824151"/>
    <w:rsid w:val="008315A9"/>
    <w:rsid w:val="00834354"/>
    <w:rsid w:val="008F1B95"/>
    <w:rsid w:val="008F4AE2"/>
    <w:rsid w:val="008F6882"/>
    <w:rsid w:val="00924DB6"/>
    <w:rsid w:val="00934C72"/>
    <w:rsid w:val="00946CCF"/>
    <w:rsid w:val="0097721B"/>
    <w:rsid w:val="009831F8"/>
    <w:rsid w:val="009B3E00"/>
    <w:rsid w:val="009D1667"/>
    <w:rsid w:val="009D7A6B"/>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1076C"/>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E4A5660"/>
    <w:rsid w:val="0F8D4C87"/>
    <w:rsid w:val="10505FAA"/>
    <w:rsid w:val="105F7E7E"/>
    <w:rsid w:val="11E56B5B"/>
    <w:rsid w:val="125C77AB"/>
    <w:rsid w:val="13983469"/>
    <w:rsid w:val="14CB726E"/>
    <w:rsid w:val="154B4205"/>
    <w:rsid w:val="17E92249"/>
    <w:rsid w:val="18D304F1"/>
    <w:rsid w:val="19F32577"/>
    <w:rsid w:val="19F45B80"/>
    <w:rsid w:val="1B0C078D"/>
    <w:rsid w:val="1B2B31E2"/>
    <w:rsid w:val="1B4C295A"/>
    <w:rsid w:val="1B973C63"/>
    <w:rsid w:val="1BA1001E"/>
    <w:rsid w:val="1D317259"/>
    <w:rsid w:val="1E605260"/>
    <w:rsid w:val="1E664F5B"/>
    <w:rsid w:val="1EB34BE1"/>
    <w:rsid w:val="1FB7088A"/>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9382A53"/>
    <w:rsid w:val="3C07002B"/>
    <w:rsid w:val="3D0D152A"/>
    <w:rsid w:val="3D73916A"/>
    <w:rsid w:val="3DF62756"/>
    <w:rsid w:val="3EBF49E5"/>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071A30"/>
    <w:rsid w:val="54522FF8"/>
    <w:rsid w:val="55450629"/>
    <w:rsid w:val="56692963"/>
    <w:rsid w:val="568B0F48"/>
    <w:rsid w:val="5786217B"/>
    <w:rsid w:val="59337A15"/>
    <w:rsid w:val="59810274"/>
    <w:rsid w:val="5C944D4F"/>
    <w:rsid w:val="5CA96A00"/>
    <w:rsid w:val="5CF730BC"/>
    <w:rsid w:val="5E5F0DCE"/>
    <w:rsid w:val="5FA40A7B"/>
    <w:rsid w:val="5FD56D29"/>
    <w:rsid w:val="5FEC7F3F"/>
    <w:rsid w:val="60F74BC3"/>
    <w:rsid w:val="617D3BF8"/>
    <w:rsid w:val="61841F6A"/>
    <w:rsid w:val="623007A9"/>
    <w:rsid w:val="637D7558"/>
    <w:rsid w:val="644F19AC"/>
    <w:rsid w:val="65937512"/>
    <w:rsid w:val="65AA4920"/>
    <w:rsid w:val="65E31D0B"/>
    <w:rsid w:val="67694F1E"/>
    <w:rsid w:val="67BB4FAF"/>
    <w:rsid w:val="69597934"/>
    <w:rsid w:val="6B964DDC"/>
    <w:rsid w:val="6C783074"/>
    <w:rsid w:val="6D9E65C6"/>
    <w:rsid w:val="6DA81947"/>
    <w:rsid w:val="6EB66DE2"/>
    <w:rsid w:val="6ED3075F"/>
    <w:rsid w:val="6F2A2D4B"/>
    <w:rsid w:val="6F8A0C1E"/>
    <w:rsid w:val="703F45D4"/>
    <w:rsid w:val="714173A3"/>
    <w:rsid w:val="715D6546"/>
    <w:rsid w:val="71BE069E"/>
    <w:rsid w:val="73953409"/>
    <w:rsid w:val="73E069A3"/>
    <w:rsid w:val="73F139AB"/>
    <w:rsid w:val="78104AA8"/>
    <w:rsid w:val="78E257C5"/>
    <w:rsid w:val="794B35BE"/>
    <w:rsid w:val="7B0A3A31"/>
    <w:rsid w:val="7B3360ED"/>
    <w:rsid w:val="7BDF037E"/>
    <w:rsid w:val="7BF50948"/>
    <w:rsid w:val="7CE66A78"/>
    <w:rsid w:val="7D23564C"/>
    <w:rsid w:val="7D5E062D"/>
    <w:rsid w:val="7DF76CD8"/>
    <w:rsid w:val="7F695C26"/>
    <w:rsid w:val="7FCF62D3"/>
    <w:rsid w:val="FEBB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1671.55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8.15</c:v>
                </c:pt>
                <c:pt idx="4">
                  <c:v>40.8</c:v>
                </c:pt>
                <c:pt idx="5">
                  <c:v>0</c:v>
                </c:pt>
                <c:pt idx="6">
                  <c:v>0</c:v>
                </c:pt>
                <c:pt idx="7">
                  <c:v>221.98</c:v>
                </c:pt>
                <c:pt idx="8">
                  <c:v>0</c:v>
                </c:pt>
                <c:pt idx="9">
                  <c:v>0</c:v>
                </c:pt>
                <c:pt idx="10">
                  <c:v>0</c:v>
                </c:pt>
                <c:pt idx="11">
                  <c:v>4.46</c:v>
                </c:pt>
              </c:numCache>
            </c:numRef>
          </c:val>
        </c:ser>
        <c:dLbls>
          <c:showLegendKey val="0"/>
          <c:showVal val="0"/>
          <c:showCatName val="0"/>
          <c:showSerName val="0"/>
          <c:showPercent val="0"/>
          <c:showBubbleSize val="0"/>
        </c:dLbls>
        <c:gapWidth val="219"/>
        <c:overlap val="-27"/>
        <c:axId val="102547456"/>
        <c:axId val="102548992"/>
      </c:barChart>
      <c:catAx>
        <c:axId val="102547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48992"/>
        <c:crosses val="autoZero"/>
        <c:auto val="1"/>
        <c:lblAlgn val="ctr"/>
        <c:lblOffset val="100"/>
        <c:noMultiLvlLbl val="0"/>
      </c:catAx>
      <c:valAx>
        <c:axId val="102548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47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02671872"/>
        <c:axId val="102673408"/>
      </c:barChart>
      <c:catAx>
        <c:axId val="102671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673408"/>
        <c:crosses val="autoZero"/>
        <c:auto val="1"/>
        <c:lblAlgn val="ctr"/>
        <c:lblOffset val="100"/>
        <c:noMultiLvlLbl val="0"/>
      </c:catAx>
      <c:valAx>
        <c:axId val="102673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671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4.95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12737664"/>
        <c:axId val="112743552"/>
      </c:barChart>
      <c:catAx>
        <c:axId val="1127376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43552"/>
        <c:crosses val="autoZero"/>
        <c:auto val="1"/>
        <c:lblAlgn val="ctr"/>
        <c:lblOffset val="100"/>
        <c:noMultiLvlLbl val="0"/>
      </c:catAx>
      <c:valAx>
        <c:axId val="1127435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37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1637.25</c:v>
                </c:pt>
                <c:pt idx="2">
                  <c:v>269.05</c:v>
                </c:pt>
                <c:pt idx="3">
                  <c:v>64.65</c:v>
                </c:pt>
                <c:pt idx="4">
                  <c:v>268.45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16.02</c:v>
                </c:pt>
                <c:pt idx="1">
                  <c:v>1284.71</c:v>
                </c:pt>
                <c:pt idx="2">
                  <c:v>113.25</c:v>
                </c:pt>
                <c:pt idx="3">
                  <c:v>84.07</c:v>
                </c:pt>
                <c:pt idx="4">
                  <c:v>173.49</c:v>
                </c:pt>
              </c:numCache>
            </c:numRef>
          </c:val>
        </c:ser>
        <c:dLbls>
          <c:showLegendKey val="0"/>
          <c:showVal val="0"/>
          <c:showCatName val="0"/>
          <c:showSerName val="0"/>
          <c:showPercent val="0"/>
          <c:showBubbleSize val="0"/>
        </c:dLbls>
        <c:gapWidth val="219"/>
        <c:overlap val="-27"/>
        <c:axId val="97537024"/>
        <c:axId val="97551104"/>
      </c:barChart>
      <c:catAx>
        <c:axId val="97537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51104"/>
        <c:crosses val="autoZero"/>
        <c:auto val="1"/>
        <c:lblAlgn val="ctr"/>
        <c:lblOffset val="100"/>
        <c:noMultiLvlLbl val="0"/>
      </c:catAx>
      <c:valAx>
        <c:axId val="9755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37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16.02</c:v>
                </c:pt>
                <c:pt idx="1">
                  <c:v>16.02</c:v>
                </c:pt>
              </c:numCache>
            </c:numRef>
          </c:val>
        </c:ser>
        <c:dLbls>
          <c:showLegendKey val="0"/>
          <c:showVal val="0"/>
          <c:showCatName val="0"/>
          <c:showSerName val="0"/>
          <c:showPercent val="0"/>
          <c:showBubbleSize val="0"/>
        </c:dLbls>
        <c:gapWidth val="219"/>
        <c:overlap val="-27"/>
        <c:axId val="101012224"/>
        <c:axId val="101013760"/>
      </c:barChart>
      <c:catAx>
        <c:axId val="1010122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13760"/>
        <c:crosses val="autoZero"/>
        <c:auto val="1"/>
        <c:lblAlgn val="ctr"/>
        <c:lblOffset val="100"/>
        <c:noMultiLvlLbl val="0"/>
      </c:catAx>
      <c:valAx>
        <c:axId val="1010137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12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1255.99</c:v>
                </c:pt>
                <c:pt idx="1">
                  <c:v>28.72</c:v>
                </c:pt>
                <c:pt idx="2">
                  <c:v>1284.71</c:v>
                </c:pt>
              </c:numCache>
            </c:numRef>
          </c:val>
        </c:ser>
        <c:dLbls>
          <c:showLegendKey val="0"/>
          <c:showVal val="0"/>
          <c:showCatName val="0"/>
          <c:showSerName val="0"/>
          <c:showPercent val="0"/>
          <c:showBubbleSize val="0"/>
        </c:dLbls>
        <c:gapWidth val="219"/>
        <c:overlap val="-27"/>
        <c:axId val="101046528"/>
        <c:axId val="101048320"/>
      </c:barChart>
      <c:catAx>
        <c:axId val="101046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48320"/>
        <c:crosses val="autoZero"/>
        <c:auto val="1"/>
        <c:lblAlgn val="ctr"/>
        <c:lblOffset val="100"/>
        <c:noMultiLvlLbl val="0"/>
      </c:catAx>
      <c:valAx>
        <c:axId val="101048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46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113.25</c:v>
                </c:pt>
                <c:pt idx="1">
                  <c:v>113.25</c:v>
                </c:pt>
              </c:numCache>
            </c:numRef>
          </c:val>
        </c:ser>
        <c:dLbls>
          <c:showLegendKey val="0"/>
          <c:showVal val="0"/>
          <c:showCatName val="0"/>
          <c:showSerName val="0"/>
          <c:showPercent val="0"/>
          <c:showBubbleSize val="0"/>
        </c:dLbls>
        <c:gapWidth val="219"/>
        <c:overlap val="-27"/>
        <c:axId val="112361856"/>
        <c:axId val="112363392"/>
      </c:barChart>
      <c:catAx>
        <c:axId val="112361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363392"/>
        <c:crosses val="autoZero"/>
        <c:auto val="1"/>
        <c:lblAlgn val="ctr"/>
        <c:lblOffset val="100"/>
        <c:noMultiLvlLbl val="0"/>
      </c:catAx>
      <c:valAx>
        <c:axId val="1123633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361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84.07</c:v>
                </c:pt>
                <c:pt idx="1">
                  <c:v>84.07</c:v>
                </c:pt>
              </c:numCache>
            </c:numRef>
          </c:val>
        </c:ser>
        <c:dLbls>
          <c:showLegendKey val="0"/>
          <c:showVal val="0"/>
          <c:showCatName val="0"/>
          <c:showSerName val="0"/>
          <c:showPercent val="0"/>
          <c:showBubbleSize val="0"/>
        </c:dLbls>
        <c:gapWidth val="219"/>
        <c:overlap val="-27"/>
        <c:axId val="112670208"/>
        <c:axId val="112671744"/>
      </c:barChart>
      <c:catAx>
        <c:axId val="1126702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671744"/>
        <c:crosses val="autoZero"/>
        <c:auto val="1"/>
        <c:lblAlgn val="ctr"/>
        <c:lblOffset val="100"/>
        <c:noMultiLvlLbl val="0"/>
      </c:catAx>
      <c:valAx>
        <c:axId val="112671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670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173.49</c:v>
                </c:pt>
                <c:pt idx="1">
                  <c:v>173.49</c:v>
                </c:pt>
              </c:numCache>
            </c:numRef>
          </c:val>
        </c:ser>
        <c:dLbls>
          <c:showLegendKey val="0"/>
          <c:showVal val="0"/>
          <c:showCatName val="0"/>
          <c:showSerName val="0"/>
          <c:showPercent val="0"/>
          <c:showBubbleSize val="0"/>
        </c:dLbls>
        <c:gapWidth val="219"/>
        <c:overlap val="-27"/>
        <c:axId val="112700416"/>
        <c:axId val="112702208"/>
      </c:barChart>
      <c:catAx>
        <c:axId val="1127004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02208"/>
        <c:crosses val="autoZero"/>
        <c:auto val="1"/>
        <c:lblAlgn val="ctr"/>
        <c:lblOffset val="100"/>
        <c:noMultiLvlLbl val="0"/>
      </c:catAx>
      <c:valAx>
        <c:axId val="1127022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00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501.17</c:v>
                </c:pt>
                <c:pt idx="1">
                  <c:v>66.85</c:v>
                </c:pt>
                <c:pt idx="2">
                  <c:v>82.05</c:v>
                </c:pt>
                <c:pt idx="3">
                  <c:v>0</c:v>
                </c:pt>
                <c:pt idx="4">
                  <c:v>184.91</c:v>
                </c:pt>
                <c:pt idx="5">
                  <c:v>113.25</c:v>
                </c:pt>
                <c:pt idx="6">
                  <c:v>0</c:v>
                </c:pt>
                <c:pt idx="7">
                  <c:v>54.82</c:v>
                </c:pt>
                <c:pt idx="8">
                  <c:v>0</c:v>
                </c:pt>
                <c:pt idx="9">
                  <c:v>6.39</c:v>
                </c:pt>
                <c:pt idx="10">
                  <c:v>84.07</c:v>
                </c:pt>
                <c:pt idx="11">
                  <c:v>0</c:v>
                </c:pt>
                <c:pt idx="12">
                  <c:v>58.49</c:v>
                </c:pt>
              </c:numCache>
            </c:numRef>
          </c:val>
        </c:ser>
        <c:dLbls>
          <c:showLegendKey val="0"/>
          <c:showVal val="0"/>
          <c:showCatName val="0"/>
          <c:showSerName val="0"/>
          <c:showPercent val="0"/>
          <c:showBubbleSize val="0"/>
        </c:dLbls>
        <c:gapWidth val="219"/>
        <c:overlap val="-27"/>
        <c:axId val="100946688"/>
        <c:axId val="100948224"/>
      </c:barChart>
      <c:catAx>
        <c:axId val="100946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48224"/>
        <c:crosses val="autoZero"/>
        <c:auto val="1"/>
        <c:lblAlgn val="ctr"/>
        <c:lblOffset val="100"/>
        <c:noMultiLvlLbl val="0"/>
      </c:catAx>
      <c:valAx>
        <c:axId val="100948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4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0.79</c:v>
                </c:pt>
                <c:pt idx="1">
                  <c:v>0</c:v>
                </c:pt>
                <c:pt idx="2">
                  <c:v>0</c:v>
                </c:pt>
                <c:pt idx="3">
                  <c:v>0</c:v>
                </c:pt>
                <c:pt idx="4">
                  <c:v>3.97</c:v>
                </c:pt>
                <c:pt idx="5">
                  <c:v>0.93</c:v>
                </c:pt>
                <c:pt idx="6">
                  <c:v>0.66</c:v>
                </c:pt>
                <c:pt idx="7">
                  <c:v>0</c:v>
                </c:pt>
                <c:pt idx="8">
                  <c:v>2.69</c:v>
                </c:pt>
                <c:pt idx="9">
                  <c:v>6.75</c:v>
                </c:pt>
                <c:pt idx="10">
                  <c:v>0</c:v>
                </c:pt>
                <c:pt idx="11">
                  <c:v>4.79</c:v>
                </c:pt>
                <c:pt idx="12">
                  <c:v>0</c:v>
                </c:pt>
                <c:pt idx="13">
                  <c:v>0</c:v>
                </c:pt>
                <c:pt idx="14">
                  <c:v>0</c:v>
                </c:pt>
                <c:pt idx="15">
                  <c:v>0</c:v>
                </c:pt>
                <c:pt idx="16">
                  <c:v>0.39</c:v>
                </c:pt>
                <c:pt idx="17">
                  <c:v>0</c:v>
                </c:pt>
                <c:pt idx="18">
                  <c:v>0</c:v>
                </c:pt>
                <c:pt idx="19">
                  <c:v>0</c:v>
                </c:pt>
                <c:pt idx="20">
                  <c:v>0</c:v>
                </c:pt>
                <c:pt idx="21">
                  <c:v>16.02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02525568"/>
        <c:axId val="102527360"/>
      </c:barChart>
      <c:catAx>
        <c:axId val="102525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27360"/>
        <c:crosses val="autoZero"/>
        <c:auto val="1"/>
        <c:lblAlgn val="ctr"/>
        <c:lblOffset val="100"/>
        <c:noMultiLvlLbl val="0"/>
      </c:catAx>
      <c:valAx>
        <c:axId val="102527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25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9006</Words>
  <Characters>6070</Characters>
  <Lines>50</Lines>
  <Paragraphs>30</Paragraphs>
  <TotalTime>2</TotalTime>
  <ScaleCrop>false</ScaleCrop>
  <LinksUpToDate>false</LinksUpToDate>
  <CharactersWithSpaces>15046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2023-11-19T06:11:00Z</dcterms:created>
  <dc:creator>C D D</dc:creator>
  <cp:lastModifiedBy>Administrator</cp:lastModifiedBy>
  <cp:lastPrinted>2023-11-21T00:03:00Z</cp:lastPrinted>
  <dcterms:modified xsi:type="dcterms:W3CDTF">2023-11-29T00:51:42Z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0619E93AC17A475D8F472786BFA40140_13</vt:lpwstr>
  </property>
</Properties>
</file>